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Independent Validation of a LendingClub Credit Risk Model: PD, LGD, EAD and Expected Loss</w:t>
      </w:r>
    </w:p>
    <w:p>
      <w:pPr>
        <w:pStyle w:val="Author"/>
      </w:pPr>
      <w:r>
        <w:t xml:space="preserve">Deepak Chaudhary</w:t>
      </w:r>
    </w:p>
    <w:p>
      <w:pPr>
        <w:pStyle w:val="Date"/>
      </w:pPr>
      <w:r>
        <w:t xml:space="preserve">2026-10-02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executive-summary-and-validation-opinion"/>
    <w:p>
      <w:pPr>
        <w:pStyle w:val="Heading1"/>
      </w:pPr>
      <w:r>
        <w:rPr>
          <w:rStyle w:val="SectionNumber"/>
        </w:rPr>
        <w:t xml:space="preserve">1</w:t>
      </w:r>
      <w:r>
        <w:tab/>
      </w:r>
      <w:r>
        <w:t xml:space="preserve">Executive summary and validation opinion</w:t>
      </w:r>
    </w:p>
    <w:bookmarkStart w:id="9" w:name="what-this-project-is"/>
    <w:p>
      <w:pPr>
        <w:pStyle w:val="Heading2"/>
      </w:pPr>
      <w:r>
        <w:rPr>
          <w:rStyle w:val="SectionNumber"/>
        </w:rPr>
        <w:t xml:space="preserve">1.1</w:t>
      </w:r>
      <w:r>
        <w:tab/>
      </w:r>
      <w:r>
        <w:t xml:space="preserve">What this project is</w:t>
      </w:r>
    </w:p>
    <w:p>
      <w:pPr>
        <w:pStyle w:val="FirstParagraph"/>
      </w:pPr>
      <w:r>
        <w:t xml:space="preserve">This project is an independent validation exercise. It takes a probability-of-default (PD), loss-given-default (LGD), exposure-at-default (EAD) and expected-loss (EL) engine that was originally built as a Master's course project (the "original project", MQF OOPs II) and treats it the way a bank's model validation team would treat a model submitted for approval. The work has three parts. First, the as-built model is reviewed and its defects are logged. Second, the PD model is rebuilt on a defensible footing (a fixed 12-month default window, time-ordered samples, an application-time feature set, a points-scaled scorecard) and challenged with gradient-boosted trees, a benchmark and stress tests. Third, LGD, EAD and expected loss are re-estimated and back-tested against realized losses. An Excel workbook with live formulas lets a reviewer trace the scorecard, decile, calibration, stability and expected-loss logic cell by cell.</w:t>
      </w:r>
    </w:p>
    <w:bookmarkEnd w:id="9"/>
    <w:bookmarkStart w:id="10" w:name="read-this-first-what-this-is-and-is-not"/>
    <w:p>
      <w:pPr>
        <w:pStyle w:val="Heading2"/>
      </w:pPr>
      <w:r>
        <w:rPr>
          <w:rStyle w:val="SectionNumber"/>
        </w:rPr>
        <w:t xml:space="preserve">1.2</w:t>
      </w:r>
      <w:r>
        <w:tab/>
      </w:r>
      <w:r>
        <w:t xml:space="preserve">Read this first: what this is and is not</w:t>
      </w:r>
    </w:p>
    <w:p>
      <w:pPr>
        <w:pStyle w:val="FirstParagraph"/>
      </w:pPr>
      <w:r>
        <w:t xml:space="preserve">The data are the public LendingClub loan files for loans issued from 2007-06-01 to 2014-12-01 (466,285 loans), with outcomes observed up to about 2016-01-01. LendingClub public loan data is the only data source. This is</w:t>
      </w:r>
      <w:r>
        <w:t xml:space="preserve"> </w:t>
      </w:r>
      <w:r>
        <w:rPr>
          <w:b/>
          <w:bCs/>
        </w:rPr>
        <w:t xml:space="preserve">not a bank-approved or production model</w:t>
      </w:r>
      <w:r>
        <w:t xml:space="preserve">, no regulator or bank model risk committee has reviewed it, and nothing here is evidence about any real lender's book today. It is a portfolio project that demonstrates validation method on a real, messy dataset. The author of the original model is also the author of this validation, so the independence is procedural (the validation re-derives every result from raw data and was written to challenge the original), not organizational. A real validation would be performed by a separate team.</w:t>
      </w:r>
    </w:p>
    <w:bookmarkEnd w:id="10"/>
    <w:bookmarkStart w:id="11" w:name="validation-opinion"/>
    <w:p>
      <w:pPr>
        <w:pStyle w:val="Heading2"/>
      </w:pPr>
      <w:r>
        <w:rPr>
          <w:rStyle w:val="SectionNumber"/>
        </w:rPr>
        <w:t xml:space="preserve">1.3</w:t>
      </w:r>
      <w:r>
        <w:tab/>
      </w:r>
      <w:r>
        <w:t xml:space="preserve">Validation opinion</w:t>
      </w:r>
    </w:p>
    <w:p>
      <w:pPr>
        <w:pStyle w:val="FirstParagraph"/>
      </w:pPr>
      <w:r>
        <w:t xml:space="preserve">The overall opinion is that the rebuilt scorecard (SC_FULL, the champion) is</w:t>
      </w:r>
      <w:r>
        <w:t xml:space="preserve"> </w:t>
      </w:r>
      <w:r>
        <w:rPr>
          <w:b/>
          <w:bCs/>
        </w:rPr>
        <w:t xml:space="preserve">fit as a rank-ordering tool but not fit as a stand-alone production PD model without remediation</w:t>
      </w:r>
      <w:r>
        <w:t xml:space="preserve">. The reasons, each backed by a number in this document, are:</w:t>
      </w:r>
    </w:p>
    <w:p>
      <w:pPr>
        <w:pStyle w:val="Compact"/>
        <w:numPr>
          <w:ilvl w:val="0"/>
          <w:numId w:val="1001"/>
        </w:numPr>
      </w:pPr>
      <w:r>
        <w:rPr>
          <w:b/>
          <w:bCs/>
        </w:rPr>
        <w:t xml:space="preserve">Discrimination is modest and stable.</w:t>
      </w:r>
      <w:r>
        <w:t xml:space="preserve"> </w:t>
      </w:r>
      <w:r>
        <w:t xml:space="preserve">Gini is 0.372 on the development holdout, 0.353 on 2013 loans (95% bootstrap interval 0.331 to 0.375) and 0.346 on 2014 loans, all Amber against the Green threshold of 0.40. The decay from holdout to out-of-time is 5.1% and 7.1%, which is Green.</w:t>
      </w:r>
    </w:p>
    <w:p>
      <w:pPr>
        <w:pStyle w:val="Compact"/>
        <w:numPr>
          <w:ilvl w:val="0"/>
          <w:numId w:val="1001"/>
        </w:numPr>
      </w:pPr>
      <w:r>
        <w:rPr>
          <w:b/>
          <w:bCs/>
        </w:rPr>
        <w:t xml:space="preserve">The scorecard does not beat LendingClub's own sub-grade.</w:t>
      </w:r>
      <w:r>
        <w:t xml:space="preserve"> </w:t>
      </w:r>
      <w:r>
        <w:t xml:space="preserve">Using sub_grade as a one-variable score gives an out-of-time 2013 AUC of 0.6736. SC_FULL is ahead by only +0.0029 AUC (not significant) in 2013 and behind by -0.0102 in 2014 (significant). The independent scorecard SC_INDEP, which excludes LendingClub's own risk outputs (grade, sub_grade, int_rate, installment), has Gini 0.295 and 0.266 out of time: most of the ranking power in SC_FULL is borrowed from the lender's own underwriting score. That is the grade and interest-rate circularity.</w:t>
      </w:r>
    </w:p>
    <w:p>
      <w:pPr>
        <w:pStyle w:val="Compact"/>
        <w:numPr>
          <w:ilvl w:val="0"/>
          <w:numId w:val="1001"/>
        </w:numPr>
      </w:pPr>
      <w:r>
        <w:rPr>
          <w:b/>
          <w:bCs/>
        </w:rPr>
        <w:t xml:space="preserve">Calibration is acceptable on average, weak in the tails and by grade.</w:t>
      </w:r>
      <w:r>
        <w:t xml:space="preserve"> </w:t>
      </w:r>
      <w:r>
        <w:t xml:space="preserve">The calibration slope is Green (0.927 and 0.905), and mean PD is within about 15% of the observed 2013 rate. But the Hosmer-Lemeshow test is Red on both out-of-time samples and the grade-level binomial test is Red for 2014 (grades E, F and G are under-predicted). Section 11 explains why the first is partly a large-sample power effect and why the second is not.</w:t>
      </w:r>
    </w:p>
    <w:p>
      <w:pPr>
        <w:pStyle w:val="Compact"/>
        <w:numPr>
          <w:ilvl w:val="0"/>
          <w:numId w:val="1001"/>
        </w:numPr>
      </w:pPr>
      <w:r>
        <w:rPr>
          <w:b/>
          <w:bCs/>
        </w:rPr>
        <w:t xml:space="preserve">Population stability is good for the score and poor for some inputs.</w:t>
      </w:r>
      <w:r>
        <w:t xml:space="preserve"> </w:t>
      </w:r>
      <w:r>
        <w:t xml:space="preserve">Score PSI is 0.0026 and 0.0067 (Green) but the characteristic stability index of initial_list_status is 0.475 and 1.578 (Red), a structural break in how LendingClub populated that field.</w:t>
      </w:r>
    </w:p>
    <w:p>
      <w:pPr>
        <w:pStyle w:val="Compact"/>
        <w:numPr>
          <w:ilvl w:val="0"/>
          <w:numId w:val="1001"/>
        </w:numPr>
      </w:pPr>
      <w:r>
        <w:rPr>
          <w:b/>
          <w:bCs/>
        </w:rPr>
        <w:t xml:space="preserve">LGD and EAD are weak.</w:t>
      </w:r>
      <w:r>
        <w:t xml:space="preserve"> </w:t>
      </w:r>
      <w:r>
        <w:t xml:space="preserve">The first LGD stage (any recovery) has AUC 0.572 out of time, LGD R-squared is 0.009 and the CCF R-squared is 0.091. LGD is almost a constant near 0.931, so expected loss is driven by PD and exposure. The 12-month expected loss for the 2013 vintage is USD 59.9 million against realized USD 67.2 million (ratio 0.892).</w:t>
      </w:r>
    </w:p>
    <w:p>
      <w:pPr>
        <w:pStyle w:val="Compact"/>
        <w:numPr>
          <w:ilvl w:val="0"/>
          <w:numId w:val="1001"/>
        </w:numPr>
      </w:pPr>
      <w:r>
        <w:rPr>
          <w:b/>
          <w:bCs/>
        </w:rPr>
        <w:t xml:space="preserve">The original model has design defects</w:t>
      </w:r>
      <w:r>
        <w:t xml:space="preserve">, now logged as findings (section 18): a loan-age feature that encodes censoring, random-only splits, a lifetime default flag that is right-censored, hard 0/1 labels for LGD stage 1, invalid Wald p-values and others. The rebuilt pipeline remediates each of them. 34 findings are logged: 16 High, 16 Medium and 2 Low.</w:t>
      </w:r>
    </w:p>
    <w:bookmarkEnd w:id="11"/>
    <w:bookmarkStart w:id="12" w:name="validation-scorecard-for-the-champion"/>
    <w:p>
      <w:pPr>
        <w:pStyle w:val="Heading2"/>
      </w:pPr>
      <w:r>
        <w:rPr>
          <w:rStyle w:val="SectionNumber"/>
        </w:rPr>
        <w:t xml:space="preserve">1.4</w:t>
      </w:r>
      <w:r>
        <w:tab/>
      </w:r>
      <w:r>
        <w:t xml:space="preserve">Validation scorecard for the champion</w:t>
      </w:r>
    </w:p>
    <w:p>
      <w:pPr>
        <w:pStyle w:val="FirstParagraph"/>
      </w:pPr>
      <w:r>
        <w:t xml:space="preserve">The table summarizes the champion's traffic lights. Thresholds are the project's own conventions, defined in section 10, and are not regulatory limits.</w:t>
      </w:r>
    </w:p>
    <w:p>
      <w:pPr>
        <w:pStyle w:val="TableCaption"/>
      </w:pPr>
      <w:r>
        <w:t xml:space="preserve">Traffic-light summary for SC_FULL. Each cell shows the value and its rating. Source:</w:t>
      </w:r>
      <w:r>
        <w:t xml:space="preserve"> </w:t>
      </w:r>
      <w:r>
        <w:rPr>
          <w:rStyle w:val="VerbatimChar"/>
        </w:rPr>
        <w:t xml:space="preserve">validation_results.csv</w:t>
      </w:r>
      <w:r>
        <w:t xml:space="preserve">,</w:t>
      </w:r>
      <w:r>
        <w:t xml:space="preserve"> </w:t>
      </w:r>
      <w:r>
        <w:rPr>
          <w:rStyle w:val="VerbatimChar"/>
        </w:rPr>
        <w:t xml:space="preserve">benchmark.csv</w:t>
      </w:r>
      <w:r>
        <w:t xml:space="preserve"> </w:t>
      </w:r>
      <w:r>
        <w:t xml:space="preserve">and</w:t>
      </w:r>
      <w:r>
        <w:t xml:space="preserve"> </w:t>
      </w:r>
      <w:r>
        <w:rPr>
          <w:rStyle w:val="VerbatimChar"/>
        </w:rPr>
        <w:t xml:space="preserve">el_backtest_12m.csv</w:t>
      </w:r>
      <w:r>
        <w:t xml:space="preserve">.</w:t>
      </w:r>
    </w:p>
    <w:tbl>
      <w:tblPr>
        <w:tblStyle w:val="Table"/>
        <w:tblW w:type="pct" w:w="5000"/>
        <w:tblLayout w:type="fixed"/>
        <w:tblLook w:firstRow="1" w:lastRow="0" w:firstColumn="0" w:lastColumn="0" w:noHBand="0" w:noVBand="0" w:val="0020"/>
        <w:tblCaption w:val="Traffic-light summary for SC_FULL. Each cell shows the value and its rating. Source: validation_results.csv, benchmark.csv and el_backtest_12m.csv."/>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663"/>
        <w:gridCol w:w="1386"/>
        <w:gridCol w:w="1485"/>
        <w:gridCol w:w="1386"/>
      </w:tblGrid>
      <w:tr>
        <w:trPr>
          <w:tblHeader w:val="on"/>
        </w:trPr>
        <w:tc>
          <w:tcPr/>
          <w:p>
            <w:pPr>
              <w:pStyle w:val="Compact"/>
              <w:jc w:val="left"/>
            </w:pPr>
            <w:r>
              <w:rPr>
                <w:sz w:val="17"/>
              </w:rPr>
              <w:t xml:space="preserve">Test</w:t>
            </w:r>
          </w:p>
        </w:tc>
        <w:tc>
          <w:tcPr/>
          <w:p>
            <w:pPr>
              <w:pStyle w:val="Compact"/>
              <w:jc w:val="right"/>
            </w:pPr>
            <w:r>
              <w:rPr>
                <w:sz w:val="17"/>
              </w:rPr>
              <w:t xml:space="preserve">Dev holdout</w:t>
            </w:r>
          </w:p>
        </w:tc>
        <w:tc>
          <w:tcPr/>
          <w:p>
            <w:pPr>
              <w:pStyle w:val="Compact"/>
              <w:jc w:val="right"/>
            </w:pPr>
            <w:r>
              <w:rPr>
                <w:sz w:val="17"/>
              </w:rPr>
              <w:t xml:space="preserve">OOT 2013</w:t>
            </w:r>
          </w:p>
        </w:tc>
        <w:tc>
          <w:tcPr/>
          <w:p>
            <w:pPr>
              <w:pStyle w:val="Compact"/>
              <w:jc w:val="right"/>
            </w:pPr>
            <w:r>
              <w:rPr>
                <w:sz w:val="17"/>
              </w:rPr>
              <w:t xml:space="preserve">OOT 2014</w:t>
            </w:r>
          </w:p>
        </w:tc>
      </w:tr>
      <w:tr>
        <w:tc>
          <w:tcPr/>
          <w:p>
            <w:pPr>
              <w:pStyle w:val="Compact"/>
              <w:jc w:val="left"/>
            </w:pPr>
            <w:r>
              <w:rPr>
                <w:sz w:val="17"/>
              </w:rPr>
              <w:t xml:space="preserve">Gini</w:t>
            </w:r>
          </w:p>
        </w:tc>
        <w:tc>
          <w:tcPr/>
          <w:p>
            <w:pPr>
              <w:pStyle w:val="Compact"/>
              <w:jc w:val="right"/>
            </w:pPr>
            <w:r>
              <w:rPr>
                <w:sz w:val="17"/>
              </w:rPr>
              <w:t xml:space="preserve">0.372 (Amber)</w:t>
            </w:r>
          </w:p>
        </w:tc>
        <w:tc>
          <w:tcPr/>
          <w:p>
            <w:pPr>
              <w:pStyle w:val="Compact"/>
              <w:jc w:val="right"/>
            </w:pPr>
            <w:r>
              <w:rPr>
                <w:sz w:val="17"/>
              </w:rPr>
              <w:t xml:space="preserve">0.353 (Amber)</w:t>
            </w:r>
          </w:p>
        </w:tc>
        <w:tc>
          <w:tcPr/>
          <w:p>
            <w:pPr>
              <w:pStyle w:val="Compact"/>
              <w:jc w:val="right"/>
            </w:pPr>
            <w:r>
              <w:rPr>
                <w:sz w:val="17"/>
              </w:rPr>
              <w:t xml:space="preserve">0.346 (Amber)</w:t>
            </w:r>
          </w:p>
        </w:tc>
      </w:tr>
      <w:tr>
        <w:tc>
          <w:tcPr/>
          <w:p>
            <w:pPr>
              <w:pStyle w:val="Compact"/>
              <w:jc w:val="left"/>
            </w:pPr>
            <w:r>
              <w:rPr>
                <w:sz w:val="17"/>
              </w:rPr>
              <w:t xml:space="preserve">KS</w:t>
            </w:r>
          </w:p>
        </w:tc>
        <w:tc>
          <w:tcPr/>
          <w:p>
            <w:pPr>
              <w:pStyle w:val="Compact"/>
              <w:jc w:val="right"/>
            </w:pPr>
            <w:r>
              <w:rPr>
                <w:sz w:val="17"/>
              </w:rPr>
              <w:t xml:space="preserve">0.281 (Amber)</w:t>
            </w:r>
          </w:p>
        </w:tc>
        <w:tc>
          <w:tcPr/>
          <w:p>
            <w:pPr>
              <w:pStyle w:val="Compact"/>
              <w:jc w:val="right"/>
            </w:pPr>
            <w:r>
              <w:rPr>
                <w:sz w:val="17"/>
              </w:rPr>
              <w:t xml:space="preserve">0.254 (Amber)</w:t>
            </w:r>
          </w:p>
        </w:tc>
        <w:tc>
          <w:tcPr/>
          <w:p>
            <w:pPr>
              <w:pStyle w:val="Compact"/>
              <w:jc w:val="right"/>
            </w:pPr>
            <w:r>
              <w:rPr>
                <w:sz w:val="17"/>
              </w:rPr>
              <w:t xml:space="preserve">0.249 (Amber)</w:t>
            </w:r>
          </w:p>
        </w:tc>
      </w:tr>
      <w:tr>
        <w:tc>
          <w:tcPr/>
          <w:p>
            <w:pPr>
              <w:pStyle w:val="Compact"/>
              <w:jc w:val="left"/>
            </w:pPr>
            <w:r>
              <w:rPr>
                <w:sz w:val="17"/>
              </w:rPr>
              <w:t xml:space="preserve">Decile rank-order inversions</w:t>
            </w:r>
          </w:p>
        </w:tc>
        <w:tc>
          <w:tcPr/>
          <w:p>
            <w:pPr>
              <w:pStyle w:val="Compact"/>
              <w:jc w:val="right"/>
            </w:pPr>
            <w:r>
              <w:rPr>
                <w:sz w:val="17"/>
              </w:rPr>
              <w:t xml:space="preserve">0 (Green)</w:t>
            </w:r>
          </w:p>
        </w:tc>
        <w:tc>
          <w:tcPr/>
          <w:p>
            <w:pPr>
              <w:pStyle w:val="Compact"/>
              <w:jc w:val="right"/>
            </w:pPr>
            <w:r>
              <w:rPr>
                <w:sz w:val="17"/>
              </w:rPr>
              <w:t xml:space="preserve">0 (Green)</w:t>
            </w:r>
          </w:p>
        </w:tc>
        <w:tc>
          <w:tcPr/>
          <w:p>
            <w:pPr>
              <w:pStyle w:val="Compact"/>
              <w:jc w:val="right"/>
            </w:pPr>
            <w:r>
              <w:rPr>
                <w:sz w:val="17"/>
              </w:rPr>
              <w:t xml:space="preserve">0 (Green)</w:t>
            </w:r>
          </w:p>
        </w:tc>
      </w:tr>
      <w:tr>
        <w:tc>
          <w:tcPr/>
          <w:p>
            <w:pPr>
              <w:pStyle w:val="Compact"/>
              <w:jc w:val="left"/>
            </w:pPr>
            <w:r>
              <w:rPr>
                <w:sz w:val="17"/>
              </w:rPr>
              <w:t xml:space="preserve">Central tendency, relative deviation</w:t>
            </w:r>
          </w:p>
        </w:tc>
        <w:tc>
          <w:tcPr/>
          <w:p>
            <w:pPr>
              <w:pStyle w:val="Compact"/>
              <w:jc w:val="right"/>
            </w:pPr>
            <w:r>
              <w:rPr>
                <w:sz w:val="17"/>
              </w:rPr>
              <w:t xml:space="preserve">0.2% (Green)</w:t>
            </w:r>
          </w:p>
        </w:tc>
        <w:tc>
          <w:tcPr/>
          <w:p>
            <w:pPr>
              <w:pStyle w:val="Compact"/>
              <w:jc w:val="right"/>
            </w:pPr>
            <w:r>
              <w:rPr>
                <w:sz w:val="17"/>
              </w:rPr>
              <w:t xml:space="preserve">15.5% (Amber)</w:t>
            </w:r>
          </w:p>
        </w:tc>
        <w:tc>
          <w:tcPr/>
          <w:p>
            <w:pPr>
              <w:pStyle w:val="Compact"/>
              <w:jc w:val="right"/>
            </w:pPr>
            <w:r>
              <w:rPr>
                <w:sz w:val="17"/>
              </w:rPr>
              <w:t xml:space="preserve">6.4% (Green)</w:t>
            </w:r>
          </w:p>
        </w:tc>
      </w:tr>
      <w:tr>
        <w:tc>
          <w:tcPr/>
          <w:p>
            <w:pPr>
              <w:pStyle w:val="Compact"/>
              <w:jc w:val="left"/>
            </w:pPr>
            <w:r>
              <w:rPr>
                <w:sz w:val="17"/>
              </w:rPr>
              <w:t xml:space="preserve">Calibration slope</w:t>
            </w:r>
          </w:p>
        </w:tc>
        <w:tc>
          <w:tcPr/>
          <w:p>
            <w:pPr>
              <w:pStyle w:val="Compact"/>
              <w:jc w:val="right"/>
            </w:pPr>
            <w:r>
              <w:rPr>
                <w:sz w:val="17"/>
              </w:rPr>
              <w:t xml:space="preserve">0.949 (Green)</w:t>
            </w:r>
          </w:p>
        </w:tc>
        <w:tc>
          <w:tcPr/>
          <w:p>
            <w:pPr>
              <w:pStyle w:val="Compact"/>
              <w:jc w:val="right"/>
            </w:pPr>
            <w:r>
              <w:rPr>
                <w:sz w:val="17"/>
              </w:rPr>
              <w:t xml:space="preserve">0.927 (Green)</w:t>
            </w:r>
          </w:p>
        </w:tc>
        <w:tc>
          <w:tcPr/>
          <w:p>
            <w:pPr>
              <w:pStyle w:val="Compact"/>
              <w:jc w:val="right"/>
            </w:pPr>
            <w:r>
              <w:rPr>
                <w:sz w:val="17"/>
              </w:rPr>
              <w:t xml:space="preserve">0.905 (Green)</w:t>
            </w:r>
          </w:p>
        </w:tc>
      </w:tr>
      <w:tr>
        <w:tc>
          <w:tcPr/>
          <w:p>
            <w:pPr>
              <w:pStyle w:val="Compact"/>
              <w:jc w:val="left"/>
            </w:pPr>
            <w:r>
              <w:rPr>
                <w:sz w:val="17"/>
              </w:rPr>
              <w:t xml:space="preserve">Hosmer-Lemeshow p-value</w:t>
            </w:r>
          </w:p>
        </w:tc>
        <w:tc>
          <w:tcPr/>
          <w:p>
            <w:pPr>
              <w:pStyle w:val="Compact"/>
              <w:jc w:val="right"/>
            </w:pPr>
            <w:r>
              <w:rPr>
                <w:sz w:val="17"/>
              </w:rPr>
              <w:t xml:space="preserve">0.376 (Green)</w:t>
            </w:r>
          </w:p>
        </w:tc>
        <w:tc>
          <w:tcPr/>
          <w:p>
            <w:pPr>
              <w:pStyle w:val="Compact"/>
              <w:jc w:val="right"/>
            </w:pPr>
            <w:r>
              <w:rPr>
                <w:sz w:val="17"/>
              </w:rPr>
              <w:t xml:space="preserve">2.8e-26 (Red)</w:t>
            </w:r>
          </w:p>
        </w:tc>
        <w:tc>
          <w:tcPr/>
          <w:p>
            <w:pPr>
              <w:pStyle w:val="Compact"/>
              <w:jc w:val="right"/>
            </w:pPr>
            <w:r>
              <w:rPr>
                <w:sz w:val="17"/>
              </w:rPr>
              <w:t xml:space="preserve">4.3e-16 (Red)</w:t>
            </w:r>
          </w:p>
        </w:tc>
      </w:tr>
      <w:tr>
        <w:tc>
          <w:tcPr/>
          <w:p>
            <w:pPr>
              <w:pStyle w:val="Compact"/>
              <w:jc w:val="left"/>
            </w:pPr>
            <w:r>
              <w:rPr>
                <w:sz w:val="17"/>
              </w:rPr>
              <w:t xml:space="preserve">Grade binomial, smallest p (Jeffreys)</w:t>
            </w:r>
          </w:p>
        </w:tc>
        <w:tc>
          <w:tcPr/>
          <w:p>
            <w:pPr>
              <w:pStyle w:val="Compact"/>
              <w:jc w:val="right"/>
            </w:pPr>
            <w:r>
              <w:rPr>
                <w:sz w:val="17"/>
              </w:rPr>
              <w:t xml:space="preserve">0.336 (Green)</w:t>
            </w:r>
          </w:p>
        </w:tc>
        <w:tc>
          <w:tcPr/>
          <w:p>
            <w:pPr>
              <w:pStyle w:val="Compact"/>
              <w:jc w:val="right"/>
            </w:pPr>
            <w:r>
              <w:rPr>
                <w:sz w:val="17"/>
              </w:rPr>
              <w:t xml:space="preserve">0.247 (Green)</w:t>
            </w:r>
          </w:p>
        </w:tc>
        <w:tc>
          <w:tcPr/>
          <w:p>
            <w:pPr>
              <w:pStyle w:val="Compact"/>
              <w:jc w:val="right"/>
            </w:pPr>
            <w:r>
              <w:rPr>
                <w:sz w:val="17"/>
              </w:rPr>
              <w:t xml:space="preserve">1.5e-15 (Red)</w:t>
            </w:r>
          </w:p>
        </w:tc>
      </w:tr>
      <w:tr>
        <w:tc>
          <w:tcPr/>
          <w:p>
            <w:pPr>
              <w:pStyle w:val="Compact"/>
              <w:jc w:val="left"/>
            </w:pPr>
            <w:r>
              <w:rPr>
                <w:sz w:val="17"/>
              </w:rPr>
              <w:t xml:space="preserve">Score PSI vs development</w:t>
            </w:r>
          </w:p>
        </w:tc>
        <w:tc>
          <w:tcPr/>
          <w:p>
            <w:pPr>
              <w:pStyle w:val="Compact"/>
              <w:jc w:val="right"/>
            </w:pPr>
            <w:r>
              <w:rPr>
                <w:sz w:val="17"/>
              </w:rPr>
              <w:t xml:space="preserve">0.0007 (Green)</w:t>
            </w:r>
          </w:p>
        </w:tc>
        <w:tc>
          <w:tcPr/>
          <w:p>
            <w:pPr>
              <w:pStyle w:val="Compact"/>
              <w:jc w:val="right"/>
            </w:pPr>
            <w:r>
              <w:rPr>
                <w:sz w:val="17"/>
              </w:rPr>
              <w:t xml:space="preserve">0.0026 (Green)</w:t>
            </w:r>
          </w:p>
        </w:tc>
        <w:tc>
          <w:tcPr/>
          <w:p>
            <w:pPr>
              <w:pStyle w:val="Compact"/>
              <w:jc w:val="right"/>
            </w:pPr>
            <w:r>
              <w:rPr>
                <w:sz w:val="17"/>
              </w:rPr>
              <w:t xml:space="preserve">0.0067 (Green)</w:t>
            </w:r>
          </w:p>
        </w:tc>
      </w:tr>
      <w:tr>
        <w:tc>
          <w:tcPr/>
          <w:p>
            <w:pPr>
              <w:pStyle w:val="Compact"/>
              <w:jc w:val="left"/>
            </w:pPr>
            <w:r>
              <w:rPr>
                <w:sz w:val="17"/>
              </w:rPr>
              <w:t xml:space="preserve">Gini decay vs holdout</w:t>
            </w:r>
          </w:p>
        </w:tc>
        <w:tc>
          <w:tcPr/>
          <w:p>
            <w:pPr>
              <w:pStyle w:val="Compact"/>
              <w:jc w:val="right"/>
            </w:pPr>
            <w:r>
              <w:rPr>
                <w:sz w:val="17"/>
              </w:rPr>
              <w:t xml:space="preserve">n/a</w:t>
            </w:r>
          </w:p>
        </w:tc>
        <w:tc>
          <w:tcPr/>
          <w:p>
            <w:pPr>
              <w:pStyle w:val="Compact"/>
              <w:jc w:val="right"/>
            </w:pPr>
            <w:r>
              <w:rPr>
                <w:sz w:val="17"/>
              </w:rPr>
              <w:t xml:space="preserve">5.1% (Green)</w:t>
            </w:r>
          </w:p>
        </w:tc>
        <w:tc>
          <w:tcPr/>
          <w:p>
            <w:pPr>
              <w:pStyle w:val="Compact"/>
              <w:jc w:val="right"/>
            </w:pPr>
            <w:r>
              <w:rPr>
                <w:sz w:val="17"/>
              </w:rPr>
              <w:t xml:space="preserve">7.1% (Green)</w:t>
            </w:r>
          </w:p>
        </w:tc>
      </w:tr>
      <w:tr>
        <w:tc>
          <w:tcPr/>
          <w:p>
            <w:pPr>
              <w:pStyle w:val="Compact"/>
              <w:jc w:val="left"/>
            </w:pPr>
            <w:r>
              <w:rPr>
                <w:sz w:val="17"/>
              </w:rPr>
              <w:t xml:space="preserve">Largest feature CSI</w:t>
            </w:r>
          </w:p>
        </w:tc>
        <w:tc>
          <w:tcPr/>
          <w:p>
            <w:pPr>
              <w:pStyle w:val="Compact"/>
              <w:jc w:val="right"/>
            </w:pPr>
            <w:r>
              <w:rPr>
                <w:sz w:val="17"/>
              </w:rPr>
              <w:t xml:space="preserve">n/a</w:t>
            </w:r>
          </w:p>
        </w:tc>
        <w:tc>
          <w:tcPr/>
          <w:p>
            <w:pPr>
              <w:pStyle w:val="Compact"/>
              <w:jc w:val="right"/>
            </w:pPr>
            <w:r>
              <w:rPr>
                <w:sz w:val="17"/>
              </w:rPr>
              <w:t xml:space="preserve">0.475 (Red)</w:t>
            </w:r>
          </w:p>
        </w:tc>
        <w:tc>
          <w:tcPr/>
          <w:p>
            <w:pPr>
              <w:pStyle w:val="Compact"/>
              <w:jc w:val="right"/>
            </w:pPr>
            <w:r>
              <w:rPr>
                <w:sz w:val="17"/>
              </w:rPr>
              <w:t xml:space="preserve">1.578 (Red)</w:t>
            </w:r>
          </w:p>
        </w:tc>
      </w:tr>
      <w:tr>
        <w:tc>
          <w:tcPr/>
          <w:p>
            <w:pPr>
              <w:pStyle w:val="Compact"/>
              <w:jc w:val="left"/>
            </w:pPr>
            <w:r>
              <w:rPr>
                <w:sz w:val="17"/>
              </w:rPr>
              <w:t xml:space="preserve">AUC minus sub_grade benchmark</w:t>
            </w:r>
          </w:p>
        </w:tc>
        <w:tc>
          <w:tcPr/>
          <w:p>
            <w:pPr>
              <w:pStyle w:val="Compact"/>
              <w:jc w:val="right"/>
            </w:pPr>
            <w:r>
              <w:rPr>
                <w:sz w:val="17"/>
              </w:rPr>
              <w:t xml:space="preserve">n/a</w:t>
            </w:r>
          </w:p>
        </w:tc>
        <w:tc>
          <w:tcPr/>
          <w:p>
            <w:pPr>
              <w:pStyle w:val="Compact"/>
              <w:jc w:val="right"/>
            </w:pPr>
            <w:r>
              <w:rPr>
                <w:sz w:val="17"/>
              </w:rPr>
              <w:t xml:space="preserve">+0.0029 (Amber)</w:t>
            </w:r>
          </w:p>
        </w:tc>
        <w:tc>
          <w:tcPr/>
          <w:p>
            <w:pPr>
              <w:pStyle w:val="Compact"/>
              <w:jc w:val="right"/>
            </w:pPr>
            <w:r>
              <w:rPr>
                <w:sz w:val="17"/>
              </w:rPr>
              <w:t xml:space="preserve">-0.0102 (Red)</w:t>
            </w:r>
          </w:p>
        </w:tc>
      </w:tr>
      <w:tr>
        <w:tc>
          <w:tcPr/>
          <w:p>
            <w:pPr>
              <w:pStyle w:val="Compact"/>
              <w:jc w:val="left"/>
            </w:pPr>
            <w:r>
              <w:rPr>
                <w:sz w:val="17"/>
              </w:rPr>
              <w:t xml:space="preserve">12-month EL / realized loss</w:t>
            </w:r>
          </w:p>
        </w:tc>
        <w:tc>
          <w:tcPr/>
          <w:p>
            <w:pPr>
              <w:pStyle w:val="Compact"/>
              <w:jc w:val="right"/>
            </w:pPr>
            <w:r>
              <w:rPr>
                <w:sz w:val="17"/>
              </w:rPr>
              <w:t xml:space="preserve">n/a</w:t>
            </w:r>
          </w:p>
        </w:tc>
        <w:tc>
          <w:tcPr/>
          <w:p>
            <w:pPr>
              <w:pStyle w:val="Compact"/>
              <w:jc w:val="right"/>
            </w:pPr>
            <w:r>
              <w:rPr>
                <w:sz w:val="17"/>
              </w:rPr>
              <w:t xml:space="preserve">0.892 (Amber)</w:t>
            </w:r>
          </w:p>
        </w:tc>
        <w:tc>
          <w:tcPr/>
          <w:p>
            <w:pPr>
              <w:pStyle w:val="Compact"/>
              <w:jc w:val="right"/>
            </w:pPr>
            <w:r>
              <w:rPr>
                <w:sz w:val="17"/>
              </w:rPr>
              <w:t xml:space="preserve">0.822 (Amber)</w:t>
            </w:r>
          </w:p>
        </w:tc>
      </w:tr>
    </w:tbl>
    <w:p>
      <w:pPr>
        <w:pStyle w:val="BodyText"/>
      </w:pPr>
      <w:r>
        <w:t xml:space="preserve">Across the full battery of tests (all models and samples) the lights are: Green 99, Amber 55, Red 30; the remaining rows are informational.</w:t>
      </w:r>
    </w:p>
    <w:bookmarkEnd w:id="12"/>
    <w:bookmarkEnd w:id="13"/>
    <w:bookmarkStart w:id="17" w:name="business-context-and-sr-11-7-scope"/>
    <w:p>
      <w:pPr>
        <w:pStyle w:val="Heading1"/>
      </w:pPr>
      <w:r>
        <w:rPr>
          <w:rStyle w:val="SectionNumber"/>
        </w:rPr>
        <w:t xml:space="preserve">2</w:t>
      </w:r>
      <w:r>
        <w:tab/>
      </w:r>
      <w:r>
        <w:t xml:space="preserve">Business context and SR 11-7 scope</w:t>
      </w:r>
    </w:p>
    <w:bookmarkStart w:id="14" w:name="why-a-lender-needs-these-models"/>
    <w:p>
      <w:pPr>
        <w:pStyle w:val="Heading2"/>
      </w:pPr>
      <w:r>
        <w:rPr>
          <w:rStyle w:val="SectionNumber"/>
        </w:rPr>
        <w:t xml:space="preserve">2.1</w:t>
      </w:r>
      <w:r>
        <w:tab/>
      </w:r>
      <w:r>
        <w:t xml:space="preserve">Why a lender needs these models</w:t>
      </w:r>
    </w:p>
    <w:p>
      <w:pPr>
        <w:pStyle w:val="FirstParagraph"/>
      </w:pPr>
      <w:r>
        <w:t xml:space="preserve">A lender who funds an unsecured consumer loan faces credit loss. Three quantities describe it. The</w:t>
      </w:r>
      <w:r>
        <w:t xml:space="preserve"> </w:t>
      </w:r>
      <w:r>
        <w:rPr>
          <w:b/>
          <w:bCs/>
        </w:rPr>
        <w:t xml:space="preserve">probability of default</w:t>
      </w:r>
      <w:r>
        <w:t xml:space="preserve"> </w:t>
      </w:r>
      <w:r>
        <w:t xml:space="preserve">(PD) is the chance the borrower fails to pay within a stated horizon. The</w:t>
      </w:r>
      <w:r>
        <w:t xml:space="preserve"> </w:t>
      </w:r>
      <w:r>
        <w:rPr>
          <w:b/>
          <w:bCs/>
        </w:rPr>
        <w:t xml:space="preserve">loss given default</w:t>
      </w:r>
      <w:r>
        <w:t xml:space="preserve"> </w:t>
      </w:r>
      <w:r>
        <w:t xml:space="preserve">(LGD) is the fraction of the exposure that is not recovered once default happens. The</w:t>
      </w:r>
      <w:r>
        <w:t xml:space="preserve"> </w:t>
      </w:r>
      <w:r>
        <w:rPr>
          <w:b/>
          <w:bCs/>
        </w:rPr>
        <w:t xml:space="preserve">exposure at default</w:t>
      </w:r>
      <w:r>
        <w:t xml:space="preserve"> </w:t>
      </w:r>
      <w:r>
        <w:t xml:space="preserve">(EAD) is how much is outstanding at that moment. Expected loss is their product for each loan:</w:t>
      </w:r>
    </w:p>
    <w:p>
      <w:pPr>
        <w:pStyle w:val="BodyText"/>
      </w:pPr>
      <m:oMathPara>
        <m:oMathParaPr>
          <m:jc m:val="center"/>
        </m:oMathParaPr>
        <m:oMath>
          <m:r>
            <m:t>E</m:t>
          </m:r>
          <m:r>
            <m:t>L</m:t>
          </m:r>
          <m:r>
            <m:rPr>
              <m:sty m:val="p"/>
            </m:rPr>
            <m:t>=</m:t>
          </m:r>
          <m:r>
            <m:t>P</m:t>
          </m:r>
          <m:r>
            <m:t>D</m:t>
          </m:r>
          <m:r>
            <m:rPr>
              <m:sty m:val="p"/>
            </m:rPr>
            <m:t>×</m:t>
          </m:r>
          <m:r>
            <m:t>L</m:t>
          </m:r>
          <m:r>
            <m:t>G</m:t>
          </m:r>
          <m:r>
            <m:t>D</m:t>
          </m:r>
          <m:r>
            <m:rPr>
              <m:sty m:val="p"/>
            </m:rPr>
            <m:t>×</m:t>
          </m:r>
          <m:r>
            <m:t>E</m:t>
          </m:r>
          <m:r>
            <m:t>A</m:t>
          </m:r>
          <m:r>
            <m:t>D</m:t>
          </m:r>
          <m:r>
            <m:rPr>
              <m:sty m:val="p"/>
            </m:rPr>
            <m:t>.</m:t>
          </m:r>
        </m:oMath>
      </m:oMathPara>
    </w:p>
    <w:p>
      <w:pPr>
        <w:pStyle w:val="FirstParagraph"/>
      </w:pPr>
      <w:r>
        <w:t xml:space="preserve">PD decides who is approved and at what price; PD, LGD and EAD together feed provisioning and capital. Because decisions and reserves depend on the numbers, supervisors expect a lender to prove that the models are sound. In the United States the supervisory guidance on model risk management is SR 11-7 (Federal Reserve and OCC, 2011).</w:t>
      </w:r>
    </w:p>
    <w:bookmarkEnd w:id="14"/>
    <w:bookmarkStart w:id="15" w:name="how-sr-11-7-shapes-this-document"/>
    <w:p>
      <w:pPr>
        <w:pStyle w:val="Heading2"/>
      </w:pPr>
      <w:r>
        <w:rPr>
          <w:rStyle w:val="SectionNumber"/>
        </w:rPr>
        <w:t xml:space="preserve">2.2</w:t>
      </w:r>
      <w:r>
        <w:tab/>
      </w:r>
      <w:r>
        <w:t xml:space="preserve">How SR 11-7 shapes this document</w:t>
      </w:r>
    </w:p>
    <w:p>
      <w:pPr>
        <w:pStyle w:val="FirstParagraph"/>
      </w:pPr>
      <w:r>
        <w:t xml:space="preserve">SR 11-7 organizes model risk work around three activities: development and implementation, validation, and governance. Validation is described as having three core elements, which this project mirrors:</w:t>
      </w:r>
    </w:p>
    <w:p>
      <w:pPr>
        <w:pStyle w:val="Compact"/>
        <w:numPr>
          <w:ilvl w:val="0"/>
          <w:numId w:val="1002"/>
        </w:numPr>
      </w:pPr>
      <w:r>
        <w:rPr>
          <w:b/>
          <w:bCs/>
        </w:rPr>
        <w:t xml:space="preserve">Evaluation of conceptual soundness</w:t>
      </w:r>
      <w:r>
        <w:t xml:space="preserve">: are the target definition, the data, the variables and the method appropriate? Sections 3 to 9 cover this.</w:t>
      </w:r>
    </w:p>
    <w:p>
      <w:pPr>
        <w:pStyle w:val="Compact"/>
        <w:numPr>
          <w:ilvl w:val="0"/>
          <w:numId w:val="1002"/>
        </w:numPr>
      </w:pPr>
      <w:r>
        <w:rPr>
          <w:b/>
          <w:bCs/>
        </w:rPr>
        <w:t xml:space="preserve">Ongoing monitoring</w:t>
      </w:r>
      <w:r>
        <w:t xml:space="preserve">: are inputs and outputs stable and is the model still performing? Sections 14 and 16 cover this, with population stability indices and sensitivity analysis.</w:t>
      </w:r>
    </w:p>
    <w:p>
      <w:pPr>
        <w:pStyle w:val="Compact"/>
        <w:numPr>
          <w:ilvl w:val="0"/>
          <w:numId w:val="1002"/>
        </w:numPr>
      </w:pPr>
      <w:r>
        <w:rPr>
          <w:b/>
          <w:bCs/>
        </w:rPr>
        <w:t xml:space="preserve">Outcomes analysis</w:t>
      </w:r>
      <w:r>
        <w:t xml:space="preserve">: do predictions match realized outcomes? Sections 10 to 13 and 15 cover this, with back-testing of PD and of expected loss.</w:t>
      </w:r>
    </w:p>
    <w:p>
      <w:pPr>
        <w:pStyle w:val="FirstParagraph"/>
      </w:pPr>
      <w:r>
        <w:t xml:space="preserve">A central idea in the guidance is</w:t>
      </w:r>
      <w:r>
        <w:t xml:space="preserve"> </w:t>
      </w:r>
      <w:r>
        <w:rPr>
          <w:i/>
          <w:iCs/>
        </w:rPr>
        <w:t xml:space="preserve">effective challenge</w:t>
      </w:r>
      <w:r>
        <w:t xml:space="preserve">: critical analysis by informed people who are incentivized to find defects, including by building alternative models. In this project the challengers are the independent scorecard, XGBoost, LightGBM and the benchmark built from LendingClub's own sub-grade.</w:t>
      </w:r>
    </w:p>
    <w:bookmarkEnd w:id="15"/>
    <w:bookmarkStart w:id="16" w:name="scope-of-this-validation"/>
    <w:p>
      <w:pPr>
        <w:pStyle w:val="Heading2"/>
      </w:pPr>
      <w:r>
        <w:rPr>
          <w:rStyle w:val="SectionNumber"/>
        </w:rPr>
        <w:t xml:space="preserve">2.3</w:t>
      </w:r>
      <w:r>
        <w:tab/>
      </w:r>
      <w:r>
        <w:t xml:space="preserve">Scope of this validation</w:t>
      </w:r>
    </w:p>
    <w:p>
      <w:pPr>
        <w:pStyle w:val="FirstParagraph"/>
      </w:pPr>
      <w:r>
        <w:t xml:space="preserve">In scope: the PD model, the LGD and EAD models, the expected-loss calculation, the data and target definitions, and the original project's as-built code and notebooks (reviewed from their documented behavior and from a faithful re-fit). Out of scope: any production implementation, vendor systems, macroeconomic overlays and capital models. The sample is a single lender's platform lending between 2007 and 2014, so conclusions do not transfer to other lenders or to later periods.</w:t>
      </w:r>
    </w:p>
    <w:bookmarkEnd w:id="16"/>
    <w:bookmarkEnd w:id="17"/>
    <w:bookmarkStart w:id="25" w:name="Xc1f4433d0266e1beae5b577054617a8cca539a7"/>
    <w:p>
      <w:pPr>
        <w:pStyle w:val="Heading1"/>
      </w:pPr>
      <w:r>
        <w:rPr>
          <w:rStyle w:val="SectionNumber"/>
        </w:rPr>
        <w:t xml:space="preserve">3</w:t>
      </w:r>
      <w:r>
        <w:tab/>
      </w:r>
      <w:r>
        <w:t xml:space="preserve">Data, provenance, censoring and structural breaks</w:t>
      </w:r>
    </w:p>
    <w:bookmarkStart w:id="18" w:name="provenance-and-what-was-loaded"/>
    <w:p>
      <w:pPr>
        <w:pStyle w:val="Heading2"/>
      </w:pPr>
      <w:r>
        <w:rPr>
          <w:rStyle w:val="SectionNumber"/>
        </w:rPr>
        <w:t xml:space="preserve">3.1</w:t>
      </w:r>
      <w:r>
        <w:tab/>
      </w:r>
      <w:r>
        <w:t xml:space="preserve">Provenance and what was loaded</w:t>
      </w:r>
    </w:p>
    <w:p>
      <w:pPr>
        <w:pStyle w:val="FirstParagraph"/>
      </w:pPr>
      <w:r>
        <w:t xml:space="preserve">The input is the LendingClub public loan file</w:t>
      </w:r>
      <w:r>
        <w:t xml:space="preserve"> </w:t>
      </w:r>
      <w:r>
        <w:rPr>
          <w:rStyle w:val="VerbatimChar"/>
        </w:rPr>
        <w:t xml:space="preserve">loan_data_2007_2014.csv</w:t>
      </w:r>
      <w:r>
        <w:t xml:space="preserve"> </w:t>
      </w:r>
      <w:r>
        <w:t xml:space="preserve">(466,285 loans, 75 columns of which 38 are read) and the companion file</w:t>
      </w:r>
      <w:r>
        <w:t xml:space="preserve"> </w:t>
      </w:r>
      <w:r>
        <w:rPr>
          <w:rStyle w:val="VerbatimChar"/>
        </w:rPr>
        <w:t xml:space="preserve">loan_data_defaults.csv</w:t>
      </w:r>
      <w:r>
        <w:t xml:space="preserve"> </w:t>
      </w:r>
      <w:r>
        <w:t xml:space="preserve">used by the original project for its LGD and EAD work. Neither file is committed to this repository; the path is set by the environment variable</w:t>
      </w:r>
      <w:r>
        <w:t xml:space="preserve"> </w:t>
      </w:r>
      <w:r>
        <w:rPr>
          <w:rStyle w:val="VerbatimChar"/>
        </w:rPr>
        <w:t xml:space="preserve">CV_RAW_DIR</w:t>
      </w:r>
      <w:r>
        <w:t xml:space="preserve">. The loader (</w:t>
      </w:r>
      <w:r>
        <w:rPr>
          <w:rStyle w:val="VerbatimChar"/>
        </w:rPr>
        <w:t xml:space="preserve">data.load_loans</w:t>
      </w:r>
      <w:r>
        <w:t xml:space="preserve">) reads only the needed columns, parses percentages and month-year dates, maps the home ownership levels ANY, NONE and OTHER to a single OTHER, corrects two-digit credit-line years, stores the frame with compact dtypes and caches it as parquet.</w:t>
      </w:r>
    </w:p>
    <w:p>
      <w:pPr>
        <w:pStyle w:val="BodyText"/>
      </w:pPr>
      <w:r>
        <w:t xml:space="preserve">Two-digit years deserve a note. A date such as "Jan-62" is parsed by default as 2062. Where the parsed earliest credit line falls after the issue date,</w:t>
      </w:r>
      <w:r>
        <w:t xml:space="preserve"> </w:t>
      </w:r>
      <w:r>
        <w:rPr>
          <w:rStyle w:val="VerbatimChar"/>
        </w:rPr>
        <w:t xml:space="preserve">fix_two_digit_years</w:t>
      </w:r>
      <w:r>
        <w:t xml:space="preserve"> </w:t>
      </w:r>
      <w:r>
        <w:t xml:space="preserve">subtracts 100 years. The correction is tested in the unit tests and recorded as a Low finding.</w:t>
      </w:r>
    </w:p>
    <w:bookmarkEnd w:id="18"/>
    <w:bookmarkStart w:id="19" w:name="loan-status"/>
    <w:p>
      <w:pPr>
        <w:pStyle w:val="Heading2"/>
      </w:pPr>
      <w:r>
        <w:rPr>
          <w:rStyle w:val="SectionNumber"/>
        </w:rPr>
        <w:t xml:space="preserve">3.2</w:t>
      </w:r>
      <w:r>
        <w:tab/>
      </w:r>
      <w:r>
        <w:t xml:space="preserve">Loan status</w:t>
      </w:r>
    </w:p>
    <w:p>
      <w:pPr>
        <w:pStyle w:val="TableCaption"/>
      </w:pPr>
      <w:r>
        <w:t xml:space="preserve">Loan status counts in the raw file and the coding used by the original notebook (bad = Charged Off, Default, Late 31-120 days and the Does-not-meet-credit-policy charged-off status).</w:t>
      </w:r>
    </w:p>
    <w:tbl>
      <w:tblPr>
        <w:tblStyle w:val="Table"/>
        <w:tblW w:type="auto" w:w="0"/>
        <w:tblLook w:firstRow="1" w:lastRow="0" w:firstColumn="0" w:lastColumn="0" w:noHBand="0" w:noVBand="0" w:val="0020"/>
        <w:tblCaption w:val="Loan status counts in the raw file and the coding used by the original notebook (bad = Charged Off, Default, Late 31-120 days and the Does-not-meet-credit-policy charged-off statu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Loan status</w:t>
            </w:r>
          </w:p>
        </w:tc>
        <w:tc>
          <w:tcPr/>
          <w:p>
            <w:pPr>
              <w:pStyle w:val="Compact"/>
              <w:jc w:val="right"/>
            </w:pPr>
            <w:r>
              <w:rPr>
                <w:sz w:val="17"/>
              </w:rPr>
              <w:t xml:space="preserve">Loans</w:t>
            </w:r>
          </w:p>
        </w:tc>
        <w:tc>
          <w:tcPr/>
          <w:p>
            <w:pPr>
              <w:pStyle w:val="Compact"/>
              <w:jc w:val="right"/>
            </w:pPr>
            <w:r>
              <w:rPr>
                <w:sz w:val="17"/>
              </w:rPr>
              <w:t xml:space="preserve">Original coding</w:t>
            </w:r>
          </w:p>
        </w:tc>
      </w:tr>
      <w:tr>
        <w:tc>
          <w:tcPr/>
          <w:p>
            <w:pPr>
              <w:pStyle w:val="Compact"/>
              <w:jc w:val="left"/>
            </w:pPr>
            <w:r>
              <w:rPr>
                <w:sz w:val="17"/>
              </w:rPr>
              <w:t xml:space="preserve">Current</w:t>
            </w:r>
          </w:p>
        </w:tc>
        <w:tc>
          <w:tcPr/>
          <w:p>
            <w:pPr>
              <w:pStyle w:val="Compact"/>
              <w:jc w:val="right"/>
            </w:pPr>
            <w:r>
              <w:rPr>
                <w:sz w:val="17"/>
              </w:rPr>
              <w:t xml:space="preserve">224,226</w:t>
            </w:r>
          </w:p>
        </w:tc>
        <w:tc>
          <w:tcPr/>
          <w:p>
            <w:pPr>
              <w:pStyle w:val="Compact"/>
              <w:jc w:val="right"/>
            </w:pPr>
            <w:r>
              <w:rPr>
                <w:sz w:val="17"/>
              </w:rPr>
              <w:t xml:space="preserve">Good</w:t>
            </w:r>
          </w:p>
        </w:tc>
      </w:tr>
      <w:tr>
        <w:tc>
          <w:tcPr/>
          <w:p>
            <w:pPr>
              <w:pStyle w:val="Compact"/>
              <w:jc w:val="left"/>
            </w:pPr>
            <w:r>
              <w:rPr>
                <w:sz w:val="17"/>
              </w:rPr>
              <w:t xml:space="preserve">Fully Paid</w:t>
            </w:r>
          </w:p>
        </w:tc>
        <w:tc>
          <w:tcPr/>
          <w:p>
            <w:pPr>
              <w:pStyle w:val="Compact"/>
              <w:jc w:val="right"/>
            </w:pPr>
            <w:r>
              <w:rPr>
                <w:sz w:val="17"/>
              </w:rPr>
              <w:t xml:space="preserve">184,739</w:t>
            </w:r>
          </w:p>
        </w:tc>
        <w:tc>
          <w:tcPr/>
          <w:p>
            <w:pPr>
              <w:pStyle w:val="Compact"/>
              <w:jc w:val="right"/>
            </w:pPr>
            <w:r>
              <w:rPr>
                <w:sz w:val="17"/>
              </w:rPr>
              <w:t xml:space="preserve">Good</w:t>
            </w:r>
          </w:p>
        </w:tc>
      </w:tr>
      <w:tr>
        <w:tc>
          <w:tcPr/>
          <w:p>
            <w:pPr>
              <w:pStyle w:val="Compact"/>
              <w:jc w:val="left"/>
            </w:pPr>
            <w:r>
              <w:rPr>
                <w:sz w:val="17"/>
              </w:rPr>
              <w:t xml:space="preserve">Charged Off</w:t>
            </w:r>
          </w:p>
        </w:tc>
        <w:tc>
          <w:tcPr/>
          <w:p>
            <w:pPr>
              <w:pStyle w:val="Compact"/>
              <w:jc w:val="right"/>
            </w:pPr>
            <w:r>
              <w:rPr>
                <w:sz w:val="17"/>
              </w:rPr>
              <w:t xml:space="preserve">42,475</w:t>
            </w:r>
          </w:p>
        </w:tc>
        <w:tc>
          <w:tcPr/>
          <w:p>
            <w:pPr>
              <w:pStyle w:val="Compact"/>
              <w:jc w:val="right"/>
            </w:pPr>
            <w:r>
              <w:rPr>
                <w:sz w:val="17"/>
              </w:rPr>
              <w:t xml:space="preserve">Bad</w:t>
            </w:r>
          </w:p>
        </w:tc>
      </w:tr>
      <w:tr>
        <w:tc>
          <w:tcPr/>
          <w:p>
            <w:pPr>
              <w:pStyle w:val="Compact"/>
              <w:jc w:val="left"/>
            </w:pPr>
            <w:r>
              <w:rPr>
                <w:sz w:val="17"/>
              </w:rPr>
              <w:t xml:space="preserve">Late (31-120 days)</w:t>
            </w:r>
          </w:p>
        </w:tc>
        <w:tc>
          <w:tcPr/>
          <w:p>
            <w:pPr>
              <w:pStyle w:val="Compact"/>
              <w:jc w:val="right"/>
            </w:pPr>
            <w:r>
              <w:rPr>
                <w:sz w:val="17"/>
              </w:rPr>
              <w:t xml:space="preserve">6,900</w:t>
            </w:r>
          </w:p>
        </w:tc>
        <w:tc>
          <w:tcPr/>
          <w:p>
            <w:pPr>
              <w:pStyle w:val="Compact"/>
              <w:jc w:val="right"/>
            </w:pPr>
            <w:r>
              <w:rPr>
                <w:sz w:val="17"/>
              </w:rPr>
              <w:t xml:space="preserve">Bad</w:t>
            </w:r>
          </w:p>
        </w:tc>
      </w:tr>
      <w:tr>
        <w:tc>
          <w:tcPr/>
          <w:p>
            <w:pPr>
              <w:pStyle w:val="Compact"/>
              <w:jc w:val="left"/>
            </w:pPr>
            <w:r>
              <w:rPr>
                <w:sz w:val="17"/>
              </w:rPr>
              <w:t xml:space="preserve">In Grace Period</w:t>
            </w:r>
          </w:p>
        </w:tc>
        <w:tc>
          <w:tcPr/>
          <w:p>
            <w:pPr>
              <w:pStyle w:val="Compact"/>
              <w:jc w:val="right"/>
            </w:pPr>
            <w:r>
              <w:rPr>
                <w:sz w:val="17"/>
              </w:rPr>
              <w:t xml:space="preserve">3,146</w:t>
            </w:r>
          </w:p>
        </w:tc>
        <w:tc>
          <w:tcPr/>
          <w:p>
            <w:pPr>
              <w:pStyle w:val="Compact"/>
              <w:jc w:val="right"/>
            </w:pPr>
            <w:r>
              <w:rPr>
                <w:sz w:val="17"/>
              </w:rPr>
              <w:t xml:space="preserve">Good</w:t>
            </w:r>
          </w:p>
        </w:tc>
      </w:tr>
      <w:tr>
        <w:tc>
          <w:tcPr/>
          <w:p>
            <w:pPr>
              <w:pStyle w:val="Compact"/>
              <w:jc w:val="left"/>
            </w:pPr>
            <w:r>
              <w:rPr>
                <w:sz w:val="17"/>
              </w:rPr>
              <w:t xml:space="preserve">Does not meet the credit policy. Status:Fully Paid</w:t>
            </w:r>
          </w:p>
        </w:tc>
        <w:tc>
          <w:tcPr/>
          <w:p>
            <w:pPr>
              <w:pStyle w:val="Compact"/>
              <w:jc w:val="right"/>
            </w:pPr>
            <w:r>
              <w:rPr>
                <w:sz w:val="17"/>
              </w:rPr>
              <w:t xml:space="preserve">1,988</w:t>
            </w:r>
          </w:p>
        </w:tc>
        <w:tc>
          <w:tcPr/>
          <w:p>
            <w:pPr>
              <w:pStyle w:val="Compact"/>
              <w:jc w:val="right"/>
            </w:pPr>
            <w:r>
              <w:rPr>
                <w:sz w:val="17"/>
              </w:rPr>
              <w:t xml:space="preserve">Good</w:t>
            </w:r>
          </w:p>
        </w:tc>
      </w:tr>
      <w:tr>
        <w:tc>
          <w:tcPr/>
          <w:p>
            <w:pPr>
              <w:pStyle w:val="Compact"/>
              <w:jc w:val="left"/>
            </w:pPr>
            <w:r>
              <w:rPr>
                <w:sz w:val="17"/>
              </w:rPr>
              <w:t xml:space="preserve">Late (16-30 days)</w:t>
            </w:r>
          </w:p>
        </w:tc>
        <w:tc>
          <w:tcPr/>
          <w:p>
            <w:pPr>
              <w:pStyle w:val="Compact"/>
              <w:jc w:val="right"/>
            </w:pPr>
            <w:r>
              <w:rPr>
                <w:sz w:val="17"/>
              </w:rPr>
              <w:t xml:space="preserve">1,218</w:t>
            </w:r>
          </w:p>
        </w:tc>
        <w:tc>
          <w:tcPr/>
          <w:p>
            <w:pPr>
              <w:pStyle w:val="Compact"/>
              <w:jc w:val="right"/>
            </w:pPr>
            <w:r>
              <w:rPr>
                <w:sz w:val="17"/>
              </w:rPr>
              <w:t xml:space="preserve">Good</w:t>
            </w:r>
          </w:p>
        </w:tc>
      </w:tr>
      <w:tr>
        <w:tc>
          <w:tcPr/>
          <w:p>
            <w:pPr>
              <w:pStyle w:val="Compact"/>
              <w:jc w:val="left"/>
            </w:pPr>
            <w:r>
              <w:rPr>
                <w:sz w:val="17"/>
              </w:rPr>
              <w:t xml:space="preserve">Default</w:t>
            </w:r>
          </w:p>
        </w:tc>
        <w:tc>
          <w:tcPr/>
          <w:p>
            <w:pPr>
              <w:pStyle w:val="Compact"/>
              <w:jc w:val="right"/>
            </w:pPr>
            <w:r>
              <w:rPr>
                <w:sz w:val="17"/>
              </w:rPr>
              <w:t xml:space="preserve">832</w:t>
            </w:r>
          </w:p>
        </w:tc>
        <w:tc>
          <w:tcPr/>
          <w:p>
            <w:pPr>
              <w:pStyle w:val="Compact"/>
              <w:jc w:val="right"/>
            </w:pPr>
            <w:r>
              <w:rPr>
                <w:sz w:val="17"/>
              </w:rPr>
              <w:t xml:space="preserve">Bad</w:t>
            </w:r>
          </w:p>
        </w:tc>
      </w:tr>
      <w:tr>
        <w:tc>
          <w:tcPr/>
          <w:p>
            <w:pPr>
              <w:pStyle w:val="Compact"/>
              <w:jc w:val="left"/>
            </w:pPr>
            <w:r>
              <w:rPr>
                <w:sz w:val="17"/>
              </w:rPr>
              <w:t xml:space="preserve">Does not meet the credit policy. Status:Charged Off</w:t>
            </w:r>
          </w:p>
        </w:tc>
        <w:tc>
          <w:tcPr/>
          <w:p>
            <w:pPr>
              <w:pStyle w:val="Compact"/>
              <w:jc w:val="right"/>
            </w:pPr>
            <w:r>
              <w:rPr>
                <w:sz w:val="17"/>
              </w:rPr>
              <w:t xml:space="preserve">761</w:t>
            </w:r>
          </w:p>
        </w:tc>
        <w:tc>
          <w:tcPr/>
          <w:p>
            <w:pPr>
              <w:pStyle w:val="Compact"/>
              <w:jc w:val="right"/>
            </w:pPr>
            <w:r>
              <w:rPr>
                <w:sz w:val="17"/>
              </w:rPr>
              <w:t xml:space="preserve">Bad</w:t>
            </w:r>
          </w:p>
        </w:tc>
      </w:tr>
    </w:tbl>
    <w:p>
      <w:pPr>
        <w:pStyle w:val="BodyText"/>
      </w:pPr>
      <w:r>
        <w:t xml:space="preserve">Under the original coding there are 50,968 bad loans, a bad rate of 10.93%. The status "In Grace Period" (3,146 loans) is coded</w:t>
      </w:r>
      <w:r>
        <w:t xml:space="preserve"> </w:t>
      </w:r>
      <w:r>
        <w:rPr>
          <w:b/>
          <w:bCs/>
        </w:rPr>
        <w:t xml:space="preserve">good</w:t>
      </w:r>
      <w:r>
        <w:t xml:space="preserve"> </w:t>
      </w:r>
      <w:r>
        <w:t xml:space="preserve">by the original code even though the original project notes describe it as bad. That documentation mismatch is finding F-09. Its practical impact depends on the target, and section 4 shows that for the fixed 12-month target used here it changes nothing.</w:t>
      </w:r>
    </w:p>
    <w:p>
      <w:pPr>
        <w:pStyle w:val="BodyText"/>
      </w:pPr>
      <w:r>
        <w:t xml:space="preserve">Loans with the "Does not meet the credit policy" prefix (2,749 loans) were issued under an earlier policy and are excluded from the development and validation samples (switch</w:t>
      </w:r>
      <w:r>
        <w:t xml:space="preserve"> </w:t>
      </w:r>
      <w:r>
        <w:rPr>
          <w:rStyle w:val="VerbatimChar"/>
        </w:rPr>
        <w:t xml:space="preserve">EXCLUDE_DNMCP</w:t>
      </w:r>
      <w:r>
        <w:t xml:space="preserve">). Including them is run as a sensitivity (section 16).</w:t>
      </w:r>
    </w:p>
    <w:bookmarkEnd w:id="19"/>
    <w:bookmarkStart w:id="23" w:name="right-censoring"/>
    <w:p>
      <w:pPr>
        <w:pStyle w:val="Heading2"/>
      </w:pPr>
      <w:r>
        <w:rPr>
          <w:rStyle w:val="SectionNumber"/>
        </w:rPr>
        <w:t xml:space="preserve">3.3</w:t>
      </w:r>
      <w:r>
        <w:tab/>
      </w:r>
      <w:r>
        <w:t xml:space="preserve">Right-censoring</w:t>
      </w:r>
    </w:p>
    <w:p>
      <w:pPr>
        <w:pStyle w:val="FirstParagraph"/>
      </w:pPr>
      <w:r>
        <w:t xml:space="preserve">Every loan in the file is observed up to a status date of about 2016-01-01. A loan issued in 2007 has been observed for most of its term; a loan issued in late 2014 has been observed for about a year. If "bad" means "ever bad before the status date", older vintages mechanically look worse because they had longer to default. This is right-censoring. It is the single most important feature of the data and is visible in the table below.</w:t>
      </w:r>
    </w:p>
    <w:p>
      <w:pPr>
        <w:pStyle w:val="TableCaption"/>
      </w:pPr>
      <w:r>
        <w:t xml:space="preserve">Bad rate by issue year, lifetime flag versus the fixed 12-month flag (</w:t>
      </w:r>
      <w:r>
        <w:rPr>
          <w:rStyle w:val="VerbatimChar"/>
        </w:rPr>
        <w:t xml:space="preserve">target_audit.csv</w:t>
      </w:r>
      <w:r>
        <w:t xml:space="preserve">). Observed 12m counts loans seen for at least 14 months.</w:t>
      </w:r>
    </w:p>
    <w:tbl>
      <w:tblPr>
        <w:tblStyle w:val="Table"/>
        <w:tblW w:type="pct" w:w="5000"/>
        <w:tblLayout w:type="fixed"/>
        <w:tblLook w:firstRow="1" w:lastRow="0" w:firstColumn="0" w:lastColumn="0" w:noHBand="0" w:noVBand="0" w:val="0020"/>
        <w:tblCaption w:val="Bad rate by issue year, lifetime flag versus the fixed 12-month flag (target_audit.csv). Observed 12m counts loans seen for at least 14 month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80"/>
        <w:gridCol w:w="616"/>
        <w:gridCol w:w="1056"/>
        <w:gridCol w:w="1496"/>
        <w:gridCol w:w="1496"/>
        <w:gridCol w:w="1144"/>
        <w:gridCol w:w="1232"/>
      </w:tblGrid>
      <w:tr>
        <w:trPr>
          <w:tblHeader w:val="on"/>
        </w:trPr>
        <w:tc>
          <w:tcPr/>
          <w:p>
            <w:pPr>
              <w:pStyle w:val="Compact"/>
              <w:jc w:val="left"/>
            </w:pPr>
            <w:r>
              <w:rPr>
                <w:sz w:val="17"/>
              </w:rPr>
              <w:t xml:space="preserve">Issue year</w:t>
            </w:r>
          </w:p>
        </w:tc>
        <w:tc>
          <w:tcPr/>
          <w:p>
            <w:pPr>
              <w:pStyle w:val="Compact"/>
              <w:jc w:val="right"/>
            </w:pPr>
            <w:r>
              <w:rPr>
                <w:sz w:val="17"/>
              </w:rPr>
              <w:t xml:space="preserve">Loans</w:t>
            </w:r>
          </w:p>
        </w:tc>
        <w:tc>
          <w:tcPr/>
          <w:p>
            <w:pPr>
              <w:pStyle w:val="Compact"/>
              <w:jc w:val="right"/>
            </w:pPr>
            <w:r>
              <w:rPr>
                <w:sz w:val="17"/>
              </w:rPr>
              <w:t xml:space="preserve">Observed 12m</w:t>
            </w:r>
          </w:p>
        </w:tc>
        <w:tc>
          <w:tcPr/>
          <w:p>
            <w:pPr>
              <w:pStyle w:val="Compact"/>
              <w:jc w:val="right"/>
            </w:pPr>
            <w:r>
              <w:rPr>
                <w:sz w:val="17"/>
              </w:rPr>
              <w:t xml:space="preserve">Lifetime bad rate</w:t>
            </w:r>
          </w:p>
        </w:tc>
        <w:tc>
          <w:tcPr/>
          <w:p>
            <w:pPr>
              <w:pStyle w:val="Compact"/>
              <w:jc w:val="right"/>
            </w:pPr>
            <w:r>
              <w:rPr>
                <w:sz w:val="17"/>
              </w:rPr>
              <w:t xml:space="preserve">12-month bad rate</w:t>
            </w:r>
          </w:p>
        </w:tc>
        <w:tc>
          <w:tcPr/>
          <w:p>
            <w:pPr>
              <w:pStyle w:val="Compact"/>
              <w:jc w:val="right"/>
            </w:pPr>
            <w:r>
              <w:rPr>
                <w:sz w:val="17"/>
              </w:rPr>
              <w:t xml:space="preserve">Still Current</w:t>
            </w:r>
          </w:p>
        </w:tc>
        <w:tc>
          <w:tcPr/>
          <w:p>
            <w:pPr>
              <w:pStyle w:val="Compact"/>
              <w:jc w:val="right"/>
            </w:pPr>
            <w:r>
              <w:rPr>
                <w:sz w:val="17"/>
              </w:rPr>
              <w:t xml:space="preserve">60-month share</w:t>
            </w:r>
          </w:p>
        </w:tc>
      </w:tr>
      <w:tr>
        <w:tc>
          <w:tcPr/>
          <w:p>
            <w:pPr>
              <w:pStyle w:val="Compact"/>
              <w:jc w:val="left"/>
            </w:pPr>
            <w:r>
              <w:rPr>
                <w:sz w:val="17"/>
              </w:rPr>
              <w:t xml:space="preserve">2007</w:t>
            </w:r>
          </w:p>
        </w:tc>
        <w:tc>
          <w:tcPr/>
          <w:p>
            <w:pPr>
              <w:pStyle w:val="Compact"/>
              <w:jc w:val="right"/>
            </w:pPr>
            <w:r>
              <w:rPr>
                <w:sz w:val="17"/>
              </w:rPr>
              <w:t xml:space="preserve">603</w:t>
            </w:r>
          </w:p>
        </w:tc>
        <w:tc>
          <w:tcPr/>
          <w:p>
            <w:pPr>
              <w:pStyle w:val="Compact"/>
              <w:jc w:val="right"/>
            </w:pPr>
            <w:r>
              <w:rPr>
                <w:sz w:val="17"/>
              </w:rPr>
              <w:t xml:space="preserve">603</w:t>
            </w:r>
          </w:p>
        </w:tc>
        <w:tc>
          <w:tcPr/>
          <w:p>
            <w:pPr>
              <w:pStyle w:val="Compact"/>
              <w:jc w:val="right"/>
            </w:pPr>
            <w:r>
              <w:rPr>
                <w:sz w:val="17"/>
              </w:rPr>
              <w:t xml:space="preserve">26.20%</w:t>
            </w:r>
          </w:p>
        </w:tc>
        <w:tc>
          <w:tcPr/>
          <w:p>
            <w:pPr>
              <w:pStyle w:val="Compact"/>
              <w:jc w:val="right"/>
            </w:pPr>
            <w:r>
              <w:rPr>
                <w:sz w:val="17"/>
              </w:rPr>
              <w:t xml:space="preserve">8.46%</w:t>
            </w:r>
          </w:p>
        </w:tc>
        <w:tc>
          <w:tcPr/>
          <w:p>
            <w:pPr>
              <w:pStyle w:val="Compact"/>
              <w:jc w:val="right"/>
            </w:pPr>
            <w:r>
              <w:rPr>
                <w:sz w:val="17"/>
              </w:rPr>
              <w:t xml:space="preserve">0.00%</w:t>
            </w:r>
          </w:p>
        </w:tc>
        <w:tc>
          <w:tcPr/>
          <w:p>
            <w:pPr>
              <w:pStyle w:val="Compact"/>
              <w:jc w:val="right"/>
            </w:pPr>
            <w:r>
              <w:rPr>
                <w:sz w:val="17"/>
              </w:rPr>
              <w:t xml:space="preserve">0.00%</w:t>
            </w:r>
          </w:p>
        </w:tc>
      </w:tr>
      <w:tr>
        <w:tc>
          <w:tcPr/>
          <w:p>
            <w:pPr>
              <w:pStyle w:val="Compact"/>
              <w:jc w:val="left"/>
            </w:pPr>
            <w:r>
              <w:rPr>
                <w:sz w:val="17"/>
              </w:rPr>
              <w:t xml:space="preserve">2008</w:t>
            </w:r>
          </w:p>
        </w:tc>
        <w:tc>
          <w:tcPr/>
          <w:p>
            <w:pPr>
              <w:pStyle w:val="Compact"/>
              <w:jc w:val="right"/>
            </w:pPr>
            <w:r>
              <w:rPr>
                <w:sz w:val="17"/>
              </w:rPr>
              <w:t xml:space="preserve">2,393</w:t>
            </w:r>
          </w:p>
        </w:tc>
        <w:tc>
          <w:tcPr/>
          <w:p>
            <w:pPr>
              <w:pStyle w:val="Compact"/>
              <w:jc w:val="right"/>
            </w:pPr>
            <w:r>
              <w:rPr>
                <w:sz w:val="17"/>
              </w:rPr>
              <w:t xml:space="preserve">2,393</w:t>
            </w:r>
          </w:p>
        </w:tc>
        <w:tc>
          <w:tcPr/>
          <w:p>
            <w:pPr>
              <w:pStyle w:val="Compact"/>
              <w:jc w:val="right"/>
            </w:pPr>
            <w:r>
              <w:rPr>
                <w:sz w:val="17"/>
              </w:rPr>
              <w:t xml:space="preserve">20.73%</w:t>
            </w:r>
          </w:p>
        </w:tc>
        <w:tc>
          <w:tcPr/>
          <w:p>
            <w:pPr>
              <w:pStyle w:val="Compact"/>
              <w:jc w:val="right"/>
            </w:pPr>
            <w:r>
              <w:rPr>
                <w:sz w:val="17"/>
              </w:rPr>
              <w:t xml:space="preserve">8.27%</w:t>
            </w:r>
          </w:p>
        </w:tc>
        <w:tc>
          <w:tcPr/>
          <w:p>
            <w:pPr>
              <w:pStyle w:val="Compact"/>
              <w:jc w:val="right"/>
            </w:pPr>
            <w:r>
              <w:rPr>
                <w:sz w:val="17"/>
              </w:rPr>
              <w:t xml:space="preserve">0.00%</w:t>
            </w:r>
          </w:p>
        </w:tc>
        <w:tc>
          <w:tcPr/>
          <w:p>
            <w:pPr>
              <w:pStyle w:val="Compact"/>
              <w:jc w:val="right"/>
            </w:pPr>
            <w:r>
              <w:rPr>
                <w:sz w:val="17"/>
              </w:rPr>
              <w:t xml:space="preserve">0.00%</w:t>
            </w:r>
          </w:p>
        </w:tc>
      </w:tr>
      <w:tr>
        <w:tc>
          <w:tcPr/>
          <w:p>
            <w:pPr>
              <w:pStyle w:val="Compact"/>
              <w:jc w:val="left"/>
            </w:pPr>
            <w:r>
              <w:rPr>
                <w:sz w:val="17"/>
              </w:rPr>
              <w:t xml:space="preserve">2009</w:t>
            </w:r>
          </w:p>
        </w:tc>
        <w:tc>
          <w:tcPr/>
          <w:p>
            <w:pPr>
              <w:pStyle w:val="Compact"/>
              <w:jc w:val="right"/>
            </w:pPr>
            <w:r>
              <w:rPr>
                <w:sz w:val="17"/>
              </w:rPr>
              <w:t xml:space="preserve">5,281</w:t>
            </w:r>
          </w:p>
        </w:tc>
        <w:tc>
          <w:tcPr/>
          <w:p>
            <w:pPr>
              <w:pStyle w:val="Compact"/>
              <w:jc w:val="right"/>
            </w:pPr>
            <w:r>
              <w:rPr>
                <w:sz w:val="17"/>
              </w:rPr>
              <w:t xml:space="preserve">5,281</w:t>
            </w:r>
          </w:p>
        </w:tc>
        <w:tc>
          <w:tcPr/>
          <w:p>
            <w:pPr>
              <w:pStyle w:val="Compact"/>
              <w:jc w:val="right"/>
            </w:pPr>
            <w:r>
              <w:rPr>
                <w:sz w:val="17"/>
              </w:rPr>
              <w:t xml:space="preserve">13.69%</w:t>
            </w:r>
          </w:p>
        </w:tc>
        <w:tc>
          <w:tcPr/>
          <w:p>
            <w:pPr>
              <w:pStyle w:val="Compact"/>
              <w:jc w:val="right"/>
            </w:pPr>
            <w:r>
              <w:rPr>
                <w:sz w:val="17"/>
              </w:rPr>
              <w:t xml:space="preserve">5.76%</w:t>
            </w:r>
          </w:p>
        </w:tc>
        <w:tc>
          <w:tcPr/>
          <w:p>
            <w:pPr>
              <w:pStyle w:val="Compact"/>
              <w:jc w:val="right"/>
            </w:pPr>
            <w:r>
              <w:rPr>
                <w:sz w:val="17"/>
              </w:rPr>
              <w:t xml:space="preserve">0.00%</w:t>
            </w:r>
          </w:p>
        </w:tc>
        <w:tc>
          <w:tcPr/>
          <w:p>
            <w:pPr>
              <w:pStyle w:val="Compact"/>
              <w:jc w:val="right"/>
            </w:pPr>
            <w:r>
              <w:rPr>
                <w:sz w:val="17"/>
              </w:rPr>
              <w:t xml:space="preserve">0.00%</w:t>
            </w:r>
          </w:p>
        </w:tc>
      </w:tr>
      <w:tr>
        <w:tc>
          <w:tcPr/>
          <w:p>
            <w:pPr>
              <w:pStyle w:val="Compact"/>
              <w:jc w:val="left"/>
            </w:pPr>
            <w:r>
              <w:rPr>
                <w:sz w:val="17"/>
              </w:rPr>
              <w:t xml:space="preserve">2010</w:t>
            </w:r>
          </w:p>
        </w:tc>
        <w:tc>
          <w:tcPr/>
          <w:p>
            <w:pPr>
              <w:pStyle w:val="Compact"/>
              <w:jc w:val="right"/>
            </w:pPr>
            <w:r>
              <w:rPr>
                <w:sz w:val="17"/>
              </w:rPr>
              <w:t xml:space="preserve">12,537</w:t>
            </w:r>
          </w:p>
        </w:tc>
        <w:tc>
          <w:tcPr/>
          <w:p>
            <w:pPr>
              <w:pStyle w:val="Compact"/>
              <w:jc w:val="right"/>
            </w:pPr>
            <w:r>
              <w:rPr>
                <w:sz w:val="17"/>
              </w:rPr>
              <w:t xml:space="preserve">12,537</w:t>
            </w:r>
          </w:p>
        </w:tc>
        <w:tc>
          <w:tcPr/>
          <w:p>
            <w:pPr>
              <w:pStyle w:val="Compact"/>
              <w:jc w:val="right"/>
            </w:pPr>
            <w:r>
              <w:rPr>
                <w:sz w:val="17"/>
              </w:rPr>
              <w:t xml:space="preserve">14.03%</w:t>
            </w:r>
          </w:p>
        </w:tc>
        <w:tc>
          <w:tcPr/>
          <w:p>
            <w:pPr>
              <w:pStyle w:val="Compact"/>
              <w:jc w:val="right"/>
            </w:pPr>
            <w:r>
              <w:rPr>
                <w:sz w:val="17"/>
              </w:rPr>
              <w:t xml:space="preserve">4.47%</w:t>
            </w:r>
          </w:p>
        </w:tc>
        <w:tc>
          <w:tcPr/>
          <w:p>
            <w:pPr>
              <w:pStyle w:val="Compact"/>
              <w:jc w:val="right"/>
            </w:pPr>
            <w:r>
              <w:rPr>
                <w:sz w:val="17"/>
              </w:rPr>
              <w:t xml:space="preserve">0.06%</w:t>
            </w:r>
          </w:p>
        </w:tc>
        <w:tc>
          <w:tcPr/>
          <w:p>
            <w:pPr>
              <w:pStyle w:val="Compact"/>
              <w:jc w:val="right"/>
            </w:pPr>
            <w:r>
              <w:rPr>
                <w:sz w:val="17"/>
              </w:rPr>
              <w:t xml:space="preserve">26.97%</w:t>
            </w:r>
          </w:p>
        </w:tc>
      </w:tr>
      <w:tr>
        <w:tc>
          <w:tcPr/>
          <w:p>
            <w:pPr>
              <w:pStyle w:val="Compact"/>
              <w:jc w:val="left"/>
            </w:pPr>
            <w:r>
              <w:rPr>
                <w:sz w:val="17"/>
              </w:rPr>
              <w:t xml:space="preserve">2011</w:t>
            </w:r>
          </w:p>
        </w:tc>
        <w:tc>
          <w:tcPr/>
          <w:p>
            <w:pPr>
              <w:pStyle w:val="Compact"/>
              <w:jc w:val="right"/>
            </w:pPr>
            <w:r>
              <w:rPr>
                <w:sz w:val="17"/>
              </w:rPr>
              <w:t xml:space="preserve">21,721</w:t>
            </w:r>
          </w:p>
        </w:tc>
        <w:tc>
          <w:tcPr/>
          <w:p>
            <w:pPr>
              <w:pStyle w:val="Compact"/>
              <w:jc w:val="right"/>
            </w:pPr>
            <w:r>
              <w:rPr>
                <w:sz w:val="17"/>
              </w:rPr>
              <w:t xml:space="preserve">21,721</w:t>
            </w:r>
          </w:p>
        </w:tc>
        <w:tc>
          <w:tcPr/>
          <w:p>
            <w:pPr>
              <w:pStyle w:val="Compact"/>
              <w:jc w:val="right"/>
            </w:pPr>
            <w:r>
              <w:rPr>
                <w:sz w:val="17"/>
              </w:rPr>
              <w:t xml:space="preserve">15.00%</w:t>
            </w:r>
          </w:p>
        </w:tc>
        <w:tc>
          <w:tcPr/>
          <w:p>
            <w:pPr>
              <w:pStyle w:val="Compact"/>
              <w:jc w:val="right"/>
            </w:pPr>
            <w:r>
              <w:rPr>
                <w:sz w:val="17"/>
              </w:rPr>
              <w:t xml:space="preserve">4.56%</w:t>
            </w:r>
          </w:p>
        </w:tc>
        <w:tc>
          <w:tcPr/>
          <w:p>
            <w:pPr>
              <w:pStyle w:val="Compact"/>
              <w:jc w:val="right"/>
            </w:pPr>
            <w:r>
              <w:rPr>
                <w:sz w:val="17"/>
              </w:rPr>
              <w:t xml:space="preserve">8.99%</w:t>
            </w:r>
          </w:p>
        </w:tc>
        <w:tc>
          <w:tcPr/>
          <w:p>
            <w:pPr>
              <w:pStyle w:val="Compact"/>
              <w:jc w:val="right"/>
            </w:pPr>
            <w:r>
              <w:rPr>
                <w:sz w:val="17"/>
              </w:rPr>
              <w:t xml:space="preserve">35.08%</w:t>
            </w:r>
          </w:p>
        </w:tc>
      </w:tr>
      <w:tr>
        <w:tc>
          <w:tcPr/>
          <w:p>
            <w:pPr>
              <w:pStyle w:val="Compact"/>
              <w:jc w:val="left"/>
            </w:pPr>
            <w:r>
              <w:rPr>
                <w:sz w:val="17"/>
              </w:rPr>
              <w:t xml:space="preserve">2012</w:t>
            </w:r>
          </w:p>
        </w:tc>
        <w:tc>
          <w:tcPr/>
          <w:p>
            <w:pPr>
              <w:pStyle w:val="Compact"/>
              <w:jc w:val="right"/>
            </w:pPr>
            <w:r>
              <w:rPr>
                <w:sz w:val="17"/>
              </w:rPr>
              <w:t xml:space="preserve">53,367</w:t>
            </w:r>
          </w:p>
        </w:tc>
        <w:tc>
          <w:tcPr/>
          <w:p>
            <w:pPr>
              <w:pStyle w:val="Compact"/>
              <w:jc w:val="right"/>
            </w:pPr>
            <w:r>
              <w:rPr>
                <w:sz w:val="17"/>
              </w:rPr>
              <w:t xml:space="preserve">53,367</w:t>
            </w:r>
          </w:p>
        </w:tc>
        <w:tc>
          <w:tcPr/>
          <w:p>
            <w:pPr>
              <w:pStyle w:val="Compact"/>
              <w:jc w:val="right"/>
            </w:pPr>
            <w:r>
              <w:rPr>
                <w:sz w:val="17"/>
              </w:rPr>
              <w:t xml:space="preserve">15.62%</w:t>
            </w:r>
          </w:p>
        </w:tc>
        <w:tc>
          <w:tcPr/>
          <w:p>
            <w:pPr>
              <w:pStyle w:val="Compact"/>
              <w:jc w:val="right"/>
            </w:pPr>
            <w:r>
              <w:rPr>
                <w:sz w:val="17"/>
              </w:rPr>
              <w:t xml:space="preserve">4.99%</w:t>
            </w:r>
          </w:p>
        </w:tc>
        <w:tc>
          <w:tcPr/>
          <w:p>
            <w:pPr>
              <w:pStyle w:val="Compact"/>
              <w:jc w:val="right"/>
            </w:pPr>
            <w:r>
              <w:rPr>
                <w:sz w:val="17"/>
              </w:rPr>
              <w:t xml:space="preserve">6.45%</w:t>
            </w:r>
          </w:p>
        </w:tc>
        <w:tc>
          <w:tcPr/>
          <w:p>
            <w:pPr>
              <w:pStyle w:val="Compact"/>
              <w:jc w:val="right"/>
            </w:pPr>
            <w:r>
              <w:rPr>
                <w:sz w:val="17"/>
              </w:rPr>
              <w:t xml:space="preserve">18.55%</w:t>
            </w:r>
          </w:p>
        </w:tc>
      </w:tr>
      <w:tr>
        <w:tc>
          <w:tcPr/>
          <w:p>
            <w:pPr>
              <w:pStyle w:val="Compact"/>
              <w:jc w:val="left"/>
            </w:pPr>
            <w:r>
              <w:rPr>
                <w:sz w:val="17"/>
              </w:rPr>
              <w:t xml:space="preserve">2013</w:t>
            </w:r>
          </w:p>
        </w:tc>
        <w:tc>
          <w:tcPr/>
          <w:p>
            <w:pPr>
              <w:pStyle w:val="Compact"/>
              <w:jc w:val="right"/>
            </w:pPr>
            <w:r>
              <w:rPr>
                <w:sz w:val="17"/>
              </w:rPr>
              <w:t xml:space="preserve">134,755</w:t>
            </w:r>
          </w:p>
        </w:tc>
        <w:tc>
          <w:tcPr/>
          <w:p>
            <w:pPr>
              <w:pStyle w:val="Compact"/>
              <w:jc w:val="right"/>
            </w:pPr>
            <w:r>
              <w:rPr>
                <w:sz w:val="17"/>
              </w:rPr>
              <w:t xml:space="preserve">134,755</w:t>
            </w:r>
          </w:p>
        </w:tc>
        <w:tc>
          <w:tcPr/>
          <w:p>
            <w:pPr>
              <w:pStyle w:val="Compact"/>
              <w:jc w:val="right"/>
            </w:pPr>
            <w:r>
              <w:rPr>
                <w:sz w:val="17"/>
              </w:rPr>
              <w:t xml:space="preserve">12.47%</w:t>
            </w:r>
          </w:p>
        </w:tc>
        <w:tc>
          <w:tcPr/>
          <w:p>
            <w:pPr>
              <w:pStyle w:val="Compact"/>
              <w:jc w:val="right"/>
            </w:pPr>
            <w:r>
              <w:rPr>
                <w:sz w:val="17"/>
              </w:rPr>
              <w:t xml:space="preserve">4.25%</w:t>
            </w:r>
          </w:p>
        </w:tc>
        <w:tc>
          <w:tcPr/>
          <w:p>
            <w:pPr>
              <w:pStyle w:val="Compact"/>
              <w:jc w:val="right"/>
            </w:pPr>
            <w:r>
              <w:rPr>
                <w:sz w:val="17"/>
              </w:rPr>
              <w:t xml:space="preserve">44.72%</w:t>
            </w:r>
          </w:p>
        </w:tc>
        <w:tc>
          <w:tcPr/>
          <w:p>
            <w:pPr>
              <w:pStyle w:val="Compact"/>
              <w:jc w:val="right"/>
            </w:pPr>
            <w:r>
              <w:rPr>
                <w:sz w:val="17"/>
              </w:rPr>
              <w:t xml:space="preserve">25.51%</w:t>
            </w:r>
          </w:p>
        </w:tc>
      </w:tr>
      <w:tr>
        <w:tc>
          <w:tcPr/>
          <w:p>
            <w:pPr>
              <w:pStyle w:val="Compact"/>
              <w:jc w:val="left"/>
            </w:pPr>
            <w:r>
              <w:rPr>
                <w:sz w:val="17"/>
              </w:rPr>
              <w:t xml:space="preserve">2014</w:t>
            </w:r>
          </w:p>
        </w:tc>
        <w:tc>
          <w:tcPr/>
          <w:p>
            <w:pPr>
              <w:pStyle w:val="Compact"/>
              <w:jc w:val="right"/>
            </w:pPr>
            <w:r>
              <w:rPr>
                <w:sz w:val="17"/>
              </w:rPr>
              <w:t xml:space="preserve">235,628</w:t>
            </w:r>
          </w:p>
        </w:tc>
        <w:tc>
          <w:tcPr/>
          <w:p>
            <w:pPr>
              <w:pStyle w:val="Compact"/>
              <w:jc w:val="right"/>
            </w:pPr>
            <w:r>
              <w:rPr>
                <w:sz w:val="17"/>
              </w:rPr>
              <w:t xml:space="preserve">225,321</w:t>
            </w:r>
          </w:p>
        </w:tc>
        <w:tc>
          <w:tcPr/>
          <w:p>
            <w:pPr>
              <w:pStyle w:val="Compact"/>
              <w:jc w:val="right"/>
            </w:pPr>
            <w:r>
              <w:rPr>
                <w:sz w:val="17"/>
              </w:rPr>
              <w:t xml:space="preserve">8.25%</w:t>
            </w:r>
          </w:p>
        </w:tc>
        <w:tc>
          <w:tcPr/>
          <w:p>
            <w:pPr>
              <w:pStyle w:val="Compact"/>
              <w:jc w:val="right"/>
            </w:pPr>
            <w:r>
              <w:rPr>
                <w:sz w:val="17"/>
              </w:rPr>
              <w:t xml:space="preserve">4.66%</w:t>
            </w:r>
          </w:p>
        </w:tc>
        <w:tc>
          <w:tcPr/>
          <w:p>
            <w:pPr>
              <w:pStyle w:val="Compact"/>
              <w:jc w:val="right"/>
            </w:pPr>
            <w:r>
              <w:rPr>
                <w:sz w:val="17"/>
              </w:rPr>
              <w:t xml:space="preserve">67.29%</w:t>
            </w:r>
          </w:p>
        </w:tc>
        <w:tc>
          <w:tcPr/>
          <w:p>
            <w:pPr>
              <w:pStyle w:val="Compact"/>
              <w:jc w:val="right"/>
            </w:pPr>
            <w:r>
              <w:rPr>
                <w:sz w:val="17"/>
              </w:rPr>
              <w:t xml:space="preserve">31.01%</w:t>
            </w:r>
          </w:p>
        </w:tc>
      </w:tr>
    </w:tbl>
    <w:p>
      <w:pPr>
        <w:pStyle w:val="BodyText"/>
      </w:pPr>
      <w:r>
        <w:t xml:space="preserve">The lifetime bad rate falls from 26.2% in 2007 to 8.3% in 2014, while the share of 2014 loans still Current is 67.3%. The fixed 12-month rate is flat between 4.25% and 4.99% across 2010 to 2014. The 2007 to 2009 vintages are small (see the loan counts) and cover the financial crisis, so they are kept in development but not used to judge stability.</w:t>
      </w:r>
    </w:p>
    <w:p>
      <w:pPr>
        <w:pStyle w:val="CaptionedFigure"/>
      </w:pPr>
      <w:r>
        <w:drawing>
          <wp:inline>
            <wp:extent cx="4800600" cy="2160270"/>
            <wp:effectExtent b="0" l="0" r="0" t="0"/>
            <wp:docPr descr="Lifetime bad rate (dashed) is right-censored and falls with vintage; the fixed 12-month rate is flat." title="" id="21" name="Picture"/>
            <a:graphic>
              <a:graphicData uri="http://schemas.openxmlformats.org/drawingml/2006/picture">
                <pic:pic>
                  <pic:nvPicPr>
                    <pic:cNvPr descr="../python/outputs/charts/bad_rate_by_vintage.png" id="22" name="Picture"/>
                    <pic:cNvPicPr>
                      <a:picLocks noChangeArrowheads="1" noChangeAspect="1"/>
                    </pic:cNvPicPr>
                  </pic:nvPicPr>
                  <pic:blipFill>
                    <a:blip r:embed="rId20"/>
                    <a:stretch>
                      <a:fillRect/>
                    </a:stretch>
                  </pic:blipFill>
                  <pic:spPr bwMode="auto">
                    <a:xfrm>
                      <a:off x="0" y="0"/>
                      <a:ext cx="4800600" cy="2160270"/>
                    </a:xfrm>
                    <a:prstGeom prst="rect">
                      <a:avLst/>
                    </a:prstGeom>
                    <a:noFill/>
                    <a:ln w="9525">
                      <a:noFill/>
                      <a:headEnd/>
                      <a:tailEnd/>
                    </a:ln>
                  </pic:spPr>
                </pic:pic>
              </a:graphicData>
            </a:graphic>
          </wp:inline>
        </w:drawing>
      </w:r>
    </w:p>
    <w:p>
      <w:pPr>
        <w:pStyle w:val="ImageCaption"/>
      </w:pPr>
      <w:r>
        <w:t xml:space="preserve">Lifetime bad rate (dashed) is right-censored and falls with vintage; the fixed 12-month rate is flat.</w:t>
      </w:r>
    </w:p>
    <w:bookmarkEnd w:id="23"/>
    <w:bookmarkStart w:id="24" w:name="structural-breaks-in-the-inputs"/>
    <w:p>
      <w:pPr>
        <w:pStyle w:val="Heading2"/>
      </w:pPr>
      <w:r>
        <w:rPr>
          <w:rStyle w:val="SectionNumber"/>
        </w:rPr>
        <w:t xml:space="preserve">3.4</w:t>
      </w:r>
      <w:r>
        <w:tab/>
      </w:r>
      <w:r>
        <w:t xml:space="preserve">Structural breaks in the inputs</w:t>
      </w:r>
    </w:p>
    <w:p>
      <w:pPr>
        <w:pStyle w:val="FirstParagraph"/>
      </w:pPr>
      <w:r>
        <w:t xml:space="preserve">Some fields were not populated the same way throughout. The share of loans with initial_list_status equal to "w" is 0% before 2012, 7.3% in 2012, 26.6% in 2013 and 52.4% in 2014; total_rev_hi_lim, tot_cur_bal and tot_coll_amt are missing before 2012 (finding F-12). A model developed on 2007 to 2012 data therefore sees a different data regime from the one it is later applied to. This is why initial_list_status is dropped from the scorecard (its information value is tiny in development) and why it dominates the characteristic stability report in section 14. The other three fields are not used as features.</w:t>
      </w:r>
    </w:p>
    <w:bookmarkEnd w:id="24"/>
    <w:bookmarkEnd w:id="25"/>
    <w:bookmarkStart w:id="31" w:name="X7920e70746636f770e916123edf3e0186fd2018"/>
    <w:p>
      <w:pPr>
        <w:pStyle w:val="Heading1"/>
      </w:pPr>
      <w:r>
        <w:rPr>
          <w:rStyle w:val="SectionNumber"/>
        </w:rPr>
        <w:t xml:space="preserve">4</w:t>
      </w:r>
      <w:r>
        <w:tab/>
      </w:r>
      <w:r>
        <w:t xml:space="preserve">Target definitions and observation windows</w:t>
      </w:r>
    </w:p>
    <w:bookmarkStart w:id="26" w:name="the-fixed-12-month-default-flag"/>
    <w:p>
      <w:pPr>
        <w:pStyle w:val="Heading2"/>
      </w:pPr>
      <w:r>
        <w:rPr>
          <w:rStyle w:val="SectionNumber"/>
        </w:rPr>
        <w:t xml:space="preserve">4.1</w:t>
      </w:r>
      <w:r>
        <w:tab/>
      </w:r>
      <w:r>
        <w:t xml:space="preserve">The fixed 12-month default flag</w:t>
      </w:r>
    </w:p>
    <w:p>
      <w:pPr>
        <w:pStyle w:val="FirstParagraph"/>
      </w:pPr>
      <w:r>
        <w:t xml:space="preserve">The target for the PD model is a</w:t>
      </w:r>
      <w:r>
        <w:t xml:space="preserve"> </w:t>
      </w:r>
      <w:r>
        <w:rPr>
          <w:b/>
          <w:bCs/>
        </w:rPr>
        <w:t xml:space="preserve">fixed-window</w:t>
      </w:r>
      <w:r>
        <w:t xml:space="preserve"> </w:t>
      </w:r>
      <w:r>
        <w:t xml:space="preserve">flag. A loan is flagged bad (1) if its final status is bad</w:t>
      </w:r>
      <w:r>
        <w:t xml:space="preserve"> </w:t>
      </w:r>
      <w:r>
        <w:rPr>
          <w:i/>
          <w:iCs/>
        </w:rPr>
        <w:t xml:space="preserve">and</w:t>
      </w:r>
      <w:r>
        <w:t xml:space="preserve"> </w:t>
      </w:r>
      <w:r>
        <w:t xml:space="preserve">the time from issue to the last payment date is under 12 months. Months to default are not in the file, so the last payment date is the best available proxy for the time of default: a loan that charged off after paying for 8 months has a last payment 8 months after issue, whereas a loan that paid for 30 months and then charged off does not count as a 12-month default. Loans that never paid are assigned zero months on book. Formally, with</w:t>
      </w:r>
      <w:r>
        <w:t xml:space="preserve"> </w:t>
      </w:r>
      <m:oMath>
        <m:sSub>
          <m:e>
            <m:r>
              <m:t>m</m:t>
            </m:r>
          </m:e>
          <m:sub>
            <m:r>
              <m:t>i</m:t>
            </m:r>
          </m:sub>
        </m:sSub>
      </m:oMath>
      <w:r>
        <w:t xml:space="preserve"> </w:t>
      </w:r>
      <w:r>
        <w:t xml:space="preserve">the months from issue to last payment:</w:t>
      </w:r>
    </w:p>
    <w:p>
      <w:pPr>
        <w:pStyle w:val="BodyText"/>
      </w:pPr>
      <m:oMathPara>
        <m:oMathParaPr>
          <m:jc m:val="center"/>
        </m:oMathParaPr>
        <m:oMath>
          <m:sSub>
            <m:e>
              <m:r>
                <m:t>Y</m:t>
              </m:r>
            </m:e>
            <m:sub>
              <m:r>
                <m:t>i</m:t>
              </m:r>
            </m:sub>
          </m:sSub>
          <m:r>
            <m:rPr>
              <m:sty m:val="p"/>
            </m:rPr>
            <m:t>=</m:t>
          </m:r>
          <m:r>
            <m:rPr>
              <m:scr m:val="double-struck"/>
              <m:sty m:val="p"/>
            </m:rPr>
            <m:t>1</m:t>
          </m:r>
          <m:r>
            <m:rPr>
              <m:sty m:val="p"/>
            </m:rPr>
            <m:t>{</m:t>
          </m:r>
          <m:sSub>
            <m:e>
              <m:r>
                <m:rPr>
                  <m:nor/>
                  <m:sty m:val="p"/>
                </m:rPr>
                <m:t>status</m:t>
              </m:r>
            </m:e>
            <m:sub>
              <m:r>
                <m:t>i</m:t>
              </m:r>
            </m:sub>
          </m:sSub>
          <m:r>
            <m:rPr>
              <m:sty m:val="p"/>
            </m:rPr>
            <m:t>∈</m:t>
          </m:r>
          <m:r>
            <m:rPr>
              <m:nor/>
              <m:sty m:val="p"/>
            </m:rPr>
            <m:t>Bad</m:t>
          </m:r>
          <m:r>
            <m:rPr>
              <m:sty m:val="p"/>
            </m:rPr>
            <m:t>}</m:t>
          </m:r>
          <m:r>
            <m:rPr>
              <m:sty m:val="p"/>
            </m:rPr>
            <m:t>⋅</m:t>
          </m:r>
          <m:r>
            <m:rPr>
              <m:scr m:val="double-struck"/>
              <m:sty m:val="p"/>
            </m:rPr>
            <m:t>1</m:t>
          </m:r>
          <m:r>
            <m:rPr>
              <m:sty m:val="p"/>
            </m:rPr>
            <m:t>{</m:t>
          </m:r>
          <m:sSub>
            <m:e>
              <m:r>
                <m:t>m</m:t>
              </m:r>
            </m:e>
            <m:sub>
              <m:r>
                <m:t>i</m:t>
              </m:r>
            </m:sub>
          </m:sSub>
          <m:r>
            <m:rPr>
              <m:sty m:val="p"/>
            </m:rPr>
            <m:t>&lt;</m:t>
          </m:r>
          <m:r>
            <m:t>12</m:t>
          </m:r>
          <m:r>
            <m:rPr>
              <m:sty m:val="p"/>
            </m:rPr>
            <m:t>}</m:t>
          </m:r>
          <m:r>
            <m:rPr>
              <m:sty m:val="p"/>
            </m:rPr>
            <m:t>.</m:t>
          </m:r>
        </m:oMath>
      </m:oMathPara>
    </w:p>
    <w:p>
      <w:pPr>
        <w:pStyle w:val="FirstParagraph"/>
      </w:pPr>
      <w:r>
        <w:t xml:space="preserve">A loan is kept in the sample only if it has been observable for at least</w:t>
      </w:r>
      <w:r>
        <w:t xml:space="preserve"> </w:t>
      </w:r>
      <m:oMath>
        <m:r>
          <m:t>12</m:t>
        </m:r>
        <m:r>
          <m:rPr>
            <m:sty m:val="p"/>
          </m:rPr>
          <m:t>+</m:t>
        </m:r>
        <m:r>
          <m:t>2</m:t>
        </m:r>
      </m:oMath>
      <w:r>
        <w:t xml:space="preserve"> </w:t>
      </w:r>
      <w:r>
        <w:t xml:space="preserve">months, the 2 being a buffer for late reporting (</w:t>
      </w:r>
      <w:r>
        <w:rPr>
          <w:rStyle w:val="VerbatimChar"/>
        </w:rPr>
        <w:t xml:space="preserve">OBS_BUFFER_MONTHS</w:t>
      </w:r>
      <w:r>
        <w:t xml:space="preserve">). Without the filter, a recent loan that is simply too young to have defaulted would be counted as a good, which is the censoring problem again. The functions are</w:t>
      </w:r>
      <w:r>
        <w:t xml:space="preserve"> </w:t>
      </w:r>
      <w:r>
        <w:rPr>
          <w:rStyle w:val="VerbatimChar"/>
        </w:rPr>
        <w:t xml:space="preserve">targets.add_targets</w:t>
      </w:r>
      <w:r>
        <w:t xml:space="preserve"> </w:t>
      </w:r>
      <w:r>
        <w:t xml:space="preserve">(adds</w:t>
      </w:r>
      <w:r>
        <w:t xml:space="preserve"> </w:t>
      </w:r>
      <w:r>
        <w:rPr>
          <w:rStyle w:val="VerbatimChar"/>
        </w:rPr>
        <w:t xml:space="preserve">target_bad12</w:t>
      </w:r>
      <w:r>
        <w:t xml:space="preserve">,</w:t>
      </w:r>
      <w:r>
        <w:t xml:space="preserve"> </w:t>
      </w:r>
      <w:r>
        <w:rPr>
          <w:rStyle w:val="VerbatimChar"/>
        </w:rPr>
        <w:t xml:space="preserve">obs12</w:t>
      </w:r>
      <w:r>
        <w:t xml:space="preserve">, and the 24-month analogues) and</w:t>
      </w:r>
      <w:r>
        <w:t xml:space="preserve"> </w:t>
      </w:r>
      <w:r>
        <w:rPr>
          <w:rStyle w:val="VerbatimChar"/>
        </w:rPr>
        <w:t xml:space="preserve">targets.target_audit</w:t>
      </w:r>
      <w:r>
        <w:t xml:space="preserve">.</w:t>
      </w:r>
    </w:p>
    <w:bookmarkEnd w:id="26"/>
    <w:bookmarkStart w:id="27" w:name="why-a-fixed-window-rather-than-lifetime"/>
    <w:p>
      <w:pPr>
        <w:pStyle w:val="Heading2"/>
      </w:pPr>
      <w:r>
        <w:rPr>
          <w:rStyle w:val="SectionNumber"/>
        </w:rPr>
        <w:t xml:space="preserve">4.2</w:t>
      </w:r>
      <w:r>
        <w:tab/>
      </w:r>
      <w:r>
        <w:t xml:space="preserve">Why a fixed window rather than lifetime</w:t>
      </w:r>
    </w:p>
    <w:p>
      <w:pPr>
        <w:pStyle w:val="FirstParagraph"/>
      </w:pPr>
      <w:r>
        <w:t xml:space="preserve">A lifetime flag answers "did this loan ever go bad" and its meaning depends on how long the loan was observed. A fixed window answers one question with one meaning for every loan: "did the loan go bad in its first year". That is also what a 12-month PD, used for provisioning and pricing, is supposed to measure. The cost is that the default timing proxy is imperfect (finding F-08) and the 12-month window ignores later defaults; the 24-month window is run as a sensitivity.</w:t>
      </w:r>
    </w:p>
    <w:bookmarkEnd w:id="27"/>
    <w:bookmarkStart w:id="28" w:name="how-much-the-window-removes"/>
    <w:p>
      <w:pPr>
        <w:pStyle w:val="Heading2"/>
      </w:pPr>
      <w:r>
        <w:rPr>
          <w:rStyle w:val="SectionNumber"/>
        </w:rPr>
        <w:t xml:space="preserve">4.3</w:t>
      </w:r>
      <w:r>
        <w:tab/>
      </w:r>
      <w:r>
        <w:t xml:space="preserve">How much the window removes</w:t>
      </w:r>
    </w:p>
    <w:p>
      <w:pPr>
        <w:pStyle w:val="TableCaption"/>
      </w:pPr>
      <w:r>
        <w:t xml:space="preserve">Loans with a bad final status and the subset that went bad within 12 months, among loans observed long enough for the 12-month window.</w:t>
      </w:r>
    </w:p>
    <w:tbl>
      <w:tblPr>
        <w:tblStyle w:val="Table"/>
        <w:tblW w:type="pct" w:w="5000"/>
        <w:tblLayout w:type="fixed"/>
        <w:tblLook w:firstRow="1" w:lastRow="0" w:firstColumn="0" w:lastColumn="0" w:noHBand="0" w:noVBand="0" w:val="0020"/>
        <w:tblCaption w:val="Loans with a bad final status and the subset that went bad within 12 months, among loans observed long enough for the 12-month window."/>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64"/>
        <w:gridCol w:w="2678"/>
        <w:gridCol w:w="3377"/>
        <w:gridCol w:w="698"/>
      </w:tblGrid>
      <w:tr>
        <w:trPr>
          <w:tblHeader w:val="on"/>
        </w:trPr>
        <w:tc>
          <w:tcPr/>
          <w:p>
            <w:pPr>
              <w:pStyle w:val="Compact"/>
              <w:jc w:val="left"/>
            </w:pPr>
            <w:r>
              <w:rPr>
                <w:sz w:val="17"/>
              </w:rPr>
              <w:t xml:space="preserve">Issue year</w:t>
            </w:r>
          </w:p>
        </w:tc>
        <w:tc>
          <w:tcPr/>
          <w:p>
            <w:pPr>
              <w:pStyle w:val="Compact"/>
              <w:jc w:val="right"/>
            </w:pPr>
            <w:r>
              <w:rPr>
                <w:sz w:val="17"/>
              </w:rPr>
              <w:t xml:space="preserve">Loans with a bad status</w:t>
            </w:r>
          </w:p>
        </w:tc>
        <w:tc>
          <w:tcPr/>
          <w:p>
            <w:pPr>
              <w:pStyle w:val="Compact"/>
              <w:jc w:val="right"/>
            </w:pPr>
            <w:r>
              <w:rPr>
                <w:sz w:val="17"/>
              </w:rPr>
              <w:t xml:space="preserve">Of which bad within 12 months</w:t>
            </w:r>
          </w:p>
        </w:tc>
        <w:tc>
          <w:tcPr/>
          <w:p>
            <w:pPr>
              <w:pStyle w:val="Compact"/>
              <w:jc w:val="right"/>
            </w:pPr>
            <w:r>
              <w:rPr>
                <w:sz w:val="17"/>
              </w:rPr>
              <w:t xml:space="preserve">Share</w:t>
            </w:r>
          </w:p>
        </w:tc>
      </w:tr>
      <w:tr>
        <w:tc>
          <w:tcPr/>
          <w:p>
            <w:pPr>
              <w:pStyle w:val="Compact"/>
              <w:jc w:val="left"/>
            </w:pPr>
            <w:r>
              <w:rPr>
                <w:sz w:val="17"/>
              </w:rPr>
              <w:t xml:space="preserve">2007</w:t>
            </w:r>
          </w:p>
        </w:tc>
        <w:tc>
          <w:tcPr/>
          <w:p>
            <w:pPr>
              <w:pStyle w:val="Compact"/>
              <w:jc w:val="right"/>
            </w:pPr>
            <w:r>
              <w:rPr>
                <w:sz w:val="17"/>
              </w:rPr>
              <w:t xml:space="preserve">158</w:t>
            </w:r>
          </w:p>
        </w:tc>
        <w:tc>
          <w:tcPr/>
          <w:p>
            <w:pPr>
              <w:pStyle w:val="Compact"/>
              <w:jc w:val="right"/>
            </w:pPr>
            <w:r>
              <w:rPr>
                <w:sz w:val="17"/>
              </w:rPr>
              <w:t xml:space="preserve">51</w:t>
            </w:r>
          </w:p>
        </w:tc>
        <w:tc>
          <w:tcPr/>
          <w:p>
            <w:pPr>
              <w:pStyle w:val="Compact"/>
              <w:jc w:val="right"/>
            </w:pPr>
            <w:r>
              <w:rPr>
                <w:sz w:val="17"/>
              </w:rPr>
              <w:t xml:space="preserve">32.28%</w:t>
            </w:r>
          </w:p>
        </w:tc>
      </w:tr>
      <w:tr>
        <w:tc>
          <w:tcPr/>
          <w:p>
            <w:pPr>
              <w:pStyle w:val="Compact"/>
              <w:jc w:val="left"/>
            </w:pPr>
            <w:r>
              <w:rPr>
                <w:sz w:val="17"/>
              </w:rPr>
              <w:t xml:space="preserve">2008</w:t>
            </w:r>
          </w:p>
        </w:tc>
        <w:tc>
          <w:tcPr/>
          <w:p>
            <w:pPr>
              <w:pStyle w:val="Compact"/>
              <w:jc w:val="right"/>
            </w:pPr>
            <w:r>
              <w:rPr>
                <w:sz w:val="17"/>
              </w:rPr>
              <w:t xml:space="preserve">496</w:t>
            </w:r>
          </w:p>
        </w:tc>
        <w:tc>
          <w:tcPr/>
          <w:p>
            <w:pPr>
              <w:pStyle w:val="Compact"/>
              <w:jc w:val="right"/>
            </w:pPr>
            <w:r>
              <w:rPr>
                <w:sz w:val="17"/>
              </w:rPr>
              <w:t xml:space="preserve">198</w:t>
            </w:r>
          </w:p>
        </w:tc>
        <w:tc>
          <w:tcPr/>
          <w:p>
            <w:pPr>
              <w:pStyle w:val="Compact"/>
              <w:jc w:val="right"/>
            </w:pPr>
            <w:r>
              <w:rPr>
                <w:sz w:val="17"/>
              </w:rPr>
              <w:t xml:space="preserve">39.92%</w:t>
            </w:r>
          </w:p>
        </w:tc>
      </w:tr>
      <w:tr>
        <w:tc>
          <w:tcPr/>
          <w:p>
            <w:pPr>
              <w:pStyle w:val="Compact"/>
              <w:jc w:val="left"/>
            </w:pPr>
            <w:r>
              <w:rPr>
                <w:sz w:val="17"/>
              </w:rPr>
              <w:t xml:space="preserve">2009</w:t>
            </w:r>
          </w:p>
        </w:tc>
        <w:tc>
          <w:tcPr/>
          <w:p>
            <w:pPr>
              <w:pStyle w:val="Compact"/>
              <w:jc w:val="right"/>
            </w:pPr>
            <w:r>
              <w:rPr>
                <w:sz w:val="17"/>
              </w:rPr>
              <w:t xml:space="preserve">723</w:t>
            </w:r>
          </w:p>
        </w:tc>
        <w:tc>
          <w:tcPr/>
          <w:p>
            <w:pPr>
              <w:pStyle w:val="Compact"/>
              <w:jc w:val="right"/>
            </w:pPr>
            <w:r>
              <w:rPr>
                <w:sz w:val="17"/>
              </w:rPr>
              <w:t xml:space="preserve">304</w:t>
            </w:r>
          </w:p>
        </w:tc>
        <w:tc>
          <w:tcPr/>
          <w:p>
            <w:pPr>
              <w:pStyle w:val="Compact"/>
              <w:jc w:val="right"/>
            </w:pPr>
            <w:r>
              <w:rPr>
                <w:sz w:val="17"/>
              </w:rPr>
              <w:t xml:space="preserve">42.05%</w:t>
            </w:r>
          </w:p>
        </w:tc>
      </w:tr>
      <w:tr>
        <w:tc>
          <w:tcPr/>
          <w:p>
            <w:pPr>
              <w:pStyle w:val="Compact"/>
              <w:jc w:val="left"/>
            </w:pPr>
            <w:r>
              <w:rPr>
                <w:sz w:val="17"/>
              </w:rPr>
              <w:t xml:space="preserve">2010</w:t>
            </w:r>
          </w:p>
        </w:tc>
        <w:tc>
          <w:tcPr/>
          <w:p>
            <w:pPr>
              <w:pStyle w:val="Compact"/>
              <w:jc w:val="right"/>
            </w:pPr>
            <w:r>
              <w:rPr>
                <w:sz w:val="17"/>
              </w:rPr>
              <w:t xml:space="preserve">1,759</w:t>
            </w:r>
          </w:p>
        </w:tc>
        <w:tc>
          <w:tcPr/>
          <w:p>
            <w:pPr>
              <w:pStyle w:val="Compact"/>
              <w:jc w:val="right"/>
            </w:pPr>
            <w:r>
              <w:rPr>
                <w:sz w:val="17"/>
              </w:rPr>
              <w:t xml:space="preserve">561</w:t>
            </w:r>
          </w:p>
        </w:tc>
        <w:tc>
          <w:tcPr/>
          <w:p>
            <w:pPr>
              <w:pStyle w:val="Compact"/>
              <w:jc w:val="right"/>
            </w:pPr>
            <w:r>
              <w:rPr>
                <w:sz w:val="17"/>
              </w:rPr>
              <w:t xml:space="preserve">31.89%</w:t>
            </w:r>
          </w:p>
        </w:tc>
      </w:tr>
      <w:tr>
        <w:tc>
          <w:tcPr/>
          <w:p>
            <w:pPr>
              <w:pStyle w:val="Compact"/>
              <w:jc w:val="left"/>
            </w:pPr>
            <w:r>
              <w:rPr>
                <w:sz w:val="17"/>
              </w:rPr>
              <w:t xml:space="preserve">2011</w:t>
            </w:r>
          </w:p>
        </w:tc>
        <w:tc>
          <w:tcPr/>
          <w:p>
            <w:pPr>
              <w:pStyle w:val="Compact"/>
              <w:jc w:val="right"/>
            </w:pPr>
            <w:r>
              <w:rPr>
                <w:sz w:val="17"/>
              </w:rPr>
              <w:t xml:space="preserve">3,259</w:t>
            </w:r>
          </w:p>
        </w:tc>
        <w:tc>
          <w:tcPr/>
          <w:p>
            <w:pPr>
              <w:pStyle w:val="Compact"/>
              <w:jc w:val="right"/>
            </w:pPr>
            <w:r>
              <w:rPr>
                <w:sz w:val="17"/>
              </w:rPr>
              <w:t xml:space="preserve">990</w:t>
            </w:r>
          </w:p>
        </w:tc>
        <w:tc>
          <w:tcPr/>
          <w:p>
            <w:pPr>
              <w:pStyle w:val="Compact"/>
              <w:jc w:val="right"/>
            </w:pPr>
            <w:r>
              <w:rPr>
                <w:sz w:val="17"/>
              </w:rPr>
              <w:t xml:space="preserve">30.38%</w:t>
            </w:r>
          </w:p>
        </w:tc>
      </w:tr>
      <w:tr>
        <w:tc>
          <w:tcPr/>
          <w:p>
            <w:pPr>
              <w:pStyle w:val="Compact"/>
              <w:jc w:val="left"/>
            </w:pPr>
            <w:r>
              <w:rPr>
                <w:sz w:val="17"/>
              </w:rPr>
              <w:t xml:space="preserve">2012</w:t>
            </w:r>
          </w:p>
        </w:tc>
        <w:tc>
          <w:tcPr/>
          <w:p>
            <w:pPr>
              <w:pStyle w:val="Compact"/>
              <w:jc w:val="right"/>
            </w:pPr>
            <w:r>
              <w:rPr>
                <w:sz w:val="17"/>
              </w:rPr>
              <w:t xml:space="preserve">8,334</w:t>
            </w:r>
          </w:p>
        </w:tc>
        <w:tc>
          <w:tcPr/>
          <w:p>
            <w:pPr>
              <w:pStyle w:val="Compact"/>
              <w:jc w:val="right"/>
            </w:pPr>
            <w:r>
              <w:rPr>
                <w:sz w:val="17"/>
              </w:rPr>
              <w:t xml:space="preserve">2,662</w:t>
            </w:r>
          </w:p>
        </w:tc>
        <w:tc>
          <w:tcPr/>
          <w:p>
            <w:pPr>
              <w:pStyle w:val="Compact"/>
              <w:jc w:val="right"/>
            </w:pPr>
            <w:r>
              <w:rPr>
                <w:sz w:val="17"/>
              </w:rPr>
              <w:t xml:space="preserve">31.94%</w:t>
            </w:r>
          </w:p>
        </w:tc>
      </w:tr>
      <w:tr>
        <w:tc>
          <w:tcPr/>
          <w:p>
            <w:pPr>
              <w:pStyle w:val="Compact"/>
              <w:jc w:val="left"/>
            </w:pPr>
            <w:r>
              <w:rPr>
                <w:sz w:val="17"/>
              </w:rPr>
              <w:t xml:space="preserve">2013</w:t>
            </w:r>
          </w:p>
        </w:tc>
        <w:tc>
          <w:tcPr/>
          <w:p>
            <w:pPr>
              <w:pStyle w:val="Compact"/>
              <w:jc w:val="right"/>
            </w:pPr>
            <w:r>
              <w:rPr>
                <w:sz w:val="17"/>
              </w:rPr>
              <w:t xml:space="preserve">16,798</w:t>
            </w:r>
          </w:p>
        </w:tc>
        <w:tc>
          <w:tcPr/>
          <w:p>
            <w:pPr>
              <w:pStyle w:val="Compact"/>
              <w:jc w:val="right"/>
            </w:pPr>
            <w:r>
              <w:rPr>
                <w:sz w:val="17"/>
              </w:rPr>
              <w:t xml:space="preserve">5,725</w:t>
            </w:r>
          </w:p>
        </w:tc>
        <w:tc>
          <w:tcPr/>
          <w:p>
            <w:pPr>
              <w:pStyle w:val="Compact"/>
              <w:jc w:val="right"/>
            </w:pPr>
            <w:r>
              <w:rPr>
                <w:sz w:val="17"/>
              </w:rPr>
              <w:t xml:space="preserve">34.08%</w:t>
            </w:r>
          </w:p>
        </w:tc>
      </w:tr>
      <w:tr>
        <w:tc>
          <w:tcPr/>
          <w:p>
            <w:pPr>
              <w:pStyle w:val="Compact"/>
              <w:jc w:val="left"/>
            </w:pPr>
            <w:r>
              <w:rPr>
                <w:sz w:val="17"/>
              </w:rPr>
              <w:t xml:space="preserve">2014</w:t>
            </w:r>
          </w:p>
        </w:tc>
        <w:tc>
          <w:tcPr/>
          <w:p>
            <w:pPr>
              <w:pStyle w:val="Compact"/>
              <w:jc w:val="right"/>
            </w:pPr>
            <w:r>
              <w:rPr>
                <w:sz w:val="17"/>
              </w:rPr>
              <w:t xml:space="preserve">18,909</w:t>
            </w:r>
          </w:p>
        </w:tc>
        <w:tc>
          <w:tcPr/>
          <w:p>
            <w:pPr>
              <w:pStyle w:val="Compact"/>
              <w:jc w:val="right"/>
            </w:pPr>
            <w:r>
              <w:rPr>
                <w:sz w:val="17"/>
              </w:rPr>
              <w:t xml:space="preserve">10,489</w:t>
            </w:r>
          </w:p>
        </w:tc>
        <w:tc>
          <w:tcPr/>
          <w:p>
            <w:pPr>
              <w:pStyle w:val="Compact"/>
              <w:jc w:val="right"/>
            </w:pPr>
            <w:r>
              <w:rPr>
                <w:sz w:val="17"/>
              </w:rPr>
              <w:t xml:space="preserve">55.47%</w:t>
            </w:r>
          </w:p>
        </w:tc>
      </w:tr>
    </w:tbl>
    <w:p>
      <w:pPr>
        <w:pStyle w:val="BodyText"/>
      </w:pPr>
      <w:r>
        <w:t xml:space="preserve">Roughly a third of loans with a bad final status went bad inside the 12-month window; the share is larger for 2014 because those loans have not had time to go bad later. Using the fixed window shrinks the bad rate to about 4 to 5% from the lifetime rate of 10.93% and keeps it comparable across vintages.</w:t>
      </w:r>
    </w:p>
    <w:bookmarkEnd w:id="28"/>
    <w:bookmarkStart w:id="29" w:name="in-grace-period-and-the-12-month-window"/>
    <w:p>
      <w:pPr>
        <w:pStyle w:val="Heading2"/>
      </w:pPr>
      <w:r>
        <w:rPr>
          <w:rStyle w:val="SectionNumber"/>
        </w:rPr>
        <w:t xml:space="preserve">4.4</w:t>
      </w:r>
      <w:r>
        <w:tab/>
      </w:r>
      <w:r>
        <w:t xml:space="preserve">In Grace Period and the 12-month window</w:t>
      </w:r>
    </w:p>
    <w:p>
      <w:pPr>
        <w:pStyle w:val="FirstParagraph"/>
      </w:pPr>
      <w:r>
        <w:t xml:space="preserve">Loans in the "In Grace Period" status were issued between 2011-01-01 and 2014-12-01 and have last payments near the status date. For the 12-month flag the second condition (last payment within 12 months of issue) is not met by any observable loan in that status: the count of In Grace Period loans that would be flagged under the 12-month rule is 0. Coding the status as bad therefore changes the mean PD by +0.0% for the 12-month target, as the sensitivity run confirms. The coding choice matters only for the lifetime flag used to reproduce the original model.</w:t>
      </w:r>
    </w:p>
    <w:bookmarkEnd w:id="29"/>
    <w:bookmarkStart w:id="30" w:name="samples"/>
    <w:p>
      <w:pPr>
        <w:pStyle w:val="Heading2"/>
      </w:pPr>
      <w:r>
        <w:rPr>
          <w:rStyle w:val="SectionNumber"/>
        </w:rPr>
        <w:t xml:space="preserve">4.5</w:t>
      </w:r>
      <w:r>
        <w:tab/>
      </w:r>
      <w:r>
        <w:t xml:space="preserve">Samples</w:t>
      </w:r>
    </w:p>
    <w:p>
      <w:pPr>
        <w:pStyle w:val="TableCaption"/>
      </w:pPr>
      <w:r>
        <w:t xml:space="preserve">Samples. Development (train and holdout) uses issues up to December 2012. OOT 1 and OOT 2 are later cohorts never used in fitting or calibration. Seed 20261001.</w:t>
      </w:r>
    </w:p>
    <w:tbl>
      <w:tblPr>
        <w:tblStyle w:val="Table"/>
        <w:tblW w:type="pct" w:w="5000"/>
        <w:tblLayout w:type="fixed"/>
        <w:tblLook w:firstRow="1" w:lastRow="0" w:firstColumn="0" w:lastColumn="0" w:noHBand="0" w:noVBand="0" w:val="0020"/>
        <w:tblCaption w:val="Samples. Development (train and holdout) uses issues up to December 2012. OOT 1 and OOT 2 are later cohorts never used in fitting or calibration. Seed 2026100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022"/>
        <w:gridCol w:w="589"/>
        <w:gridCol w:w="1263"/>
        <w:gridCol w:w="674"/>
        <w:gridCol w:w="3370"/>
      </w:tblGrid>
      <w:tr>
        <w:trPr>
          <w:tblHeader w:val="on"/>
        </w:trPr>
        <w:tc>
          <w:tcPr/>
          <w:p>
            <w:pPr>
              <w:pStyle w:val="Compact"/>
              <w:jc w:val="left"/>
            </w:pPr>
            <w:r>
              <w:rPr>
                <w:sz w:val="17"/>
              </w:rPr>
              <w:t xml:space="preserve">Sample</w:t>
            </w:r>
          </w:p>
        </w:tc>
        <w:tc>
          <w:tcPr/>
          <w:p>
            <w:pPr>
              <w:pStyle w:val="Compact"/>
              <w:jc w:val="right"/>
            </w:pPr>
            <w:r>
              <w:rPr>
                <w:sz w:val="17"/>
              </w:rPr>
              <w:t xml:space="preserve">Loans</w:t>
            </w:r>
          </w:p>
        </w:tc>
        <w:tc>
          <w:tcPr/>
          <w:p>
            <w:pPr>
              <w:pStyle w:val="Compact"/>
              <w:jc w:val="right"/>
            </w:pPr>
            <w:r>
              <w:rPr>
                <w:sz w:val="17"/>
              </w:rPr>
              <w:t xml:space="preserve">Target</w:t>
            </w:r>
          </w:p>
        </w:tc>
        <w:tc>
          <w:tcPr/>
          <w:p>
            <w:pPr>
              <w:pStyle w:val="Compact"/>
              <w:jc w:val="right"/>
            </w:pPr>
            <w:r>
              <w:rPr>
                <w:sz w:val="17"/>
              </w:rPr>
              <w:t xml:space="preserve">Bad rate</w:t>
            </w:r>
          </w:p>
        </w:tc>
        <w:tc>
          <w:tcPr/>
          <w:p>
            <w:pPr>
              <w:pStyle w:val="Compact"/>
              <w:jc w:val="right"/>
            </w:pPr>
            <w:r>
              <w:rPr>
                <w:sz w:val="17"/>
              </w:rPr>
              <w:t xml:space="preserve">Window</w:t>
            </w:r>
          </w:p>
        </w:tc>
      </w:tr>
      <w:tr>
        <w:tc>
          <w:tcPr/>
          <w:p>
            <w:pPr>
              <w:pStyle w:val="Compact"/>
              <w:jc w:val="left"/>
            </w:pPr>
            <w:r>
              <w:rPr>
                <w:sz w:val="17"/>
              </w:rPr>
              <w:t xml:space="preserve">Development train</w:t>
            </w:r>
          </w:p>
        </w:tc>
        <w:tc>
          <w:tcPr/>
          <w:p>
            <w:pPr>
              <w:pStyle w:val="Compact"/>
              <w:jc w:val="right"/>
            </w:pPr>
            <w:r>
              <w:rPr>
                <w:sz w:val="17"/>
              </w:rPr>
              <w:t xml:space="preserve">74,522</w:t>
            </w:r>
          </w:p>
        </w:tc>
        <w:tc>
          <w:tcPr/>
          <w:p>
            <w:pPr>
              <w:pStyle w:val="Compact"/>
              <w:jc w:val="right"/>
            </w:pPr>
            <w:r>
              <w:rPr>
                <w:sz w:val="17"/>
              </w:rPr>
              <w:t xml:space="preserve">target_bad12</w:t>
            </w:r>
          </w:p>
        </w:tc>
        <w:tc>
          <w:tcPr/>
          <w:p>
            <w:pPr>
              <w:pStyle w:val="Compact"/>
              <w:jc w:val="right"/>
            </w:pPr>
            <w:r>
              <w:rPr>
                <w:sz w:val="17"/>
              </w:rPr>
              <w:t xml:space="preserve">4.77%</w:t>
            </w:r>
          </w:p>
        </w:tc>
        <w:tc>
          <w:tcPr/>
          <w:p>
            <w:pPr>
              <w:pStyle w:val="Compact"/>
              <w:jc w:val="right"/>
            </w:pPr>
            <w:r>
              <w:rPr>
                <w:sz w:val="17"/>
              </w:rPr>
              <w:t xml:space="preserve">Issued 2007-06 to 2012-12, 80% stratified</w:t>
            </w:r>
          </w:p>
        </w:tc>
      </w:tr>
      <w:tr>
        <w:tc>
          <w:tcPr/>
          <w:p>
            <w:pPr>
              <w:pStyle w:val="Compact"/>
              <w:jc w:val="left"/>
            </w:pPr>
            <w:r>
              <w:rPr>
                <w:sz w:val="17"/>
              </w:rPr>
              <w:t xml:space="preserve">Development holdout</w:t>
            </w:r>
          </w:p>
        </w:tc>
        <w:tc>
          <w:tcPr/>
          <w:p>
            <w:pPr>
              <w:pStyle w:val="Compact"/>
              <w:jc w:val="right"/>
            </w:pPr>
            <w:r>
              <w:rPr>
                <w:sz w:val="17"/>
              </w:rPr>
              <w:t xml:space="preserve">18,631</w:t>
            </w:r>
          </w:p>
        </w:tc>
        <w:tc>
          <w:tcPr/>
          <w:p>
            <w:pPr>
              <w:pStyle w:val="Compact"/>
              <w:jc w:val="right"/>
            </w:pPr>
            <w:r>
              <w:rPr>
                <w:sz w:val="17"/>
              </w:rPr>
              <w:t xml:space="preserve">target_bad12</w:t>
            </w:r>
          </w:p>
        </w:tc>
        <w:tc>
          <w:tcPr/>
          <w:p>
            <w:pPr>
              <w:pStyle w:val="Compact"/>
              <w:jc w:val="right"/>
            </w:pPr>
            <w:r>
              <w:rPr>
                <w:sz w:val="17"/>
              </w:rPr>
              <w:t xml:space="preserve">4.77%</w:t>
            </w:r>
          </w:p>
        </w:tc>
        <w:tc>
          <w:tcPr/>
          <w:p>
            <w:pPr>
              <w:pStyle w:val="Compact"/>
              <w:jc w:val="right"/>
            </w:pPr>
            <w:r>
              <w:rPr>
                <w:sz w:val="17"/>
              </w:rPr>
              <w:t xml:space="preserve">Same window, 20% stratified</w:t>
            </w:r>
          </w:p>
        </w:tc>
      </w:tr>
      <w:tr>
        <w:tc>
          <w:tcPr/>
          <w:p>
            <w:pPr>
              <w:pStyle w:val="Compact"/>
              <w:jc w:val="left"/>
            </w:pPr>
            <w:r>
              <w:rPr>
                <w:sz w:val="17"/>
              </w:rPr>
              <w:t xml:space="preserve">OOT 1</w:t>
            </w:r>
          </w:p>
        </w:tc>
        <w:tc>
          <w:tcPr/>
          <w:p>
            <w:pPr>
              <w:pStyle w:val="Compact"/>
              <w:jc w:val="right"/>
            </w:pPr>
            <w:r>
              <w:rPr>
                <w:sz w:val="17"/>
              </w:rPr>
              <w:t xml:space="preserve">134,755</w:t>
            </w:r>
          </w:p>
        </w:tc>
        <w:tc>
          <w:tcPr/>
          <w:p>
            <w:pPr>
              <w:pStyle w:val="Compact"/>
              <w:jc w:val="right"/>
            </w:pPr>
            <w:r>
              <w:rPr>
                <w:sz w:val="17"/>
              </w:rPr>
              <w:t xml:space="preserve">target_bad12</w:t>
            </w:r>
          </w:p>
        </w:tc>
        <w:tc>
          <w:tcPr/>
          <w:p>
            <w:pPr>
              <w:pStyle w:val="Compact"/>
              <w:jc w:val="right"/>
            </w:pPr>
            <w:r>
              <w:rPr>
                <w:sz w:val="17"/>
              </w:rPr>
              <w:t xml:space="preserve">4.25%</w:t>
            </w:r>
          </w:p>
        </w:tc>
        <w:tc>
          <w:tcPr/>
          <w:p>
            <w:pPr>
              <w:pStyle w:val="Compact"/>
              <w:jc w:val="right"/>
            </w:pPr>
            <w:r>
              <w:rPr>
                <w:sz w:val="17"/>
              </w:rPr>
              <w:t xml:space="preserve">Issued 2013</w:t>
            </w:r>
          </w:p>
        </w:tc>
      </w:tr>
      <w:tr>
        <w:tc>
          <w:tcPr/>
          <w:p>
            <w:pPr>
              <w:pStyle w:val="Compact"/>
              <w:jc w:val="left"/>
            </w:pPr>
            <w:r>
              <w:rPr>
                <w:sz w:val="17"/>
              </w:rPr>
              <w:t xml:space="preserve">OOT 2</w:t>
            </w:r>
          </w:p>
        </w:tc>
        <w:tc>
          <w:tcPr/>
          <w:p>
            <w:pPr>
              <w:pStyle w:val="Compact"/>
              <w:jc w:val="right"/>
            </w:pPr>
            <w:r>
              <w:rPr>
                <w:sz w:val="17"/>
              </w:rPr>
              <w:t xml:space="preserve">225,321</w:t>
            </w:r>
          </w:p>
        </w:tc>
        <w:tc>
          <w:tcPr/>
          <w:p>
            <w:pPr>
              <w:pStyle w:val="Compact"/>
              <w:jc w:val="right"/>
            </w:pPr>
            <w:r>
              <w:rPr>
                <w:sz w:val="17"/>
              </w:rPr>
              <w:t xml:space="preserve">target_bad12</w:t>
            </w:r>
          </w:p>
        </w:tc>
        <w:tc>
          <w:tcPr/>
          <w:p>
            <w:pPr>
              <w:pStyle w:val="Compact"/>
              <w:jc w:val="right"/>
            </w:pPr>
            <w:r>
              <w:rPr>
                <w:sz w:val="17"/>
              </w:rPr>
              <w:t xml:space="preserve">4.66%</w:t>
            </w:r>
          </w:p>
        </w:tc>
        <w:tc>
          <w:tcPr/>
          <w:p>
            <w:pPr>
              <w:pStyle w:val="Compact"/>
              <w:jc w:val="right"/>
            </w:pPr>
            <w:r>
              <w:rPr>
                <w:sz w:val="17"/>
              </w:rPr>
              <w:t xml:space="preserve">Issued 2014-01 to 2014-11</w:t>
            </w:r>
          </w:p>
        </w:tc>
      </w:tr>
      <w:tr>
        <w:tc>
          <w:tcPr/>
          <w:p>
            <w:pPr>
              <w:pStyle w:val="Compact"/>
              <w:jc w:val="left"/>
            </w:pPr>
            <w:r>
              <w:rPr>
                <w:sz w:val="17"/>
              </w:rPr>
              <w:t xml:space="preserve">Complete 36-month cohort</w:t>
            </w:r>
          </w:p>
        </w:tc>
        <w:tc>
          <w:tcPr/>
          <w:p>
            <w:pPr>
              <w:pStyle w:val="Compact"/>
              <w:jc w:val="right"/>
            </w:pPr>
            <w:r>
              <w:rPr>
                <w:sz w:val="17"/>
              </w:rPr>
              <w:t xml:space="preserve">72,566</w:t>
            </w:r>
          </w:p>
        </w:tc>
        <w:tc>
          <w:tcPr/>
          <w:p>
            <w:pPr>
              <w:pStyle w:val="Compact"/>
              <w:jc w:val="right"/>
            </w:pPr>
            <w:r>
              <w:rPr>
                <w:sz w:val="17"/>
              </w:rPr>
              <w:t xml:space="preserve">target_lifetime</w:t>
            </w:r>
          </w:p>
        </w:tc>
        <w:tc>
          <w:tcPr/>
          <w:p>
            <w:pPr>
              <w:pStyle w:val="Compact"/>
              <w:jc w:val="right"/>
            </w:pPr>
            <w:r>
              <w:rPr>
                <w:sz w:val="17"/>
              </w:rPr>
              <w:t xml:space="preserve">12.63%</w:t>
            </w:r>
          </w:p>
        </w:tc>
        <w:tc>
          <w:tcPr/>
          <w:p>
            <w:pPr>
              <w:pStyle w:val="Compact"/>
              <w:jc w:val="right"/>
            </w:pPr>
            <w:r>
              <w:rPr>
                <w:sz w:val="17"/>
              </w:rPr>
              <w:t xml:space="preserve">36-month loans issued to 2012-12</w:t>
            </w:r>
          </w:p>
        </w:tc>
      </w:tr>
      <w:tr>
        <w:tc>
          <w:tcPr/>
          <w:p>
            <w:pPr>
              <w:pStyle w:val="Compact"/>
              <w:jc w:val="left"/>
            </w:pPr>
            <w:r>
              <w:rPr>
                <w:sz w:val="17"/>
              </w:rPr>
              <w:t xml:space="preserve">Repro train</w:t>
            </w:r>
          </w:p>
        </w:tc>
        <w:tc>
          <w:tcPr/>
          <w:p>
            <w:pPr>
              <w:pStyle w:val="Compact"/>
              <w:jc w:val="right"/>
            </w:pPr>
            <w:r>
              <w:rPr>
                <w:sz w:val="17"/>
              </w:rPr>
              <w:t xml:space="preserve">373,028</w:t>
            </w:r>
          </w:p>
        </w:tc>
        <w:tc>
          <w:tcPr/>
          <w:p>
            <w:pPr>
              <w:pStyle w:val="Compact"/>
              <w:jc w:val="right"/>
            </w:pPr>
            <w:r>
              <w:rPr>
                <w:sz w:val="17"/>
              </w:rPr>
              <w:t xml:space="preserve">target_bad12</w:t>
            </w:r>
          </w:p>
        </w:tc>
        <w:tc>
          <w:tcPr/>
          <w:p>
            <w:pPr>
              <w:pStyle w:val="Compact"/>
              <w:jc w:val="right"/>
            </w:pPr>
            <w:r>
              <w:rPr>
                <w:sz w:val="17"/>
              </w:rPr>
              <w:t xml:space="preserve">4.61%</w:t>
            </w:r>
          </w:p>
        </w:tc>
        <w:tc>
          <w:tcPr/>
          <w:p>
            <w:pPr>
              <w:pStyle w:val="Compact"/>
              <w:jc w:val="right"/>
            </w:pPr>
            <w:r>
              <w:rPr>
                <w:sz w:val="17"/>
              </w:rPr>
              <w:t xml:space="preserve">Random 80% of all loans</w:t>
            </w:r>
          </w:p>
        </w:tc>
      </w:tr>
      <w:tr>
        <w:tc>
          <w:tcPr/>
          <w:p>
            <w:pPr>
              <w:pStyle w:val="Compact"/>
              <w:jc w:val="left"/>
            </w:pPr>
            <w:r>
              <w:rPr>
                <w:sz w:val="17"/>
              </w:rPr>
              <w:t xml:space="preserve">Repro test</w:t>
            </w:r>
          </w:p>
        </w:tc>
        <w:tc>
          <w:tcPr/>
          <w:p>
            <w:pPr>
              <w:pStyle w:val="Compact"/>
              <w:jc w:val="right"/>
            </w:pPr>
            <w:r>
              <w:rPr>
                <w:sz w:val="17"/>
              </w:rPr>
              <w:t xml:space="preserve">93,257</w:t>
            </w:r>
          </w:p>
        </w:tc>
        <w:tc>
          <w:tcPr/>
          <w:p>
            <w:pPr>
              <w:pStyle w:val="Compact"/>
              <w:jc w:val="right"/>
            </w:pPr>
            <w:r>
              <w:rPr>
                <w:sz w:val="17"/>
              </w:rPr>
              <w:t xml:space="preserve">target_lifetime</w:t>
            </w:r>
          </w:p>
        </w:tc>
        <w:tc>
          <w:tcPr/>
          <w:p>
            <w:pPr>
              <w:pStyle w:val="Compact"/>
              <w:jc w:val="right"/>
            </w:pPr>
            <w:r>
              <w:rPr>
                <w:sz w:val="17"/>
              </w:rPr>
              <w:t xml:space="preserve">10.93%</w:t>
            </w:r>
          </w:p>
        </w:tc>
        <w:tc>
          <w:tcPr/>
          <w:p>
            <w:pPr>
              <w:pStyle w:val="Compact"/>
              <w:jc w:val="right"/>
            </w:pPr>
            <w:r>
              <w:rPr>
                <w:sz w:val="17"/>
              </w:rPr>
              <w:t xml:space="preserve">Random 20% of all loans</w:t>
            </w:r>
          </w:p>
        </w:tc>
      </w:tr>
    </w:tbl>
    <w:p>
      <w:pPr>
        <w:pStyle w:val="BodyText"/>
      </w:pPr>
      <w:r>
        <w:t xml:space="preserve">Development is split into a stratified random 80% training sample and a 20% holdout. The holdout provides the in-time metrics and is the data on which the gradient-boosted models are probability-calibrated; the two out-of-time samples are never touched during fitting, tuning or calibration. The "complete 36-month" cohort (36-month loans issued up to 2012, almost all fully resolved) is used with the lifetime flag for the lifetime expected-loss back-test. The repro samples reproduce the original model's random 80/20 design and are used only for the reproduction in section 9.</w:t>
      </w:r>
    </w:p>
    <w:bookmarkEnd w:id="30"/>
    <w:bookmarkEnd w:id="31"/>
    <w:bookmarkStart w:id="35" w:name="feature-set-and-leakage-controls"/>
    <w:p>
      <w:pPr>
        <w:pStyle w:val="Heading1"/>
      </w:pPr>
      <w:r>
        <w:rPr>
          <w:rStyle w:val="SectionNumber"/>
        </w:rPr>
        <w:t xml:space="preserve">5</w:t>
      </w:r>
      <w:r>
        <w:tab/>
      </w:r>
      <w:r>
        <w:t xml:space="preserve">Feature set and leakage controls</w:t>
      </w:r>
    </w:p>
    <w:bookmarkStart w:id="32" w:name="application-time-features-only"/>
    <w:p>
      <w:pPr>
        <w:pStyle w:val="Heading2"/>
      </w:pPr>
      <w:r>
        <w:rPr>
          <w:rStyle w:val="SectionNumber"/>
        </w:rPr>
        <w:t xml:space="preserve">5.1</w:t>
      </w:r>
      <w:r>
        <w:tab/>
      </w:r>
      <w:r>
        <w:t xml:space="preserve">Application-time features only</w:t>
      </w:r>
    </w:p>
    <w:p>
      <w:pPr>
        <w:pStyle w:val="FirstParagraph"/>
      </w:pPr>
      <w:r>
        <w:t xml:space="preserve">A PD model for decisions must use only information available when the loan is approved. The feature list (</w:t>
      </w:r>
      <w:r>
        <w:rPr>
          <w:rStyle w:val="VerbatimChar"/>
        </w:rPr>
        <w:t xml:space="preserve">columns.APPLICATION_FEATURES</w:t>
      </w:r>
      <w:r>
        <w:t xml:space="preserve">) has 26 variables: loan amount, term, interest rate, installment, grade and sub-grade, employment length, home ownership, annual income, verification status, purpose, state, debt-to-income, delinquencies in the past two years, inquiries in the past six months, months since last delinquency and public record, open accounts, public records, revolving balance and utilization, total accounts, initial list status, and four derived variables: credit history length in months, loan-to-income, payment-to-income (installment times twelve over income) and the term in months.</w:t>
      </w:r>
    </w:p>
    <w:bookmarkEnd w:id="32"/>
    <w:bookmarkStart w:id="33" w:name="what-is-forbidden"/>
    <w:p>
      <w:pPr>
        <w:pStyle w:val="Heading2"/>
      </w:pPr>
      <w:r>
        <w:rPr>
          <w:rStyle w:val="SectionNumber"/>
        </w:rPr>
        <w:t xml:space="preserve">5.2</w:t>
      </w:r>
      <w:r>
        <w:tab/>
      </w:r>
      <w:r>
        <w:t xml:space="preserve">What is forbidden</w:t>
      </w:r>
    </w:p>
    <w:p>
      <w:pPr>
        <w:pStyle w:val="FirstParagraph"/>
      </w:pPr>
      <w:r>
        <w:t xml:space="preserve">All fields generated after origination are excluded by name: payments received, outstanding principal, recoveries, the last payment date, next payment date, last credit pull date, loan status itself and similar.</w:t>
      </w:r>
      <w:r>
        <w:t xml:space="preserve"> </w:t>
      </w:r>
      <w:r>
        <w:rPr>
          <w:rStyle w:val="VerbatimChar"/>
        </w:rPr>
        <w:t xml:space="preserve">features.assert_no_leakage</w:t>
      </w:r>
      <w:r>
        <w:t xml:space="preserve"> </w:t>
      </w:r>
      <w:r>
        <w:t xml:space="preserve">raises an error if any feature, any column in</w:t>
      </w:r>
      <w:r>
        <w:t xml:space="preserve"> </w:t>
      </w:r>
      <w:r>
        <w:rPr>
          <w:rStyle w:val="VerbatimChar"/>
        </w:rPr>
        <w:t xml:space="preserve">POST_ORIGINATION</w:t>
      </w:r>
      <w:r>
        <w:t xml:space="preserve">, any vintage proxy (</w:t>
      </w:r>
      <w:r>
        <w:rPr>
          <w:rStyle w:val="VerbatimChar"/>
        </w:rPr>
        <w:t xml:space="preserve">mths_since_issue_d</w:t>
      </w:r>
      <w:r>
        <w:t xml:space="preserve">) or any target column appears in a model's feature list, and every model-fitting entry point calls it. The vintage proxy is forbidden because loan age to a fixed reference date identifies the issue month, and issue month correlates with how long the loan was observed (section 9).</w:t>
      </w:r>
    </w:p>
    <w:bookmarkEnd w:id="33"/>
    <w:bookmarkStart w:id="34" w:name="two-champions-to-expose-circularity"/>
    <w:p>
      <w:pPr>
        <w:pStyle w:val="Heading2"/>
      </w:pPr>
      <w:r>
        <w:rPr>
          <w:rStyle w:val="SectionNumber"/>
        </w:rPr>
        <w:t xml:space="preserve">5.3</w:t>
      </w:r>
      <w:r>
        <w:tab/>
      </w:r>
      <w:r>
        <w:t xml:space="preserve">Two champions to expose circularity</w:t>
      </w:r>
    </w:p>
    <w:p>
      <w:pPr>
        <w:pStyle w:val="FirstParagraph"/>
      </w:pPr>
      <w:r>
        <w:t xml:space="preserve">LendingClub assigns each loan a grade, a sub-grade and an interest rate using its own underwriting model. These are outputs of a risk model, so a PD model that uses them partly re-learns the lender's model. To measure how much, two scorecards are fitted:</w:t>
      </w:r>
      <w:r>
        <w:t xml:space="preserve"> </w:t>
      </w:r>
      <w:r>
        <w:rPr>
          <w:b/>
          <w:bCs/>
        </w:rPr>
        <w:t xml:space="preserve">SC_FULL</w:t>
      </w:r>
      <w:r>
        <w:t xml:space="preserve"> </w:t>
      </w:r>
      <w:r>
        <w:t xml:space="preserve">uses all application features including the four LendingClub risk outputs (grade, sub_grade, int_rate, installment), and</w:t>
      </w:r>
      <w:r>
        <w:t xml:space="preserve"> </w:t>
      </w:r>
      <w:r>
        <w:rPr>
          <w:b/>
          <w:bCs/>
        </w:rPr>
        <w:t xml:space="preserve">SC_INDEP</w:t>
      </w:r>
      <w:r>
        <w:t xml:space="preserve"> </w:t>
      </w:r>
      <w:r>
        <w:t xml:space="preserve">excludes them. The difference in performance is the value of the lender's own score. This is finding F-07 and is quantified in section 13.</w:t>
      </w:r>
    </w:p>
    <w:bookmarkEnd w:id="34"/>
    <w:bookmarkEnd w:id="35"/>
    <w:bookmarkStart w:id="41" w:name="X9e2f566c65000196be46177f5bdbbecda489461"/>
    <w:p>
      <w:pPr>
        <w:pStyle w:val="Heading1"/>
      </w:pPr>
      <w:r>
        <w:rPr>
          <w:rStyle w:val="SectionNumber"/>
        </w:rPr>
        <w:t xml:space="preserve">6</w:t>
      </w:r>
      <w:r>
        <w:tab/>
      </w:r>
      <w:r>
        <w:t xml:space="preserve">Weight of evidence, information value and the binning algorithm</w:t>
      </w:r>
    </w:p>
    <w:bookmarkStart w:id="36" w:name="intuition"/>
    <w:p>
      <w:pPr>
        <w:pStyle w:val="Heading2"/>
      </w:pPr>
      <w:r>
        <w:rPr>
          <w:rStyle w:val="SectionNumber"/>
        </w:rPr>
        <w:t xml:space="preserve">6.1</w:t>
      </w:r>
      <w:r>
        <w:tab/>
      </w:r>
      <w:r>
        <w:t xml:space="preserve">Intuition</w:t>
      </w:r>
    </w:p>
    <w:p>
      <w:pPr>
        <w:pStyle w:val="FirstParagraph"/>
      </w:pPr>
      <w:r>
        <w:t xml:space="preserve">A logistic regression needs numbers, but credit variables are messy: income is skewed, state is a label with 50 levels, and some fields are missing for a reason. Scorecard practice replaces each variable by a small number of</w:t>
      </w:r>
      <w:r>
        <w:t xml:space="preserve"> </w:t>
      </w:r>
      <w:r>
        <w:rPr>
          <w:b/>
          <w:bCs/>
        </w:rPr>
        <w:t xml:space="preserve">bins</w:t>
      </w:r>
      <w:r>
        <w:t xml:space="preserve"> </w:t>
      </w:r>
      <w:r>
        <w:t xml:space="preserve">and replaces each bin by a single number that says how much safer or riskier that bin is than average. That number is the</w:t>
      </w:r>
      <w:r>
        <w:t xml:space="preserve"> </w:t>
      </w:r>
      <w:r>
        <w:rPr>
          <w:b/>
          <w:bCs/>
        </w:rPr>
        <w:t xml:space="preserve">weight of evidence</w:t>
      </w:r>
      <w:r>
        <w:t xml:space="preserve"> </w:t>
      </w:r>
      <w:r>
        <w:t xml:space="preserve">(WoE). The variable then enters the regression as one column of WoE values, which is monotone in risk by construction, handles missing values in a bin of their own, and makes every variable's contribution to the final score visible as points.</w:t>
      </w:r>
    </w:p>
    <w:bookmarkEnd w:id="36"/>
    <w:bookmarkStart w:id="37" w:name="the-math"/>
    <w:p>
      <w:pPr>
        <w:pStyle w:val="Heading2"/>
      </w:pPr>
      <w:r>
        <w:rPr>
          <w:rStyle w:val="SectionNumber"/>
        </w:rPr>
        <w:t xml:space="preserve">6.2</w:t>
      </w:r>
      <w:r>
        <w:tab/>
      </w:r>
      <w:r>
        <w:t xml:space="preserve">The math</w:t>
      </w:r>
    </w:p>
    <w:p>
      <w:pPr>
        <w:pStyle w:val="FirstParagraph"/>
      </w:pPr>
      <w:r>
        <w:t xml:space="preserve">Let</w:t>
      </w:r>
      <w:r>
        <w:t xml:space="preserve"> </w:t>
      </w:r>
      <m:oMath>
        <m:r>
          <m:t>B</m:t>
        </m:r>
      </m:oMath>
      <w:r>
        <w:t xml:space="preserve"> </w:t>
      </w:r>
      <w:r>
        <w:t xml:space="preserve">be the total number of bad loans and</w:t>
      </w:r>
      <w:r>
        <w:t xml:space="preserve"> </w:t>
      </w:r>
      <m:oMath>
        <m:r>
          <m:t>G</m:t>
        </m:r>
      </m:oMath>
      <w:r>
        <w:t xml:space="preserve"> </w:t>
      </w:r>
      <w:r>
        <w:t xml:space="preserve">the total number of good loans. For bin</w:t>
      </w:r>
      <w:r>
        <w:t xml:space="preserve"> </w:t>
      </w:r>
      <m:oMath>
        <m:r>
          <m:t>i</m:t>
        </m:r>
      </m:oMath>
      <w:r>
        <w:t xml:space="preserve"> </w:t>
      </w:r>
      <w:r>
        <w:t xml:space="preserve">with</w:t>
      </w:r>
      <w:r>
        <w:t xml:space="preserve"> </w:t>
      </w:r>
      <m:oMath>
        <m:sSub>
          <m:e>
            <m:r>
              <m:t>b</m:t>
            </m:r>
          </m:e>
          <m:sub>
            <m:r>
              <m:t>i</m:t>
            </m:r>
          </m:sub>
        </m:sSub>
      </m:oMath>
      <w:r>
        <w:t xml:space="preserve"> </w:t>
      </w:r>
      <w:r>
        <w:t xml:space="preserve">bads and</w:t>
      </w:r>
      <w:r>
        <w:t xml:space="preserve"> </w:t>
      </w:r>
      <m:oMath>
        <m:sSub>
          <m:e>
            <m:r>
              <m:t>g</m:t>
            </m:r>
          </m:e>
          <m:sub>
            <m:r>
              <m:t>i</m:t>
            </m:r>
          </m:sub>
        </m:sSub>
      </m:oMath>
      <w:r>
        <w:t xml:space="preserve"> </w:t>
      </w:r>
      <w:r>
        <w:t xml:space="preserve">goods, let</w:t>
      </w:r>
      <w:r>
        <w:t xml:space="preserve"> </w:t>
      </w:r>
      <m:oMath>
        <m:sSubSup>
          <m:e>
            <m:r>
              <m:t>d</m:t>
            </m:r>
          </m:e>
          <m:sub>
            <m:r>
              <m:t>i</m:t>
            </m:r>
          </m:sub>
          <m:sup>
            <m:r>
              <m:t>B</m:t>
            </m:r>
          </m:sup>
        </m:sSubSup>
        <m:r>
          <m:rPr>
            <m:sty m:val="p"/>
          </m:rPr>
          <m:t>=</m:t>
        </m:r>
        <m:sSub>
          <m:e>
            <m:r>
              <m:t>b</m:t>
            </m:r>
          </m:e>
          <m:sub>
            <m:r>
              <m:t>i</m:t>
            </m:r>
          </m:sub>
        </m:sSub>
        <m:r>
          <m:rPr>
            <m:sty m:val="p"/>
          </m:rPr>
          <m:t>/</m:t>
        </m:r>
        <m:r>
          <m:t>B</m:t>
        </m:r>
      </m:oMath>
      <w:r>
        <w:t xml:space="preserve"> </w:t>
      </w:r>
      <w:r>
        <w:t xml:space="preserve">and</w:t>
      </w:r>
      <w:r>
        <w:t xml:space="preserve"> </w:t>
      </w:r>
      <m:oMath>
        <m:sSubSup>
          <m:e>
            <m:r>
              <m:t>d</m:t>
            </m:r>
          </m:e>
          <m:sub>
            <m:r>
              <m:t>i</m:t>
            </m:r>
          </m:sub>
          <m:sup>
            <m:r>
              <m:t>G</m:t>
            </m:r>
          </m:sup>
        </m:sSubSup>
        <m:r>
          <m:rPr>
            <m:sty m:val="p"/>
          </m:rPr>
          <m:t>=</m:t>
        </m:r>
        <m:sSub>
          <m:e>
            <m:r>
              <m:t>g</m:t>
            </m:r>
          </m:e>
          <m:sub>
            <m:r>
              <m:t>i</m:t>
            </m:r>
          </m:sub>
        </m:sSub>
        <m:r>
          <m:rPr>
            <m:sty m:val="p"/>
          </m:rPr>
          <m:t>/</m:t>
        </m:r>
        <m:r>
          <m:t>G</m:t>
        </m:r>
      </m:oMath>
      <w:r>
        <w:t xml:space="preserve"> </w:t>
      </w:r>
      <w:r>
        <w:t xml:space="preserve">be the shares of all bads and of all goods that fall in the bin. Then</w:t>
      </w:r>
    </w:p>
    <w:p>
      <w:pPr>
        <w:pStyle w:val="BodyText"/>
      </w:pPr>
      <m:oMathPara>
        <m:oMathParaPr>
          <m:jc m:val="center"/>
        </m:oMathParaPr>
        <m:oMath>
          <m:sSub>
            <m:e>
              <m:r>
                <m:rPr>
                  <m:sty m:val="p"/>
                </m:rPr>
                <m:t>W</m:t>
              </m:r>
              <m:r>
                <m:rPr>
                  <m:sty m:val="p"/>
                </m:rPr>
                <m:t>o</m:t>
              </m:r>
              <m:r>
                <m:rPr>
                  <m:sty m:val="p"/>
                </m:rPr>
                <m:t>E</m:t>
              </m:r>
            </m:e>
            <m:sub>
              <m:r>
                <m:t>i</m:t>
              </m:r>
            </m:sub>
          </m:sSub>
          <m:r>
            <m:rPr>
              <m:sty m:val="p"/>
            </m:rPr>
            <m:t>=</m:t>
          </m:r>
          <m:r>
            <m:rPr>
              <m:sty m:val="p"/>
            </m:rPr>
            <m:t>ln</m:t>
          </m:r>
          <m:f>
            <m:fPr>
              <m:type m:val="bar"/>
            </m:fPr>
            <m:num>
              <m:sSubSup>
                <m:e>
                  <m:r>
                    <m:t>d</m:t>
                  </m:r>
                </m:e>
                <m:sub>
                  <m:r>
                    <m:t>i</m:t>
                  </m:r>
                </m:sub>
                <m:sup>
                  <m:r>
                    <m:t>G</m:t>
                  </m:r>
                </m:sup>
              </m:sSubSup>
            </m:num>
            <m:den>
              <m:sSubSup>
                <m:e>
                  <m:r>
                    <m:t>d</m:t>
                  </m:r>
                </m:e>
                <m:sub>
                  <m:r>
                    <m:t>i</m:t>
                  </m:r>
                </m:sub>
                <m:sup>
                  <m:r>
                    <m:t>B</m:t>
                  </m:r>
                </m:sup>
              </m:sSubSup>
            </m:den>
          </m:f>
          <m:r>
            <m:rPr>
              <m:sty m:val="p"/>
            </m:rPr>
            <m:t>,</m:t>
          </m:r>
          <m:r>
            <m:t>  </m:t>
          </m:r>
          <m:r>
            <m:rPr>
              <m:sty m:val="p"/>
            </m:rPr>
            <m:t>I</m:t>
          </m:r>
          <m:r>
            <m:rPr>
              <m:sty m:val="p"/>
            </m:rPr>
            <m:t>V</m:t>
          </m:r>
          <m:r>
            <m:rPr>
              <m:sty m:val="p"/>
            </m:rPr>
            <m:t>=</m:t>
          </m:r>
          <m:nary>
            <m:naryPr>
              <m:chr m:val="∑"/>
              <m:limLoc m:val="undOvr"/>
              <m:subHide m:val="off"/>
              <m:supHide m:val="on"/>
            </m:naryPr>
            <m:sub>
              <m:r>
                <m:t>i</m:t>
              </m:r>
            </m:sub>
            <m:sup>
              <m:r>
                <m:t>​</m:t>
              </m:r>
            </m:sup>
            <m:e>
              <m:d>
                <m:dPr>
                  <m:begChr m:val="("/>
                  <m:sepChr m:val=""/>
                  <m:endChr m:val=")"/>
                  <m:grow/>
                </m:dPr>
                <m:e>
                  <m:sSubSup>
                    <m:e>
                      <m:r>
                        <m:t>d</m:t>
                      </m:r>
                    </m:e>
                    <m:sub>
                      <m:r>
                        <m:t>i</m:t>
                      </m:r>
                    </m:sub>
                    <m:sup>
                      <m:r>
                        <m:t>G</m:t>
                      </m:r>
                    </m:sup>
                  </m:sSubSup>
                  <m:r>
                    <m:rPr>
                      <m:sty m:val="p"/>
                    </m:rPr>
                    <m:t>−</m:t>
                  </m:r>
                  <m:sSubSup>
                    <m:e>
                      <m:r>
                        <m:t>d</m:t>
                      </m:r>
                    </m:e>
                    <m:sub>
                      <m:r>
                        <m:t>i</m:t>
                      </m:r>
                    </m:sub>
                    <m:sup>
                      <m:r>
                        <m:t>B</m:t>
                      </m:r>
                    </m:sup>
                  </m:sSubSup>
                </m:e>
              </m:d>
            </m:e>
          </m:nary>
          <m:sSub>
            <m:e>
              <m:r>
                <m:rPr>
                  <m:sty m:val="p"/>
                </m:rPr>
                <m:t>W</m:t>
              </m:r>
              <m:r>
                <m:rPr>
                  <m:sty m:val="p"/>
                </m:rPr>
                <m:t>o</m:t>
              </m:r>
              <m:r>
                <m:rPr>
                  <m:sty m:val="p"/>
                </m:rPr>
                <m:t>E</m:t>
              </m:r>
            </m:e>
            <m:sub>
              <m:r>
                <m:t>i</m:t>
              </m:r>
            </m:sub>
          </m:sSub>
          <m:r>
            <m:rPr>
              <m:sty m:val="p"/>
            </m:rPr>
            <m:t>.</m:t>
          </m:r>
        </m:oMath>
      </m:oMathPara>
    </w:p>
    <w:p>
      <w:pPr>
        <w:pStyle w:val="FirstParagraph"/>
      </w:pPr>
      <w:r>
        <w:t xml:space="preserve">A positive WoE means the bin holds a larger share of goods than of bads, so it is safer than average; a negative WoE means riskier. Each term of the IV is non-negative (the difference and the log have the same sign), so IV measures total separation and is zero only if every bin looks like the population. A common rule of thumb reads IV below 0.02 as not useful, 0.02 to 0.1 weak, 0.1 to 0.3 medium, 0.3 to 0.5 strong and above 0.5 suspiciously strong (Siddiqi, 2006). IV is the symmetrized Kullback-Leibler divergence between the good and bad distributions over the bins.</w:t>
      </w:r>
    </w:p>
    <w:p>
      <w:pPr>
        <w:pStyle w:val="BodyText"/>
      </w:pPr>
      <w:r>
        <w:t xml:space="preserve">The sign convention matters in this project: WoE is</w:t>
      </w:r>
      <w:r>
        <w:t xml:space="preserve"> </w:t>
      </w:r>
      <m:oMath>
        <m:r>
          <m:rPr>
            <m:sty m:val="p"/>
          </m:rPr>
          <m:t>ln</m:t>
        </m:r>
        <m:r>
          <m:rPr>
            <m:sty m:val="p"/>
          </m:rPr>
          <m:t>(</m:t>
        </m:r>
        <m:r>
          <m:rPr>
            <m:sty m:val="p"/>
          </m:rPr>
          <m:t>%</m:t>
        </m:r>
        <m:r>
          <m:rPr>
            <m:nor/>
            <m:sty m:val="p"/>
          </m:rPr>
          <m:t>good</m:t>
        </m:r>
        <m:r>
          <m:rPr>
            <m:sty m:val="p"/>
          </m:rPr>
          <m:t>/</m:t>
        </m:r>
        <m:r>
          <m:rPr>
            <m:sty m:val="p"/>
          </m:rPr>
          <m:t>%</m:t>
        </m:r>
        <m:r>
          <m:rPr>
            <m:nor/>
            <m:sty m:val="p"/>
          </m:rPr>
          <m:t>bad</m:t>
        </m:r>
        <m:r>
          <m:rPr>
            <m:sty m:val="p"/>
          </m:rPr>
          <m:t>)</m:t>
        </m:r>
      </m:oMath>
      <w:r>
        <w:t xml:space="preserve">, so higher WoE is safer and the fitted logit coefficient on WoE is</w:t>
      </w:r>
      <w:r>
        <w:t xml:space="preserve"> </w:t>
      </w:r>
      <w:r>
        <w:rPr>
          <w:b/>
          <w:bCs/>
        </w:rPr>
        <w:t xml:space="preserve">negative</w:t>
      </w:r>
      <w:r>
        <w:t xml:space="preserve"> </w:t>
      </w:r>
      <w:r>
        <w:t xml:space="preserve">(the logit models the chance of bad). A positive coefficient therefore signals a "wrong sign" and the variable is removed.</w:t>
      </w:r>
    </w:p>
    <w:p>
      <w:pPr>
        <w:pStyle w:val="BodyText"/>
      </w:pPr>
      <w:r>
        <w:t xml:space="preserve">Empty cells make</w:t>
      </w:r>
      <w:r>
        <w:t xml:space="preserve"> </w:t>
      </w:r>
      <m:oMath>
        <m:r>
          <m:rPr>
            <m:sty m:val="p"/>
          </m:rPr>
          <m:t>ln</m:t>
        </m:r>
      </m:oMath>
      <w:r>
        <w:t xml:space="preserve"> </w:t>
      </w:r>
      <w:r>
        <w:t xml:space="preserve">undefined, so shares are smoothed by adding 0.5 to every populated bin:</w:t>
      </w:r>
      <w:r>
        <w:t xml:space="preserve"> </w:t>
      </w:r>
      <m:oMath>
        <m:sSubSup>
          <m:e>
            <m:r>
              <m:t>d</m:t>
            </m:r>
          </m:e>
          <m:sub>
            <m:r>
              <m:t>i</m:t>
            </m:r>
          </m:sub>
          <m:sup>
            <m:r>
              <m:t>B</m:t>
            </m:r>
          </m:sup>
        </m:sSubSup>
        <m:r>
          <m:rPr>
            <m:sty m:val="p"/>
          </m:rPr>
          <m:t>=</m:t>
        </m:r>
        <m:r>
          <m:rPr>
            <m:sty m:val="p"/>
          </m:rPr>
          <m:t>(</m:t>
        </m:r>
        <m:sSub>
          <m:e>
            <m:r>
              <m:t>b</m:t>
            </m:r>
          </m:e>
          <m:sub>
            <m:r>
              <m:t>i</m:t>
            </m:r>
          </m:sub>
        </m:sSub>
        <m:r>
          <m:rPr>
            <m:sty m:val="p"/>
          </m:rPr>
          <m:t>+</m:t>
        </m:r>
        <m:r>
          <m:t>0.5</m:t>
        </m:r>
        <m:r>
          <m:rPr>
            <m:sty m:val="p"/>
          </m:rPr>
          <m:t>)</m:t>
        </m:r>
        <m:r>
          <m:rPr>
            <m:sty m:val="p"/>
          </m:rPr>
          <m:t>/</m:t>
        </m:r>
        <m:r>
          <m:rPr>
            <m:sty m:val="p"/>
          </m:rPr>
          <m:t>(</m:t>
        </m:r>
        <m:r>
          <m:t>B</m:t>
        </m:r>
        <m:r>
          <m:rPr>
            <m:sty m:val="p"/>
          </m:rPr>
          <m:t>+</m:t>
        </m:r>
        <m:r>
          <m:t>0.5</m:t>
        </m:r>
        <m:r>
          <m:t>k</m:t>
        </m:r>
        <m:r>
          <m:rPr>
            <m:sty m:val="p"/>
          </m:rPr>
          <m:t>)</m:t>
        </m:r>
      </m:oMath>
      <w:r>
        <w:t xml:space="preserve"> </w:t>
      </w:r>
      <w:r>
        <w:t xml:space="preserve">and similarly for goods, with</w:t>
      </w:r>
      <w:r>
        <w:t xml:space="preserve"> </w:t>
      </w:r>
      <m:oMath>
        <m:r>
          <m:t>k</m:t>
        </m:r>
      </m:oMath>
      <w:r>
        <w:t xml:space="preserve"> </w:t>
      </w:r>
      <w:r>
        <w:t xml:space="preserve">the number of populated bins (</w:t>
      </w:r>
      <w:r>
        <w:rPr>
          <w:rStyle w:val="VerbatimChar"/>
        </w:rPr>
        <w:t xml:space="preserve">binning.woe_iv</w:t>
      </w:r>
      <w:r>
        <w:t xml:space="preserve">, constant</w:t>
      </w:r>
      <w:r>
        <w:t xml:space="preserve"> </w:t>
      </w:r>
      <w:r>
        <w:rPr>
          <w:rStyle w:val="VerbatimChar"/>
        </w:rPr>
        <w:t xml:space="preserve">SMOOTH</w:t>
      </w:r>
      <w:r>
        <w:t xml:space="preserve">).</w:t>
      </w:r>
    </w:p>
    <w:bookmarkEnd w:id="37"/>
    <w:bookmarkStart w:id="38" w:name="X3de0109b57f6a4aa420f705530eb843b90ddeb0"/>
    <w:p>
      <w:pPr>
        <w:pStyle w:val="Heading2"/>
      </w:pPr>
      <w:r>
        <w:rPr>
          <w:rStyle w:val="SectionNumber"/>
        </w:rPr>
        <w:t xml:space="preserve">6.3</w:t>
      </w:r>
      <w:r>
        <w:tab/>
      </w:r>
      <w:r>
        <w:t xml:space="preserve">Worked example: inquiries in the last six months</w:t>
      </w:r>
    </w:p>
    <w:p>
      <w:pPr>
        <w:pStyle w:val="FirstParagraph"/>
      </w:pPr>
      <w:r>
        <w:t xml:space="preserve">The champion's bins for</w:t>
      </w:r>
      <w:r>
        <w:t xml:space="preserve"> </w:t>
      </w:r>
      <w:r>
        <w:rPr>
          <w:rStyle w:val="VerbatimChar"/>
        </w:rPr>
        <w:t xml:space="preserve">inq_last_6mths</w:t>
      </w:r>
      <w:r>
        <w:t xml:space="preserve"> </w:t>
      </w:r>
      <w:r>
        <w:t xml:space="preserve">(fitted on the development training sample) are:</w:t>
      </w:r>
    </w:p>
    <w:p>
      <w:pPr>
        <w:pStyle w:val="TableCaption"/>
      </w:pPr>
      <w:r>
        <w:t xml:space="preserve">Bins, bad rates, WoE and IV contributions for inq_last_6mths in SC_FULL (</w:t>
      </w:r>
      <w:r>
        <w:rPr>
          <w:rStyle w:val="VerbatimChar"/>
        </w:rPr>
        <w:t xml:space="preserve">binning_report.csv</w:t>
      </w:r>
      <w:r>
        <w:t xml:space="preserve">). The Missing bin is empty and omitted.</w:t>
      </w:r>
    </w:p>
    <w:tbl>
      <w:tblPr>
        <w:tblStyle w:val="Table"/>
        <w:tblW w:type="auto" w:w="0"/>
        <w:tblLook w:firstRow="1" w:lastRow="0" w:firstColumn="0" w:lastColumn="0" w:noHBand="0" w:noVBand="0" w:val="0020"/>
        <w:tblCaption w:val="Bins, bad rates, WoE and IV contributions for inq_last_6mths in SC_FULL (binning_report.csv). The Missing bin is empty and omitt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inq_last_6mths bin</w:t>
            </w:r>
          </w:p>
        </w:tc>
        <w:tc>
          <w:tcPr/>
          <w:p>
            <w:pPr>
              <w:pStyle w:val="Compact"/>
              <w:jc w:val="right"/>
            </w:pPr>
            <w:r>
              <w:rPr>
                <w:sz w:val="17"/>
              </w:rPr>
              <w:t xml:space="preserve">Loans</w:t>
            </w:r>
          </w:p>
        </w:tc>
        <w:tc>
          <w:tcPr/>
          <w:p>
            <w:pPr>
              <w:pStyle w:val="Compact"/>
              <w:jc w:val="right"/>
            </w:pPr>
            <w:r>
              <w:rPr>
                <w:sz w:val="17"/>
              </w:rPr>
              <w:t xml:space="preserve">Bad</w:t>
            </w:r>
          </w:p>
        </w:tc>
        <w:tc>
          <w:tcPr/>
          <w:p>
            <w:pPr>
              <w:pStyle w:val="Compact"/>
              <w:jc w:val="right"/>
            </w:pPr>
            <w:r>
              <w:rPr>
                <w:sz w:val="17"/>
              </w:rPr>
              <w:t xml:space="preserve">Bad rate</w:t>
            </w:r>
          </w:p>
        </w:tc>
        <w:tc>
          <w:tcPr/>
          <w:p>
            <w:pPr>
              <w:pStyle w:val="Compact"/>
              <w:jc w:val="right"/>
            </w:pPr>
            <w:r>
              <w:rPr>
                <w:sz w:val="17"/>
              </w:rPr>
              <w:t xml:space="preserve">WoE</w:t>
            </w:r>
          </w:p>
        </w:tc>
        <w:tc>
          <w:tcPr/>
          <w:p>
            <w:pPr>
              <w:pStyle w:val="Compact"/>
              <w:jc w:val="right"/>
            </w:pPr>
            <w:r>
              <w:rPr>
                <w:sz w:val="17"/>
              </w:rPr>
              <w:t xml:space="preserve">IV contribution</w:t>
            </w:r>
          </w:p>
        </w:tc>
      </w:tr>
      <w:tr>
        <w:tc>
          <w:tcPr/>
          <w:p>
            <w:pPr>
              <w:pStyle w:val="Compact"/>
              <w:jc w:val="left"/>
            </w:pPr>
            <w:r>
              <w:rPr>
                <w:sz w:val="17"/>
              </w:rPr>
              <w:t xml:space="preserve">&lt;= 0</w:t>
            </w:r>
          </w:p>
        </w:tc>
        <w:tc>
          <w:tcPr/>
          <w:p>
            <w:pPr>
              <w:pStyle w:val="Compact"/>
              <w:jc w:val="right"/>
            </w:pPr>
            <w:r>
              <w:rPr>
                <w:sz w:val="17"/>
              </w:rPr>
              <w:t xml:space="preserve">36,404</w:t>
            </w:r>
          </w:p>
        </w:tc>
        <w:tc>
          <w:tcPr/>
          <w:p>
            <w:pPr>
              <w:pStyle w:val="Compact"/>
              <w:jc w:val="right"/>
            </w:pPr>
            <w:r>
              <w:rPr>
                <w:sz w:val="17"/>
              </w:rPr>
              <w:t xml:space="preserve">1,287</w:t>
            </w:r>
          </w:p>
        </w:tc>
        <w:tc>
          <w:tcPr/>
          <w:p>
            <w:pPr>
              <w:pStyle w:val="Compact"/>
              <w:jc w:val="right"/>
            </w:pPr>
            <w:r>
              <w:rPr>
                <w:sz w:val="17"/>
              </w:rPr>
              <w:t xml:space="preserve">3.54%</w:t>
            </w:r>
          </w:p>
        </w:tc>
        <w:tc>
          <w:tcPr/>
          <w:p>
            <w:pPr>
              <w:pStyle w:val="Compact"/>
              <w:jc w:val="right"/>
            </w:pPr>
            <w:r>
              <w:rPr>
                <w:sz w:val="17"/>
              </w:rPr>
              <w:t xml:space="preserve">0.3136</w:t>
            </w:r>
          </w:p>
        </w:tc>
        <w:tc>
          <w:tcPr/>
          <w:p>
            <w:pPr>
              <w:pStyle w:val="Compact"/>
              <w:jc w:val="right"/>
            </w:pPr>
            <w:r>
              <w:rPr>
                <w:sz w:val="17"/>
              </w:rPr>
              <w:t xml:space="preserve">0.0418</w:t>
            </w:r>
          </w:p>
        </w:tc>
      </w:tr>
      <w:tr>
        <w:tc>
          <w:tcPr/>
          <w:p>
            <w:pPr>
              <w:pStyle w:val="Compact"/>
              <w:jc w:val="left"/>
            </w:pPr>
            <w:r>
              <w:rPr>
                <w:sz w:val="17"/>
              </w:rPr>
              <w:t xml:space="preserve">(0, 1]</w:t>
            </w:r>
          </w:p>
        </w:tc>
        <w:tc>
          <w:tcPr/>
          <w:p>
            <w:pPr>
              <w:pStyle w:val="Compact"/>
              <w:jc w:val="right"/>
            </w:pPr>
            <w:r>
              <w:rPr>
                <w:sz w:val="17"/>
              </w:rPr>
              <w:t xml:space="preserve">20,868</w:t>
            </w:r>
          </w:p>
        </w:tc>
        <w:tc>
          <w:tcPr/>
          <w:p>
            <w:pPr>
              <w:pStyle w:val="Compact"/>
              <w:jc w:val="right"/>
            </w:pPr>
            <w:r>
              <w:rPr>
                <w:sz w:val="17"/>
              </w:rPr>
              <w:t xml:space="preserve">1,096</w:t>
            </w:r>
          </w:p>
        </w:tc>
        <w:tc>
          <w:tcPr/>
          <w:p>
            <w:pPr>
              <w:pStyle w:val="Compact"/>
              <w:jc w:val="right"/>
            </w:pPr>
            <w:r>
              <w:rPr>
                <w:sz w:val="17"/>
              </w:rPr>
              <w:t xml:space="preserve">5.25%</w:t>
            </w:r>
          </w:p>
        </w:tc>
        <w:tc>
          <w:tcPr/>
          <w:p>
            <w:pPr>
              <w:pStyle w:val="Compact"/>
              <w:jc w:val="right"/>
            </w:pPr>
            <w:r>
              <w:rPr>
                <w:sz w:val="17"/>
              </w:rPr>
              <w:t xml:space="preserve">-0.1003</w:t>
            </w:r>
          </w:p>
        </w:tc>
        <w:tc>
          <w:tcPr/>
          <w:p>
            <w:pPr>
              <w:pStyle w:val="Compact"/>
              <w:jc w:val="right"/>
            </w:pPr>
            <w:r>
              <w:rPr>
                <w:sz w:val="17"/>
              </w:rPr>
              <w:t xml:space="preserve">0.0029</w:t>
            </w:r>
          </w:p>
        </w:tc>
      </w:tr>
      <w:tr>
        <w:tc>
          <w:tcPr/>
          <w:p>
            <w:pPr>
              <w:pStyle w:val="Compact"/>
              <w:jc w:val="left"/>
            </w:pPr>
            <w:r>
              <w:rPr>
                <w:sz w:val="17"/>
              </w:rPr>
              <w:t xml:space="preserve">(1, 2]</w:t>
            </w:r>
          </w:p>
        </w:tc>
        <w:tc>
          <w:tcPr/>
          <w:p>
            <w:pPr>
              <w:pStyle w:val="Compact"/>
              <w:jc w:val="right"/>
            </w:pPr>
            <w:r>
              <w:rPr>
                <w:sz w:val="17"/>
              </w:rPr>
              <w:t xml:space="preserve">10,869</w:t>
            </w:r>
          </w:p>
        </w:tc>
        <w:tc>
          <w:tcPr/>
          <w:p>
            <w:pPr>
              <w:pStyle w:val="Compact"/>
              <w:jc w:val="right"/>
            </w:pPr>
            <w:r>
              <w:rPr>
                <w:sz w:val="17"/>
              </w:rPr>
              <w:t xml:space="preserve">675</w:t>
            </w:r>
          </w:p>
        </w:tc>
        <w:tc>
          <w:tcPr/>
          <w:p>
            <w:pPr>
              <w:pStyle w:val="Compact"/>
              <w:jc w:val="right"/>
            </w:pPr>
            <w:r>
              <w:rPr>
                <w:sz w:val="17"/>
              </w:rPr>
              <w:t xml:space="preserve">6.21%</w:t>
            </w:r>
          </w:p>
        </w:tc>
        <w:tc>
          <w:tcPr/>
          <w:p>
            <w:pPr>
              <w:pStyle w:val="Compact"/>
              <w:jc w:val="right"/>
            </w:pPr>
            <w:r>
              <w:rPr>
                <w:sz w:val="17"/>
              </w:rPr>
              <w:t xml:space="preserve">-0.2783</w:t>
            </w:r>
          </w:p>
        </w:tc>
        <w:tc>
          <w:tcPr/>
          <w:p>
            <w:pPr>
              <w:pStyle w:val="Compact"/>
              <w:jc w:val="right"/>
            </w:pPr>
            <w:r>
              <w:rPr>
                <w:sz w:val="17"/>
              </w:rPr>
              <w:t xml:space="preserve">0.0128</w:t>
            </w:r>
          </w:p>
        </w:tc>
      </w:tr>
      <w:tr>
        <w:tc>
          <w:tcPr/>
          <w:p>
            <w:pPr>
              <w:pStyle w:val="Compact"/>
              <w:jc w:val="left"/>
            </w:pPr>
            <w:r>
              <w:rPr>
                <w:sz w:val="17"/>
              </w:rPr>
              <w:t xml:space="preserve">&gt; 2</w:t>
            </w:r>
          </w:p>
        </w:tc>
        <w:tc>
          <w:tcPr/>
          <w:p>
            <w:pPr>
              <w:pStyle w:val="Compact"/>
              <w:jc w:val="right"/>
            </w:pPr>
            <w:r>
              <w:rPr>
                <w:sz w:val="17"/>
              </w:rPr>
              <w:t xml:space="preserve">6,381</w:t>
            </w:r>
          </w:p>
        </w:tc>
        <w:tc>
          <w:tcPr/>
          <w:p>
            <w:pPr>
              <w:pStyle w:val="Compact"/>
              <w:jc w:val="right"/>
            </w:pPr>
            <w:r>
              <w:rPr>
                <w:sz w:val="17"/>
              </w:rPr>
              <w:t xml:space="preserve">500</w:t>
            </w:r>
          </w:p>
        </w:tc>
        <w:tc>
          <w:tcPr/>
          <w:p>
            <w:pPr>
              <w:pStyle w:val="Compact"/>
              <w:jc w:val="right"/>
            </w:pPr>
            <w:r>
              <w:rPr>
                <w:sz w:val="17"/>
              </w:rPr>
              <w:t xml:space="preserve">7.84%</w:t>
            </w:r>
          </w:p>
        </w:tc>
        <w:tc>
          <w:tcPr/>
          <w:p>
            <w:pPr>
              <w:pStyle w:val="Compact"/>
              <w:jc w:val="right"/>
            </w:pPr>
            <w:r>
              <w:rPr>
                <w:sz w:val="17"/>
              </w:rPr>
              <w:t xml:space="preserve">-0.5285</w:t>
            </w:r>
          </w:p>
        </w:tc>
        <w:tc>
          <w:tcPr/>
          <w:p>
            <w:pPr>
              <w:pStyle w:val="Compact"/>
              <w:jc w:val="right"/>
            </w:pPr>
            <w:r>
              <w:rPr>
                <w:sz w:val="17"/>
              </w:rPr>
              <w:t xml:space="preserve">0.0305</w:t>
            </w:r>
          </w:p>
        </w:tc>
      </w:tr>
    </w:tbl>
    <w:p>
      <w:pPr>
        <w:pStyle w:val="BodyText"/>
      </w:pPr>
      <w:r>
        <w:t xml:space="preserve">Take the first bin (no inquiries). The sample has</w:t>
      </w:r>
      <w:r>
        <w:t xml:space="preserve"> </w:t>
      </w:r>
      <m:oMath>
        <m:r>
          <m:t>B</m:t>
        </m:r>
        <m:r>
          <m:rPr>
            <m:sty m:val="p"/>
          </m:rPr>
          <m:t>=</m:t>
        </m:r>
      </m:oMath>
      <w:r>
        <w:t xml:space="preserve"> </w:t>
      </w:r>
      <w:r>
        <w:t xml:space="preserve">3,558 bads and</w:t>
      </w:r>
      <w:r>
        <w:t xml:space="preserve"> </w:t>
      </w:r>
      <m:oMath>
        <m:r>
          <m:t>G</m:t>
        </m:r>
        <m:r>
          <m:rPr>
            <m:sty m:val="p"/>
          </m:rPr>
          <m:t>=</m:t>
        </m:r>
      </m:oMath>
      <w:r>
        <w:t xml:space="preserve"> </w:t>
      </w:r>
      <w:r>
        <w:t xml:space="preserve">70,964 goods in</w:t>
      </w:r>
      <w:r>
        <w:t xml:space="preserve"> </w:t>
      </w:r>
      <m:oMath>
        <m:r>
          <m:t>k</m:t>
        </m:r>
        <m:r>
          <m:rPr>
            <m:sty m:val="p"/>
          </m:rPr>
          <m:t>=</m:t>
        </m:r>
      </m:oMath>
      <w:r>
        <w:t xml:space="preserve"> </w:t>
      </w:r>
      <w:r>
        <w:t xml:space="preserve">4 populated bins; the bin holds 1,287 bads and 35,117 goods. With smoothing,</w:t>
      </w:r>
      <w:r>
        <w:t xml:space="preserve"> </w:t>
      </w:r>
      <m:oMath>
        <m:sSup>
          <m:e>
            <m:r>
              <m:t>d</m:t>
            </m:r>
          </m:e>
          <m:sup>
            <m:r>
              <m:t>B</m:t>
            </m:r>
          </m:sup>
        </m:sSup>
        <m:r>
          <m:rPr>
            <m:sty m:val="p"/>
          </m:rPr>
          <m:t>=</m:t>
        </m:r>
      </m:oMath>
      <w:r>
        <w:t xml:space="preserve"> </w:t>
      </w:r>
      <w:r>
        <w:t xml:space="preserve">0.36166 and</w:t>
      </w:r>
      <w:r>
        <w:t xml:space="preserve"> </w:t>
      </w:r>
      <m:oMath>
        <m:sSup>
          <m:e>
            <m:r>
              <m:t>d</m:t>
            </m:r>
          </m:e>
          <m:sup>
            <m:r>
              <m:t>G</m:t>
            </m:r>
          </m:sup>
        </m:sSup>
        <m:r>
          <m:rPr>
            <m:sty m:val="p"/>
          </m:rPr>
          <m:t>=</m:t>
        </m:r>
      </m:oMath>
      <w:r>
        <w:t xml:space="preserve"> </w:t>
      </w:r>
      <w:r>
        <w:t xml:space="preserve">0.49485, so</w:t>
      </w:r>
      <w:r>
        <w:t xml:space="preserve"> </w:t>
      </w:r>
      <m:oMath>
        <m:r>
          <m:rPr>
            <m:sty m:val="p"/>
          </m:rPr>
          <m:t>W</m:t>
        </m:r>
        <m:r>
          <m:rPr>
            <m:sty m:val="p"/>
          </m:rPr>
          <m:t>o</m:t>
        </m:r>
        <m:r>
          <m:rPr>
            <m:sty m:val="p"/>
          </m:rPr>
          <m:t>E</m:t>
        </m:r>
        <m:r>
          <m:rPr>
            <m:sty m:val="p"/>
          </m:rPr>
          <m:t>=</m:t>
        </m:r>
        <m:r>
          <m:rPr>
            <m:sty m:val="p"/>
          </m:rPr>
          <m:t>ln</m:t>
        </m:r>
        <m:r>
          <m:rPr>
            <m:sty m:val="p"/>
          </m:rPr>
          <m:t>(</m:t>
        </m:r>
        <m:sSup>
          <m:e>
            <m:r>
              <m:t>d</m:t>
            </m:r>
          </m:e>
          <m:sup>
            <m:r>
              <m:t>G</m:t>
            </m:r>
          </m:sup>
        </m:sSup>
        <m:r>
          <m:rPr>
            <m:sty m:val="p"/>
          </m:rPr>
          <m:t>/</m:t>
        </m:r>
        <m:sSup>
          <m:e>
            <m:r>
              <m:t>d</m:t>
            </m:r>
          </m:e>
          <m:sup>
            <m:r>
              <m:t>B</m:t>
            </m:r>
          </m:sup>
        </m:sSup>
        <m:r>
          <m:rPr>
            <m:sty m:val="p"/>
          </m:rPr>
          <m:t>)</m:t>
        </m:r>
        <m:r>
          <m:rPr>
            <m:sty m:val="p"/>
          </m:rPr>
          <m:t>=</m:t>
        </m:r>
      </m:oMath>
      <w:r>
        <w:t xml:space="preserve"> </w:t>
      </w:r>
      <w:r>
        <w:t xml:space="preserve">0.3136, which matches the pipeline's value 0.3136. Its IV contribution is</w:t>
      </w:r>
      <w:r>
        <w:t xml:space="preserve"> </w:t>
      </w:r>
      <m:oMath>
        <m:r>
          <m:rPr>
            <m:sty m:val="p"/>
          </m:rPr>
          <m:t>(</m:t>
        </m:r>
        <m:sSup>
          <m:e>
            <m:r>
              <m:t>d</m:t>
            </m:r>
          </m:e>
          <m:sup>
            <m:r>
              <m:t>G</m:t>
            </m:r>
          </m:sup>
        </m:sSup>
        <m:r>
          <m:rPr>
            <m:sty m:val="p"/>
          </m:rPr>
          <m:t>−</m:t>
        </m:r>
        <m:sSup>
          <m:e>
            <m:r>
              <m:t>d</m:t>
            </m:r>
          </m:e>
          <m:sup>
            <m:r>
              <m:t>B</m:t>
            </m:r>
          </m:sup>
        </m:sSup>
        <m:r>
          <m:rPr>
            <m:sty m:val="p"/>
          </m:rPr>
          <m:t>)</m:t>
        </m:r>
        <m:r>
          <m:rPr>
            <m:sty m:val="p"/>
          </m:rPr>
          <m:t>×</m:t>
        </m:r>
        <m:r>
          <m:rPr>
            <m:sty m:val="p"/>
          </m:rPr>
          <m:t>W</m:t>
        </m:r>
        <m:r>
          <m:rPr>
            <m:sty m:val="p"/>
          </m:rPr>
          <m:t>o</m:t>
        </m:r>
        <m:r>
          <m:rPr>
            <m:sty m:val="p"/>
          </m:rPr>
          <m:t>E</m:t>
        </m:r>
        <m:r>
          <m:rPr>
            <m:sty m:val="p"/>
          </m:rPr>
          <m:t>=</m:t>
        </m:r>
      </m:oMath>
      <w:r>
        <w:t xml:space="preserve"> </w:t>
      </w:r>
      <w:r>
        <w:t xml:space="preserve">0.0418. Summing the four bins gives a variable IV of 0.0880. Applicants with no recent inquiries are safer than average and each additional inquiry lowers WoE, as expected.</w:t>
      </w:r>
    </w:p>
    <w:bookmarkEnd w:id="38"/>
    <w:bookmarkStart w:id="39" w:name="the-binning-algorithm"/>
    <w:p>
      <w:pPr>
        <w:pStyle w:val="Heading2"/>
      </w:pPr>
      <w:r>
        <w:rPr>
          <w:rStyle w:val="SectionNumber"/>
        </w:rPr>
        <w:t xml:space="preserve">6.4</w:t>
      </w:r>
      <w:r>
        <w:tab/>
      </w:r>
      <w:r>
        <w:t xml:space="preserve">The binning algorithm</w:t>
      </w:r>
    </w:p>
    <w:p>
      <w:pPr>
        <w:pStyle w:val="FirstParagraph"/>
      </w:pPr>
      <w:r>
        <w:rPr>
          <w:rStyle w:val="VerbatimChar"/>
        </w:rPr>
        <w:t xml:space="preserve">binning.fit_numeric_bins</w:t>
      </w:r>
      <w:r>
        <w:t xml:space="preserve"> </w:t>
      </w:r>
      <w:r>
        <w:t xml:space="preserve">and</w:t>
      </w:r>
      <w:r>
        <w:t xml:space="preserve"> </w:t>
      </w:r>
      <w:r>
        <w:rPr>
          <w:rStyle w:val="VerbatimChar"/>
        </w:rPr>
        <w:t xml:space="preserve">binning.fit_categorical_bins</w:t>
      </w:r>
      <w:r>
        <w:t xml:space="preserve"> </w:t>
      </w:r>
      <w:r>
        <w:t xml:space="preserve">implement the fine-to-coarse classing that practitioners do by hand:</w:t>
      </w:r>
    </w:p>
    <w:p>
      <w:pPr>
        <w:pStyle w:val="Compact"/>
        <w:numPr>
          <w:ilvl w:val="0"/>
          <w:numId w:val="1003"/>
        </w:numPr>
      </w:pPr>
      <w:r>
        <w:rPr>
          <w:b/>
          <w:bCs/>
        </w:rPr>
        <w:t xml:space="preserve">Fine classing.</w:t>
      </w:r>
      <w:r>
        <w:t xml:space="preserve"> </w:t>
      </w:r>
      <w:r>
        <w:t xml:space="preserve">A numeric variable is cut at its 50 quantiles (</w:t>
      </w:r>
      <w:r>
        <w:rPr>
          <w:rStyle w:val="VerbatimChar"/>
        </w:rPr>
        <w:t xml:space="preserve">BIN_PREBINS</w:t>
      </w:r>
      <w:r>
        <w:t xml:space="preserve">), with duplicate cut points collapsed. Missing values get their own bin that is always last.</w:t>
      </w:r>
    </w:p>
    <w:p>
      <w:pPr>
        <w:pStyle w:val="Compact"/>
        <w:numPr>
          <w:ilvl w:val="0"/>
          <w:numId w:val="1003"/>
        </w:numPr>
      </w:pPr>
      <w:r>
        <w:rPr>
          <w:b/>
          <w:bCs/>
        </w:rPr>
        <w:t xml:space="preserve">Minimum share.</w:t>
      </w:r>
      <w:r>
        <w:t xml:space="preserve"> </w:t>
      </w:r>
      <w:r>
        <w:t xml:space="preserve">Any bin holding less than 5% of loans (</w:t>
      </w:r>
      <w:r>
        <w:rPr>
          <w:rStyle w:val="VerbatimChar"/>
        </w:rPr>
        <w:t xml:space="preserve">BIN_MIN_SHARE</w:t>
      </w:r>
      <w:r>
        <w:t xml:space="preserve">, 2% for categories) is merged into the neighbouring bin whose bad rate is closest.</w:t>
      </w:r>
    </w:p>
    <w:p>
      <w:pPr>
        <w:pStyle w:val="Compact"/>
        <w:numPr>
          <w:ilvl w:val="0"/>
          <w:numId w:val="1003"/>
        </w:numPr>
      </w:pPr>
      <w:r>
        <w:rPr>
          <w:b/>
          <w:bCs/>
        </w:rPr>
        <w:t xml:space="preserve">Monotonicity.</w:t>
      </w:r>
      <w:r>
        <w:t xml:space="preserve"> </w:t>
      </w:r>
      <w:r>
        <w:t xml:space="preserve">The sign of the Spearman correlation between bin order and bad rate sets the expected direction, and adjacent bins that violate it are merged until the bad rate is monotone. This keeps the scorecard interpretable and prevents noisy zig-zags.</w:t>
      </w:r>
    </w:p>
    <w:p>
      <w:pPr>
        <w:pStyle w:val="Compact"/>
        <w:numPr>
          <w:ilvl w:val="0"/>
          <w:numId w:val="1003"/>
        </w:numPr>
      </w:pPr>
      <w:r>
        <w:rPr>
          <w:b/>
          <w:bCs/>
        </w:rPr>
        <w:t xml:space="preserve">Cap.</w:t>
      </w:r>
      <w:r>
        <w:t xml:space="preserve"> </w:t>
      </w:r>
      <w:r>
        <w:t xml:space="preserve">If more than 8 bins (</w:t>
      </w:r>
      <w:r>
        <w:rPr>
          <w:rStyle w:val="VerbatimChar"/>
        </w:rPr>
        <w:t xml:space="preserve">BIN_MAX_BINS</w:t>
      </w:r>
      <w:r>
        <w:t xml:space="preserve">) remain, the adjacent pair with the closest bad rates is merged until 8 remain.</w:t>
      </w:r>
    </w:p>
    <w:p>
      <w:pPr>
        <w:pStyle w:val="Compact"/>
        <w:numPr>
          <w:ilvl w:val="0"/>
          <w:numId w:val="1003"/>
        </w:numPr>
      </w:pPr>
      <w:r>
        <w:rPr>
          <w:b/>
          <w:bCs/>
        </w:rPr>
        <w:t xml:space="preserve">WoE and IV</w:t>
      </w:r>
      <w:r>
        <w:t xml:space="preserve"> </w:t>
      </w:r>
      <w:r>
        <w:t xml:space="preserve">are computed over the final bins.</w:t>
      </w:r>
    </w:p>
    <w:p>
      <w:pPr>
        <w:pStyle w:val="FirstParagraph"/>
      </w:pPr>
      <w:r>
        <w:t xml:space="preserve">Categorical variables are first sorted by their (smoothed) bad rate, so merging adjacent categories groups levels of similar risk (purpose and state). Unseen categories at scoring time go to the largest group. A bin includes values greater than its lower edge and up to and including its upper edge (</w:t>
      </w:r>
      <w:r>
        <w:rPr>
          <w:rStyle w:val="VerbatimChar"/>
        </w:rPr>
        <w:t xml:space="preserve">searchsorted</w:t>
      </w:r>
      <w:r>
        <w:t xml:space="preserve"> </w:t>
      </w:r>
      <w:r>
        <w:t xml:space="preserve">with</w:t>
      </w:r>
      <w:r>
        <w:t xml:space="preserve"> </w:t>
      </w:r>
      <w:r>
        <w:rPr>
          <w:rStyle w:val="VerbatimChar"/>
        </w:rPr>
        <w:t xml:space="preserve">side="left"</w:t>
      </w:r>
      <w:r>
        <w:t xml:space="preserve">), the same rule used in Excel.</w:t>
      </w:r>
    </w:p>
    <w:p>
      <w:pPr>
        <w:pStyle w:val="TableCaption"/>
      </w:pPr>
      <w:r>
        <w:t xml:space="preserve">Annual income bins in SC_FULL. Lower incomes carry negative WoE (riskier) and the top two bins are nearly identical.</w:t>
      </w:r>
    </w:p>
    <w:tbl>
      <w:tblPr>
        <w:tblStyle w:val="Table"/>
        <w:tblW w:type="auto" w:w="0"/>
        <w:tblLook w:firstRow="1" w:lastRow="0" w:firstColumn="0" w:lastColumn="0" w:noHBand="0" w:noVBand="0" w:val="0020"/>
        <w:tblCaption w:val="Annual income bins in SC_FULL. Lower incomes carry negative WoE (riskier) and the top two bins are nearly identical."/>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annual_inc bin</w:t>
            </w:r>
          </w:p>
        </w:tc>
        <w:tc>
          <w:tcPr/>
          <w:p>
            <w:pPr>
              <w:pStyle w:val="Compact"/>
              <w:jc w:val="right"/>
            </w:pPr>
            <w:r>
              <w:rPr>
                <w:sz w:val="17"/>
              </w:rPr>
              <w:t xml:space="preserve">Loans</w:t>
            </w:r>
          </w:p>
        </w:tc>
        <w:tc>
          <w:tcPr/>
          <w:p>
            <w:pPr>
              <w:pStyle w:val="Compact"/>
              <w:jc w:val="right"/>
            </w:pPr>
            <w:r>
              <w:rPr>
                <w:sz w:val="17"/>
              </w:rPr>
              <w:t xml:space="preserve">Bad</w:t>
            </w:r>
          </w:p>
        </w:tc>
        <w:tc>
          <w:tcPr/>
          <w:p>
            <w:pPr>
              <w:pStyle w:val="Compact"/>
              <w:jc w:val="right"/>
            </w:pPr>
            <w:r>
              <w:rPr>
                <w:sz w:val="17"/>
              </w:rPr>
              <w:t xml:space="preserve">Bad rate</w:t>
            </w:r>
          </w:p>
        </w:tc>
        <w:tc>
          <w:tcPr/>
          <w:p>
            <w:pPr>
              <w:pStyle w:val="Compact"/>
              <w:jc w:val="right"/>
            </w:pPr>
            <w:r>
              <w:rPr>
                <w:sz w:val="17"/>
              </w:rPr>
              <w:t xml:space="preserve">WoE</w:t>
            </w:r>
          </w:p>
        </w:tc>
        <w:tc>
          <w:tcPr/>
          <w:p>
            <w:pPr>
              <w:pStyle w:val="Compact"/>
              <w:jc w:val="right"/>
            </w:pPr>
            <w:r>
              <w:rPr>
                <w:sz w:val="17"/>
              </w:rPr>
              <w:t xml:space="preserve">IV contribution</w:t>
            </w:r>
          </w:p>
        </w:tc>
      </w:tr>
      <w:tr>
        <w:tc>
          <w:tcPr/>
          <w:p>
            <w:pPr>
              <w:pStyle w:val="Compact"/>
              <w:jc w:val="left"/>
            </w:pPr>
            <w:r>
              <w:rPr>
                <w:sz w:val="17"/>
              </w:rPr>
              <w:t xml:space="preserve">&lt;= 33000</w:t>
            </w:r>
          </w:p>
        </w:tc>
        <w:tc>
          <w:tcPr/>
          <w:p>
            <w:pPr>
              <w:pStyle w:val="Compact"/>
              <w:jc w:val="right"/>
            </w:pPr>
            <w:r>
              <w:rPr>
                <w:sz w:val="17"/>
              </w:rPr>
              <w:t xml:space="preserve">9,299</w:t>
            </w:r>
          </w:p>
        </w:tc>
        <w:tc>
          <w:tcPr/>
          <w:p>
            <w:pPr>
              <w:pStyle w:val="Compact"/>
              <w:jc w:val="right"/>
            </w:pPr>
            <w:r>
              <w:rPr>
                <w:sz w:val="17"/>
              </w:rPr>
              <w:t xml:space="preserve">613</w:t>
            </w:r>
          </w:p>
        </w:tc>
        <w:tc>
          <w:tcPr/>
          <w:p>
            <w:pPr>
              <w:pStyle w:val="Compact"/>
              <w:jc w:val="right"/>
            </w:pPr>
            <w:r>
              <w:rPr>
                <w:sz w:val="17"/>
              </w:rPr>
              <w:t xml:space="preserve">6.59%</w:t>
            </w:r>
          </w:p>
        </w:tc>
        <w:tc>
          <w:tcPr/>
          <w:p>
            <w:pPr>
              <w:pStyle w:val="Compact"/>
              <w:jc w:val="right"/>
            </w:pPr>
            <w:r>
              <w:rPr>
                <w:sz w:val="17"/>
              </w:rPr>
              <w:t xml:space="preserve">-0.3416</w:t>
            </w:r>
          </w:p>
        </w:tc>
        <w:tc>
          <w:tcPr/>
          <w:p>
            <w:pPr>
              <w:pStyle w:val="Compact"/>
              <w:jc w:val="right"/>
            </w:pPr>
            <w:r>
              <w:rPr>
                <w:sz w:val="17"/>
              </w:rPr>
              <w:t xml:space="preserve">0.0170</w:t>
            </w:r>
          </w:p>
        </w:tc>
      </w:tr>
      <w:tr>
        <w:tc>
          <w:tcPr/>
          <w:p>
            <w:pPr>
              <w:pStyle w:val="Compact"/>
              <w:jc w:val="left"/>
            </w:pPr>
            <w:r>
              <w:rPr>
                <w:sz w:val="17"/>
              </w:rPr>
              <w:t xml:space="preserve">(33000, 40000]</w:t>
            </w:r>
          </w:p>
        </w:tc>
        <w:tc>
          <w:tcPr/>
          <w:p>
            <w:pPr>
              <w:pStyle w:val="Compact"/>
              <w:jc w:val="right"/>
            </w:pPr>
            <w:r>
              <w:rPr>
                <w:sz w:val="17"/>
              </w:rPr>
              <w:t xml:space="preserve">7,981</w:t>
            </w:r>
          </w:p>
        </w:tc>
        <w:tc>
          <w:tcPr/>
          <w:p>
            <w:pPr>
              <w:pStyle w:val="Compact"/>
              <w:jc w:val="right"/>
            </w:pPr>
            <w:r>
              <w:rPr>
                <w:sz w:val="17"/>
              </w:rPr>
              <w:t xml:space="preserve">464</w:t>
            </w:r>
          </w:p>
        </w:tc>
        <w:tc>
          <w:tcPr/>
          <w:p>
            <w:pPr>
              <w:pStyle w:val="Compact"/>
              <w:jc w:val="right"/>
            </w:pPr>
            <w:r>
              <w:rPr>
                <w:sz w:val="17"/>
              </w:rPr>
              <w:t xml:space="preserve">5.81%</w:t>
            </w:r>
          </w:p>
        </w:tc>
        <w:tc>
          <w:tcPr/>
          <w:p>
            <w:pPr>
              <w:pStyle w:val="Compact"/>
              <w:jc w:val="right"/>
            </w:pPr>
            <w:r>
              <w:rPr>
                <w:sz w:val="17"/>
              </w:rPr>
              <w:t xml:space="preserve">-0.2079</w:t>
            </w:r>
          </w:p>
        </w:tc>
        <w:tc>
          <w:tcPr/>
          <w:p>
            <w:pPr>
              <w:pStyle w:val="Compact"/>
              <w:jc w:val="right"/>
            </w:pPr>
            <w:r>
              <w:rPr>
                <w:sz w:val="17"/>
              </w:rPr>
              <w:t xml:space="preserve">0.0051</w:t>
            </w:r>
          </w:p>
        </w:tc>
      </w:tr>
      <w:tr>
        <w:tc>
          <w:tcPr/>
          <w:p>
            <w:pPr>
              <w:pStyle w:val="Compact"/>
              <w:jc w:val="left"/>
            </w:pPr>
            <w:r>
              <w:rPr>
                <w:sz w:val="17"/>
              </w:rPr>
              <w:t xml:space="preserve">(40000, 52000]</w:t>
            </w:r>
          </w:p>
        </w:tc>
        <w:tc>
          <w:tcPr/>
          <w:p>
            <w:pPr>
              <w:pStyle w:val="Compact"/>
              <w:jc w:val="right"/>
            </w:pPr>
            <w:r>
              <w:rPr>
                <w:sz w:val="17"/>
              </w:rPr>
              <w:t xml:space="preserve">13,304</w:t>
            </w:r>
          </w:p>
        </w:tc>
        <w:tc>
          <w:tcPr/>
          <w:p>
            <w:pPr>
              <w:pStyle w:val="Compact"/>
              <w:jc w:val="right"/>
            </w:pPr>
            <w:r>
              <w:rPr>
                <w:sz w:val="17"/>
              </w:rPr>
              <w:t xml:space="preserve">680</w:t>
            </w:r>
          </w:p>
        </w:tc>
        <w:tc>
          <w:tcPr/>
          <w:p>
            <w:pPr>
              <w:pStyle w:val="Compact"/>
              <w:jc w:val="right"/>
            </w:pPr>
            <w:r>
              <w:rPr>
                <w:sz w:val="17"/>
              </w:rPr>
              <w:t xml:space="preserve">5.11%</w:t>
            </w:r>
          </w:p>
        </w:tc>
        <w:tc>
          <w:tcPr/>
          <w:p>
            <w:pPr>
              <w:pStyle w:val="Compact"/>
              <w:jc w:val="right"/>
            </w:pPr>
            <w:r>
              <w:rPr>
                <w:sz w:val="17"/>
              </w:rPr>
              <w:t xml:space="preserve">-0.0713</w:t>
            </w:r>
          </w:p>
        </w:tc>
        <w:tc>
          <w:tcPr/>
          <w:p>
            <w:pPr>
              <w:pStyle w:val="Compact"/>
              <w:jc w:val="right"/>
            </w:pPr>
            <w:r>
              <w:rPr>
                <w:sz w:val="17"/>
              </w:rPr>
              <w:t xml:space="preserve">0.0009</w:t>
            </w:r>
          </w:p>
        </w:tc>
      </w:tr>
      <w:tr>
        <w:tc>
          <w:tcPr/>
          <w:p>
            <w:pPr>
              <w:pStyle w:val="Compact"/>
              <w:jc w:val="left"/>
            </w:pPr>
            <w:r>
              <w:rPr>
                <w:sz w:val="17"/>
              </w:rPr>
              <w:t xml:space="preserve">(52000, 60000]</w:t>
            </w:r>
          </w:p>
        </w:tc>
        <w:tc>
          <w:tcPr/>
          <w:p>
            <w:pPr>
              <w:pStyle w:val="Compact"/>
              <w:jc w:val="right"/>
            </w:pPr>
            <w:r>
              <w:rPr>
                <w:sz w:val="17"/>
              </w:rPr>
              <w:t xml:space="preserve">8,832</w:t>
            </w:r>
          </w:p>
        </w:tc>
        <w:tc>
          <w:tcPr/>
          <w:p>
            <w:pPr>
              <w:pStyle w:val="Compact"/>
              <w:jc w:val="right"/>
            </w:pPr>
            <w:r>
              <w:rPr>
                <w:sz w:val="17"/>
              </w:rPr>
              <w:t xml:space="preserve">432</w:t>
            </w:r>
          </w:p>
        </w:tc>
        <w:tc>
          <w:tcPr/>
          <w:p>
            <w:pPr>
              <w:pStyle w:val="Compact"/>
              <w:jc w:val="right"/>
            </w:pPr>
            <w:r>
              <w:rPr>
                <w:sz w:val="17"/>
              </w:rPr>
              <w:t xml:space="preserve">4.89%</w:t>
            </w:r>
          </w:p>
        </w:tc>
        <w:tc>
          <w:tcPr/>
          <w:p>
            <w:pPr>
              <w:pStyle w:val="Compact"/>
              <w:jc w:val="right"/>
            </w:pPr>
            <w:r>
              <w:rPr>
                <w:sz w:val="17"/>
              </w:rPr>
              <w:t xml:space="preserve">-0.0254</w:t>
            </w:r>
          </w:p>
        </w:tc>
        <w:tc>
          <w:tcPr/>
          <w:p>
            <w:pPr>
              <w:pStyle w:val="Compact"/>
              <w:jc w:val="right"/>
            </w:pPr>
            <w:r>
              <w:rPr>
                <w:sz w:val="17"/>
              </w:rPr>
              <w:t xml:space="preserve">0.0001</w:t>
            </w:r>
          </w:p>
        </w:tc>
      </w:tr>
      <w:tr>
        <w:tc>
          <w:tcPr/>
          <w:p>
            <w:pPr>
              <w:pStyle w:val="Compact"/>
              <w:jc w:val="left"/>
            </w:pPr>
            <w:r>
              <w:rPr>
                <w:sz w:val="17"/>
              </w:rPr>
              <w:t xml:space="preserve">(60000, 77000]</w:t>
            </w:r>
          </w:p>
        </w:tc>
        <w:tc>
          <w:tcPr/>
          <w:p>
            <w:pPr>
              <w:pStyle w:val="Compact"/>
              <w:jc w:val="right"/>
            </w:pPr>
            <w:r>
              <w:rPr>
                <w:sz w:val="17"/>
              </w:rPr>
              <w:t xml:space="preserve">12,783</w:t>
            </w:r>
          </w:p>
        </w:tc>
        <w:tc>
          <w:tcPr/>
          <w:p>
            <w:pPr>
              <w:pStyle w:val="Compact"/>
              <w:jc w:val="right"/>
            </w:pPr>
            <w:r>
              <w:rPr>
                <w:sz w:val="17"/>
              </w:rPr>
              <w:t xml:space="preserve">595</w:t>
            </w:r>
          </w:p>
        </w:tc>
        <w:tc>
          <w:tcPr/>
          <w:p>
            <w:pPr>
              <w:pStyle w:val="Compact"/>
              <w:jc w:val="right"/>
            </w:pPr>
            <w:r>
              <w:rPr>
                <w:sz w:val="17"/>
              </w:rPr>
              <w:t xml:space="preserve">4.65%</w:t>
            </w:r>
          </w:p>
        </w:tc>
        <w:tc>
          <w:tcPr/>
          <w:p>
            <w:pPr>
              <w:pStyle w:val="Compact"/>
              <w:jc w:val="right"/>
            </w:pPr>
            <w:r>
              <w:rPr>
                <w:sz w:val="17"/>
              </w:rPr>
              <w:t xml:space="preserve">0.0269</w:t>
            </w:r>
          </w:p>
        </w:tc>
        <w:tc>
          <w:tcPr/>
          <w:p>
            <w:pPr>
              <w:pStyle w:val="Compact"/>
              <w:jc w:val="right"/>
            </w:pPr>
            <w:r>
              <w:rPr>
                <w:sz w:val="17"/>
              </w:rPr>
              <w:t xml:space="preserve">0.0001</w:t>
            </w:r>
          </w:p>
        </w:tc>
      </w:tr>
      <w:tr>
        <w:tc>
          <w:tcPr/>
          <w:p>
            <w:pPr>
              <w:pStyle w:val="Compact"/>
              <w:jc w:val="left"/>
            </w:pPr>
            <w:r>
              <w:rPr>
                <w:sz w:val="17"/>
              </w:rPr>
              <w:t xml:space="preserve">(77000, 95000]</w:t>
            </w:r>
          </w:p>
        </w:tc>
        <w:tc>
          <w:tcPr/>
          <w:p>
            <w:pPr>
              <w:pStyle w:val="Compact"/>
              <w:jc w:val="right"/>
            </w:pPr>
            <w:r>
              <w:rPr>
                <w:sz w:val="17"/>
              </w:rPr>
              <w:t xml:space="preserve">9,353</w:t>
            </w:r>
          </w:p>
        </w:tc>
        <w:tc>
          <w:tcPr/>
          <w:p>
            <w:pPr>
              <w:pStyle w:val="Compact"/>
              <w:jc w:val="right"/>
            </w:pPr>
            <w:r>
              <w:rPr>
                <w:sz w:val="17"/>
              </w:rPr>
              <w:t xml:space="preserve">367</w:t>
            </w:r>
          </w:p>
        </w:tc>
        <w:tc>
          <w:tcPr/>
          <w:p>
            <w:pPr>
              <w:pStyle w:val="Compact"/>
              <w:jc w:val="right"/>
            </w:pPr>
            <w:r>
              <w:rPr>
                <w:sz w:val="17"/>
              </w:rPr>
              <w:t xml:space="preserve">3.92%</w:t>
            </w:r>
          </w:p>
        </w:tc>
        <w:tc>
          <w:tcPr/>
          <w:p>
            <w:pPr>
              <w:pStyle w:val="Compact"/>
              <w:jc w:val="right"/>
            </w:pPr>
            <w:r>
              <w:rPr>
                <w:sz w:val="17"/>
              </w:rPr>
              <w:t xml:space="preserve">0.2048</w:t>
            </w:r>
          </w:p>
        </w:tc>
        <w:tc>
          <w:tcPr/>
          <w:p>
            <w:pPr>
              <w:pStyle w:val="Compact"/>
              <w:jc w:val="right"/>
            </w:pPr>
            <w:r>
              <w:rPr>
                <w:sz w:val="17"/>
              </w:rPr>
              <w:t xml:space="preserve">0.0048</w:t>
            </w:r>
          </w:p>
        </w:tc>
      </w:tr>
      <w:tr>
        <w:tc>
          <w:tcPr/>
          <w:p>
            <w:pPr>
              <w:pStyle w:val="Compact"/>
              <w:jc w:val="left"/>
            </w:pPr>
            <w:r>
              <w:rPr>
                <w:sz w:val="17"/>
              </w:rPr>
              <w:t xml:space="preserve">(95000, 122500]</w:t>
            </w:r>
          </w:p>
        </w:tc>
        <w:tc>
          <w:tcPr/>
          <w:p>
            <w:pPr>
              <w:pStyle w:val="Compact"/>
              <w:jc w:val="right"/>
            </w:pPr>
            <w:r>
              <w:rPr>
                <w:sz w:val="17"/>
              </w:rPr>
              <w:t xml:space="preserve">7,009</w:t>
            </w:r>
          </w:p>
        </w:tc>
        <w:tc>
          <w:tcPr/>
          <w:p>
            <w:pPr>
              <w:pStyle w:val="Compact"/>
              <w:jc w:val="right"/>
            </w:pPr>
            <w:r>
              <w:rPr>
                <w:sz w:val="17"/>
              </w:rPr>
              <w:t xml:space="preserve">220</w:t>
            </w:r>
          </w:p>
        </w:tc>
        <w:tc>
          <w:tcPr/>
          <w:p>
            <w:pPr>
              <w:pStyle w:val="Compact"/>
              <w:jc w:val="right"/>
            </w:pPr>
            <w:r>
              <w:rPr>
                <w:sz w:val="17"/>
              </w:rPr>
              <w:t xml:space="preserve">3.14%</w:t>
            </w:r>
          </w:p>
        </w:tc>
        <w:tc>
          <w:tcPr/>
          <w:p>
            <w:pPr>
              <w:pStyle w:val="Compact"/>
              <w:jc w:val="right"/>
            </w:pPr>
            <w:r>
              <w:rPr>
                <w:sz w:val="17"/>
              </w:rPr>
              <w:t xml:space="preserve">0.4353</w:t>
            </w:r>
          </w:p>
        </w:tc>
        <w:tc>
          <w:tcPr/>
          <w:p>
            <w:pPr>
              <w:pStyle w:val="Compact"/>
              <w:jc w:val="right"/>
            </w:pPr>
            <w:r>
              <w:rPr>
                <w:sz w:val="17"/>
              </w:rPr>
              <w:t xml:space="preserve">0.0147</w:t>
            </w:r>
          </w:p>
        </w:tc>
      </w:tr>
      <w:tr>
        <w:tc>
          <w:tcPr/>
          <w:p>
            <w:pPr>
              <w:pStyle w:val="Compact"/>
              <w:jc w:val="left"/>
            </w:pPr>
            <w:r>
              <w:rPr>
                <w:sz w:val="17"/>
              </w:rPr>
              <w:t xml:space="preserve">&gt; 122500</w:t>
            </w:r>
          </w:p>
        </w:tc>
        <w:tc>
          <w:tcPr/>
          <w:p>
            <w:pPr>
              <w:pStyle w:val="Compact"/>
              <w:jc w:val="right"/>
            </w:pPr>
            <w:r>
              <w:rPr>
                <w:sz w:val="17"/>
              </w:rPr>
              <w:t xml:space="preserve">5,961</w:t>
            </w:r>
          </w:p>
        </w:tc>
        <w:tc>
          <w:tcPr/>
          <w:p>
            <w:pPr>
              <w:pStyle w:val="Compact"/>
              <w:jc w:val="right"/>
            </w:pPr>
            <w:r>
              <w:rPr>
                <w:sz w:val="17"/>
              </w:rPr>
              <w:t xml:space="preserve">187</w:t>
            </w:r>
          </w:p>
        </w:tc>
        <w:tc>
          <w:tcPr/>
          <w:p>
            <w:pPr>
              <w:pStyle w:val="Compact"/>
              <w:jc w:val="right"/>
            </w:pPr>
            <w:r>
              <w:rPr>
                <w:sz w:val="17"/>
              </w:rPr>
              <w:t xml:space="preserve">3.14%</w:t>
            </w:r>
          </w:p>
        </w:tc>
        <w:tc>
          <w:tcPr/>
          <w:p>
            <w:pPr>
              <w:pStyle w:val="Compact"/>
              <w:jc w:val="right"/>
            </w:pPr>
            <w:r>
              <w:rPr>
                <w:sz w:val="17"/>
              </w:rPr>
              <w:t xml:space="preserve">0.4355</w:t>
            </w:r>
          </w:p>
        </w:tc>
        <w:tc>
          <w:tcPr/>
          <w:p>
            <w:pPr>
              <w:pStyle w:val="Compact"/>
              <w:jc w:val="right"/>
            </w:pPr>
            <w:r>
              <w:rPr>
                <w:sz w:val="17"/>
              </w:rPr>
              <w:t xml:space="preserve">0.0125</w:t>
            </w:r>
          </w:p>
        </w:tc>
      </w:tr>
    </w:tbl>
    <w:p>
      <w:pPr>
        <w:pStyle w:val="BodyText"/>
      </w:pPr>
      <w:r>
        <w:t xml:space="preserve">Two observations are worth stating plainly. First, the algorithm merges by bad rate alone, so sparse categories can be grouped with unrelated ones. For example, the sub-grade bin "C2|G4" in the points table merges a mid-grade with a very thin high-risk level; a human reviewer would place G4 with the other G grades. This is a limitation of automated categorical grouping and is the reason the points table should always be reviewed. Second, the top two income bins have almost identical WoE, which suggests the cap of eight bins is slightly too fine there; the binning sensitivity in section 16 shows the Gini is insensitive to this.</w:t>
      </w:r>
    </w:p>
    <w:bookmarkEnd w:id="39"/>
    <w:bookmarkStart w:id="40" w:name="which-variables-survive"/>
    <w:p>
      <w:pPr>
        <w:pStyle w:val="Heading2"/>
      </w:pPr>
      <w:r>
        <w:rPr>
          <w:rStyle w:val="SectionNumber"/>
        </w:rPr>
        <w:t xml:space="preserve">6.5</w:t>
      </w:r>
      <w:r>
        <w:tab/>
      </w:r>
      <w:r>
        <w:t xml:space="preserve">Which variables survive</w:t>
      </w:r>
    </w:p>
    <w:p>
      <w:pPr>
        <w:pStyle w:val="FirstParagraph"/>
      </w:pPr>
      <w:r>
        <w:t xml:space="preserve">Information value on the development training sample for all 26 candidate features, and the elimination outcome for SC_FULL, are below. The largest IV belongs to sub_grade (0.244).</w:t>
      </w:r>
    </w:p>
    <w:p>
      <w:pPr>
        <w:pStyle w:val="TableCaption"/>
      </w:pPr>
      <w:r>
        <w:t xml:space="preserve">Information value of each candidate feature and its fate in SC_FULL (development training sample, bins fitted by the pipeline).</w:t>
      </w:r>
    </w:p>
    <w:tbl>
      <w:tblPr>
        <w:tblStyle w:val="Table"/>
        <w:tblW w:type="pct" w:w="5000"/>
        <w:tblLayout w:type="fixed"/>
        <w:tblLook w:firstRow="1" w:lastRow="0" w:firstColumn="0" w:lastColumn="0" w:noHBand="0" w:noVBand="0" w:val="0020"/>
        <w:tblCaption w:val="Information value of each candidate feature and its fate in SC_FULL (development training sample, bins fitted by the pipelin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05"/>
        <w:gridCol w:w="1403"/>
        <w:gridCol w:w="1002"/>
        <w:gridCol w:w="701"/>
        <w:gridCol w:w="2606"/>
      </w:tblGrid>
      <w:tr>
        <w:trPr>
          <w:tblHeader w:val="on"/>
        </w:trPr>
        <w:tc>
          <w:tcPr/>
          <w:p>
            <w:pPr>
              <w:pStyle w:val="Compact"/>
              <w:jc w:val="left"/>
            </w:pPr>
            <w:r>
              <w:rPr>
                <w:sz w:val="17"/>
              </w:rPr>
              <w:t xml:space="preserve">Variable</w:t>
            </w:r>
          </w:p>
        </w:tc>
        <w:tc>
          <w:tcPr/>
          <w:p>
            <w:pPr>
              <w:pStyle w:val="Compact"/>
              <w:jc w:val="right"/>
            </w:pPr>
            <w:r>
              <w:rPr>
                <w:sz w:val="17"/>
              </w:rPr>
              <w:t xml:space="preserve">IV (dev train)</w:t>
            </w:r>
          </w:p>
        </w:tc>
        <w:tc>
          <w:tcPr/>
          <w:p>
            <w:pPr>
              <w:pStyle w:val="Compact"/>
              <w:jc w:val="right"/>
            </w:pPr>
            <w:r>
              <w:rPr>
                <w:sz w:val="17"/>
              </w:rPr>
              <w:t xml:space="preserve">Band</w:t>
            </w:r>
          </w:p>
        </w:tc>
        <w:tc>
          <w:tcPr/>
          <w:p>
            <w:pPr>
              <w:pStyle w:val="Compact"/>
              <w:jc w:val="right"/>
            </w:pPr>
            <w:r>
              <w:rPr>
                <w:sz w:val="17"/>
              </w:rPr>
              <w:t xml:space="preserve">SC_FULL</w:t>
            </w:r>
          </w:p>
        </w:tc>
        <w:tc>
          <w:tcPr/>
          <w:p>
            <w:pPr>
              <w:pStyle w:val="Compact"/>
              <w:jc w:val="right"/>
            </w:pPr>
            <w:r>
              <w:rPr>
                <w:sz w:val="17"/>
              </w:rPr>
              <w:t xml:space="preserve">Reason dropped</w:t>
            </w:r>
          </w:p>
        </w:tc>
      </w:tr>
      <w:tr>
        <w:tc>
          <w:tcPr/>
          <w:p>
            <w:pPr>
              <w:pStyle w:val="Compact"/>
              <w:jc w:val="left"/>
            </w:pPr>
            <w:r>
              <w:rPr>
                <w:sz w:val="17"/>
              </w:rPr>
              <w:t xml:space="preserve">sub_grade</w:t>
            </w:r>
          </w:p>
        </w:tc>
        <w:tc>
          <w:tcPr/>
          <w:p>
            <w:pPr>
              <w:pStyle w:val="Compact"/>
              <w:jc w:val="right"/>
            </w:pPr>
            <w:r>
              <w:rPr>
                <w:sz w:val="17"/>
              </w:rPr>
              <w:t xml:space="preserve">0.2440</w:t>
            </w:r>
          </w:p>
        </w:tc>
        <w:tc>
          <w:tcPr/>
          <w:p>
            <w:pPr>
              <w:pStyle w:val="Compact"/>
              <w:jc w:val="right"/>
            </w:pPr>
            <w:r>
              <w:rPr>
                <w:sz w:val="17"/>
              </w:rPr>
              <w:t xml:space="preserve">Medium</w:t>
            </w:r>
          </w:p>
        </w:tc>
        <w:tc>
          <w:tcPr/>
          <w:p>
            <w:pPr>
              <w:pStyle w:val="Compact"/>
              <w:jc w:val="right"/>
            </w:pPr>
            <w:r>
              <w:rPr>
                <w:sz w:val="17"/>
              </w:rPr>
              <w:t xml:space="preserve">Kept</w:t>
            </w:r>
          </w:p>
        </w:tc>
        <w:tc>
          <w:tcPr/>
          <w:p>
            <w:pPr>
              <w:pStyle w:val="Compact"/>
            </w:pPr>
          </w:p>
        </w:tc>
      </w:tr>
      <w:tr>
        <w:tc>
          <w:tcPr/>
          <w:p>
            <w:pPr>
              <w:pStyle w:val="Compact"/>
              <w:jc w:val="left"/>
            </w:pPr>
            <w:r>
              <w:rPr>
                <w:sz w:val="17"/>
              </w:rPr>
              <w:t xml:space="preserve">int_rate</w:t>
            </w:r>
          </w:p>
        </w:tc>
        <w:tc>
          <w:tcPr/>
          <w:p>
            <w:pPr>
              <w:pStyle w:val="Compact"/>
              <w:jc w:val="right"/>
            </w:pPr>
            <w:r>
              <w:rPr>
                <w:sz w:val="17"/>
              </w:rPr>
              <w:t xml:space="preserve">0.2418</w:t>
            </w:r>
          </w:p>
        </w:tc>
        <w:tc>
          <w:tcPr/>
          <w:p>
            <w:pPr>
              <w:pStyle w:val="Compact"/>
              <w:jc w:val="right"/>
            </w:pPr>
            <w:r>
              <w:rPr>
                <w:sz w:val="17"/>
              </w:rPr>
              <w:t xml:space="preserve">Medium</w:t>
            </w:r>
          </w:p>
        </w:tc>
        <w:tc>
          <w:tcPr/>
          <w:p>
            <w:pPr>
              <w:pStyle w:val="Compact"/>
              <w:jc w:val="right"/>
            </w:pPr>
            <w:r>
              <w:rPr>
                <w:sz w:val="17"/>
              </w:rPr>
              <w:t xml:space="preserve">Dropped</w:t>
            </w:r>
          </w:p>
        </w:tc>
        <w:tc>
          <w:tcPr/>
          <w:p>
            <w:pPr>
              <w:pStyle w:val="Compact"/>
              <w:jc w:val="right"/>
            </w:pPr>
            <w:r>
              <w:rPr>
                <w:sz w:val="17"/>
              </w:rPr>
              <w:t xml:space="preserve">corr 0.95 with sub_grade</w:t>
            </w:r>
          </w:p>
        </w:tc>
      </w:tr>
      <w:tr>
        <w:tc>
          <w:tcPr/>
          <w:p>
            <w:pPr>
              <w:pStyle w:val="Compact"/>
              <w:jc w:val="left"/>
            </w:pPr>
            <w:r>
              <w:rPr>
                <w:sz w:val="17"/>
              </w:rPr>
              <w:t xml:space="preserve">grade</w:t>
            </w:r>
          </w:p>
        </w:tc>
        <w:tc>
          <w:tcPr/>
          <w:p>
            <w:pPr>
              <w:pStyle w:val="Compact"/>
              <w:jc w:val="right"/>
            </w:pPr>
            <w:r>
              <w:rPr>
                <w:sz w:val="17"/>
              </w:rPr>
              <w:t xml:space="preserve">0.2242</w:t>
            </w:r>
          </w:p>
        </w:tc>
        <w:tc>
          <w:tcPr/>
          <w:p>
            <w:pPr>
              <w:pStyle w:val="Compact"/>
              <w:jc w:val="right"/>
            </w:pPr>
            <w:r>
              <w:rPr>
                <w:sz w:val="17"/>
              </w:rPr>
              <w:t xml:space="preserve">Medium</w:t>
            </w:r>
          </w:p>
        </w:tc>
        <w:tc>
          <w:tcPr/>
          <w:p>
            <w:pPr>
              <w:pStyle w:val="Compact"/>
              <w:jc w:val="right"/>
            </w:pPr>
            <w:r>
              <w:rPr>
                <w:sz w:val="17"/>
              </w:rPr>
              <w:t xml:space="preserve">Dropped</w:t>
            </w:r>
          </w:p>
        </w:tc>
        <w:tc>
          <w:tcPr/>
          <w:p>
            <w:pPr>
              <w:pStyle w:val="Compact"/>
              <w:jc w:val="right"/>
            </w:pPr>
            <w:r>
              <w:rPr>
                <w:sz w:val="17"/>
              </w:rPr>
              <w:t xml:space="preserve">corr 0.95 with sub_grade</w:t>
            </w:r>
          </w:p>
        </w:tc>
      </w:tr>
      <w:tr>
        <w:tc>
          <w:tcPr/>
          <w:p>
            <w:pPr>
              <w:pStyle w:val="Compact"/>
              <w:jc w:val="left"/>
            </w:pPr>
            <w:r>
              <w:rPr>
                <w:sz w:val="17"/>
              </w:rPr>
              <w:t xml:space="preserve">purpose</w:t>
            </w:r>
          </w:p>
        </w:tc>
        <w:tc>
          <w:tcPr/>
          <w:p>
            <w:pPr>
              <w:pStyle w:val="Compact"/>
              <w:jc w:val="right"/>
            </w:pPr>
            <w:r>
              <w:rPr>
                <w:sz w:val="17"/>
              </w:rPr>
              <w:t xml:space="preserve">0.0909</w:t>
            </w:r>
          </w:p>
        </w:tc>
        <w:tc>
          <w:tcPr/>
          <w:p>
            <w:pPr>
              <w:pStyle w:val="Compact"/>
              <w:jc w:val="right"/>
            </w:pPr>
            <w:r>
              <w:rPr>
                <w:sz w:val="17"/>
              </w:rPr>
              <w:t xml:space="preserve">Weak</w:t>
            </w:r>
          </w:p>
        </w:tc>
        <w:tc>
          <w:tcPr/>
          <w:p>
            <w:pPr>
              <w:pStyle w:val="Compact"/>
              <w:jc w:val="right"/>
            </w:pPr>
            <w:r>
              <w:rPr>
                <w:sz w:val="17"/>
              </w:rPr>
              <w:t xml:space="preserve">Kept</w:t>
            </w:r>
          </w:p>
        </w:tc>
        <w:tc>
          <w:tcPr/>
          <w:p>
            <w:pPr>
              <w:pStyle w:val="Compact"/>
            </w:pPr>
          </w:p>
        </w:tc>
      </w:tr>
      <w:tr>
        <w:tc>
          <w:tcPr/>
          <w:p>
            <w:pPr>
              <w:pStyle w:val="Compact"/>
              <w:jc w:val="left"/>
            </w:pPr>
            <w:r>
              <w:rPr>
                <w:sz w:val="17"/>
              </w:rPr>
              <w:t xml:space="preserve">inq_last_6mths</w:t>
            </w:r>
          </w:p>
        </w:tc>
        <w:tc>
          <w:tcPr/>
          <w:p>
            <w:pPr>
              <w:pStyle w:val="Compact"/>
              <w:jc w:val="right"/>
            </w:pPr>
            <w:r>
              <w:rPr>
                <w:sz w:val="17"/>
              </w:rPr>
              <w:t xml:space="preserve">0.0880</w:t>
            </w:r>
          </w:p>
        </w:tc>
        <w:tc>
          <w:tcPr/>
          <w:p>
            <w:pPr>
              <w:pStyle w:val="Compact"/>
              <w:jc w:val="right"/>
            </w:pPr>
            <w:r>
              <w:rPr>
                <w:sz w:val="17"/>
              </w:rPr>
              <w:t xml:space="preserve">Weak</w:t>
            </w:r>
          </w:p>
        </w:tc>
        <w:tc>
          <w:tcPr/>
          <w:p>
            <w:pPr>
              <w:pStyle w:val="Compact"/>
              <w:jc w:val="right"/>
            </w:pPr>
            <w:r>
              <w:rPr>
                <w:sz w:val="17"/>
              </w:rPr>
              <w:t xml:space="preserve">Kept</w:t>
            </w:r>
          </w:p>
        </w:tc>
        <w:tc>
          <w:tcPr/>
          <w:p>
            <w:pPr>
              <w:pStyle w:val="Compact"/>
            </w:pPr>
          </w:p>
        </w:tc>
      </w:tr>
      <w:tr>
        <w:tc>
          <w:tcPr/>
          <w:p>
            <w:pPr>
              <w:pStyle w:val="Compact"/>
              <w:jc w:val="left"/>
            </w:pPr>
            <w:r>
              <w:rPr>
                <w:sz w:val="17"/>
              </w:rPr>
              <w:t xml:space="preserve">annual_inc</w:t>
            </w:r>
          </w:p>
        </w:tc>
        <w:tc>
          <w:tcPr/>
          <w:p>
            <w:pPr>
              <w:pStyle w:val="Compact"/>
              <w:jc w:val="right"/>
            </w:pPr>
            <w:r>
              <w:rPr>
                <w:sz w:val="17"/>
              </w:rPr>
              <w:t xml:space="preserve">0.0553</w:t>
            </w:r>
          </w:p>
        </w:tc>
        <w:tc>
          <w:tcPr/>
          <w:p>
            <w:pPr>
              <w:pStyle w:val="Compact"/>
              <w:jc w:val="right"/>
            </w:pPr>
            <w:r>
              <w:rPr>
                <w:sz w:val="17"/>
              </w:rPr>
              <w:t xml:space="preserve">Weak</w:t>
            </w:r>
          </w:p>
        </w:tc>
        <w:tc>
          <w:tcPr/>
          <w:p>
            <w:pPr>
              <w:pStyle w:val="Compact"/>
              <w:jc w:val="right"/>
            </w:pPr>
            <w:r>
              <w:rPr>
                <w:sz w:val="17"/>
              </w:rPr>
              <w:t xml:space="preserve">Kept</w:t>
            </w:r>
          </w:p>
        </w:tc>
        <w:tc>
          <w:tcPr/>
          <w:p>
            <w:pPr>
              <w:pStyle w:val="Compact"/>
            </w:pPr>
          </w:p>
        </w:tc>
      </w:tr>
      <w:tr>
        <w:tc>
          <w:tcPr/>
          <w:p>
            <w:pPr>
              <w:pStyle w:val="Compact"/>
              <w:jc w:val="left"/>
            </w:pPr>
            <w:r>
              <w:rPr>
                <w:sz w:val="17"/>
              </w:rPr>
              <w:t xml:space="preserve">loan_to_inc</w:t>
            </w:r>
          </w:p>
        </w:tc>
        <w:tc>
          <w:tcPr/>
          <w:p>
            <w:pPr>
              <w:pStyle w:val="Compact"/>
              <w:jc w:val="right"/>
            </w:pPr>
            <w:r>
              <w:rPr>
                <w:sz w:val="17"/>
              </w:rPr>
              <w:t xml:space="preserve">0.0528</w:t>
            </w:r>
          </w:p>
        </w:tc>
        <w:tc>
          <w:tcPr/>
          <w:p>
            <w:pPr>
              <w:pStyle w:val="Compact"/>
              <w:jc w:val="right"/>
            </w:pPr>
            <w:r>
              <w:rPr>
                <w:sz w:val="17"/>
              </w:rPr>
              <w:t xml:space="preserve">Weak</w:t>
            </w:r>
          </w:p>
        </w:tc>
        <w:tc>
          <w:tcPr/>
          <w:p>
            <w:pPr>
              <w:pStyle w:val="Compact"/>
              <w:jc w:val="right"/>
            </w:pPr>
            <w:r>
              <w:rPr>
                <w:sz w:val="17"/>
              </w:rPr>
              <w:t xml:space="preserve">Kept</w:t>
            </w:r>
          </w:p>
        </w:tc>
        <w:tc>
          <w:tcPr/>
          <w:p>
            <w:pPr>
              <w:pStyle w:val="Compact"/>
            </w:pPr>
          </w:p>
        </w:tc>
      </w:tr>
      <w:tr>
        <w:tc>
          <w:tcPr/>
          <w:p>
            <w:pPr>
              <w:pStyle w:val="Compact"/>
              <w:jc w:val="left"/>
            </w:pPr>
            <w:r>
              <w:rPr>
                <w:sz w:val="17"/>
              </w:rPr>
              <w:t xml:space="preserve">pti</w:t>
            </w:r>
          </w:p>
        </w:tc>
        <w:tc>
          <w:tcPr/>
          <w:p>
            <w:pPr>
              <w:pStyle w:val="Compact"/>
              <w:jc w:val="right"/>
            </w:pPr>
            <w:r>
              <w:rPr>
                <w:sz w:val="17"/>
              </w:rPr>
              <w:t xml:space="preserve">0.0506</w:t>
            </w:r>
          </w:p>
        </w:tc>
        <w:tc>
          <w:tcPr/>
          <w:p>
            <w:pPr>
              <w:pStyle w:val="Compact"/>
              <w:jc w:val="right"/>
            </w:pPr>
            <w:r>
              <w:rPr>
                <w:sz w:val="17"/>
              </w:rPr>
              <w:t xml:space="preserve">Weak</w:t>
            </w:r>
          </w:p>
        </w:tc>
        <w:tc>
          <w:tcPr/>
          <w:p>
            <w:pPr>
              <w:pStyle w:val="Compact"/>
              <w:jc w:val="right"/>
            </w:pPr>
            <w:r>
              <w:rPr>
                <w:sz w:val="17"/>
              </w:rPr>
              <w:t xml:space="preserve">Dropped</w:t>
            </w:r>
          </w:p>
        </w:tc>
        <w:tc>
          <w:tcPr/>
          <w:p>
            <w:pPr>
              <w:pStyle w:val="Compact"/>
              <w:jc w:val="right"/>
            </w:pPr>
            <w:r>
              <w:rPr>
                <w:sz w:val="17"/>
              </w:rPr>
              <w:t xml:space="preserve">corr 0.90 with loan_to_inc</w:t>
            </w:r>
          </w:p>
        </w:tc>
      </w:tr>
      <w:tr>
        <w:tc>
          <w:tcPr/>
          <w:p>
            <w:pPr>
              <w:pStyle w:val="Compact"/>
              <w:jc w:val="left"/>
            </w:pPr>
            <w:r>
              <w:rPr>
                <w:sz w:val="17"/>
              </w:rPr>
              <w:t xml:space="preserve">revol_util</w:t>
            </w:r>
          </w:p>
        </w:tc>
        <w:tc>
          <w:tcPr/>
          <w:p>
            <w:pPr>
              <w:pStyle w:val="Compact"/>
              <w:jc w:val="right"/>
            </w:pPr>
            <w:r>
              <w:rPr>
                <w:sz w:val="17"/>
              </w:rPr>
              <w:t xml:space="preserve">0.0451</w:t>
            </w:r>
          </w:p>
        </w:tc>
        <w:tc>
          <w:tcPr/>
          <w:p>
            <w:pPr>
              <w:pStyle w:val="Compact"/>
              <w:jc w:val="right"/>
            </w:pPr>
            <w:r>
              <w:rPr>
                <w:sz w:val="17"/>
              </w:rPr>
              <w:t xml:space="preserve">Weak</w:t>
            </w:r>
          </w:p>
        </w:tc>
        <w:tc>
          <w:tcPr/>
          <w:p>
            <w:pPr>
              <w:pStyle w:val="Compact"/>
              <w:jc w:val="right"/>
            </w:pPr>
            <w:r>
              <w:rPr>
                <w:sz w:val="17"/>
              </w:rPr>
              <w:t xml:space="preserve">Kept</w:t>
            </w:r>
          </w:p>
        </w:tc>
        <w:tc>
          <w:tcPr/>
          <w:p>
            <w:pPr>
              <w:pStyle w:val="Compact"/>
            </w:pPr>
          </w:p>
        </w:tc>
      </w:tr>
      <w:tr>
        <w:tc>
          <w:tcPr/>
          <w:p>
            <w:pPr>
              <w:pStyle w:val="Compact"/>
              <w:jc w:val="left"/>
            </w:pPr>
            <w:r>
              <w:rPr>
                <w:sz w:val="17"/>
              </w:rPr>
              <w:t xml:space="preserve">term_m</w:t>
            </w:r>
          </w:p>
        </w:tc>
        <w:tc>
          <w:tcPr/>
          <w:p>
            <w:pPr>
              <w:pStyle w:val="Compact"/>
              <w:jc w:val="right"/>
            </w:pPr>
            <w:r>
              <w:rPr>
                <w:sz w:val="17"/>
              </w:rPr>
              <w:t xml:space="preserve">0.0320</w:t>
            </w:r>
          </w:p>
        </w:tc>
        <w:tc>
          <w:tcPr/>
          <w:p>
            <w:pPr>
              <w:pStyle w:val="Compact"/>
              <w:jc w:val="right"/>
            </w:pPr>
            <w:r>
              <w:rPr>
                <w:sz w:val="17"/>
              </w:rPr>
              <w:t xml:space="preserve">Weak</w:t>
            </w:r>
          </w:p>
        </w:tc>
        <w:tc>
          <w:tcPr/>
          <w:p>
            <w:pPr>
              <w:pStyle w:val="Compact"/>
              <w:jc w:val="right"/>
            </w:pPr>
            <w:r>
              <w:rPr>
                <w:sz w:val="17"/>
              </w:rPr>
              <w:t xml:space="preserve">Dropped</w:t>
            </w:r>
          </w:p>
        </w:tc>
        <w:tc>
          <w:tcPr/>
          <w:p>
            <w:pPr>
              <w:pStyle w:val="Compact"/>
              <w:jc w:val="right"/>
            </w:pPr>
            <w:r>
              <w:rPr>
                <w:sz w:val="17"/>
              </w:rPr>
              <w:t xml:space="preserve">p 0.474 &gt; 0.05</w:t>
            </w:r>
          </w:p>
        </w:tc>
      </w:tr>
      <w:tr>
        <w:tc>
          <w:tcPr/>
          <w:p>
            <w:pPr>
              <w:pStyle w:val="Compact"/>
              <w:jc w:val="left"/>
            </w:pPr>
            <w:r>
              <w:rPr>
                <w:sz w:val="17"/>
              </w:rPr>
              <w:t xml:space="preserve">addr_state</w:t>
            </w:r>
          </w:p>
        </w:tc>
        <w:tc>
          <w:tcPr/>
          <w:p>
            <w:pPr>
              <w:pStyle w:val="Compact"/>
              <w:jc w:val="right"/>
            </w:pPr>
            <w:r>
              <w:rPr>
                <w:sz w:val="17"/>
              </w:rPr>
              <w:t xml:space="preserve">0.0297</w:t>
            </w:r>
          </w:p>
        </w:tc>
        <w:tc>
          <w:tcPr/>
          <w:p>
            <w:pPr>
              <w:pStyle w:val="Compact"/>
              <w:jc w:val="right"/>
            </w:pPr>
            <w:r>
              <w:rPr>
                <w:sz w:val="17"/>
              </w:rPr>
              <w:t xml:space="preserve">Weak</w:t>
            </w:r>
          </w:p>
        </w:tc>
        <w:tc>
          <w:tcPr/>
          <w:p>
            <w:pPr>
              <w:pStyle w:val="Compact"/>
              <w:jc w:val="right"/>
            </w:pPr>
            <w:r>
              <w:rPr>
                <w:sz w:val="17"/>
              </w:rPr>
              <w:t xml:space="preserve">Kept</w:t>
            </w:r>
          </w:p>
        </w:tc>
        <w:tc>
          <w:tcPr/>
          <w:p>
            <w:pPr>
              <w:pStyle w:val="Compact"/>
            </w:pPr>
          </w:p>
        </w:tc>
      </w:tr>
      <w:tr>
        <w:tc>
          <w:tcPr/>
          <w:p>
            <w:pPr>
              <w:pStyle w:val="Compact"/>
              <w:jc w:val="left"/>
            </w:pPr>
            <w:r>
              <w:rPr>
                <w:sz w:val="17"/>
              </w:rPr>
              <w:t xml:space="preserve">dti</w:t>
            </w:r>
          </w:p>
        </w:tc>
        <w:tc>
          <w:tcPr/>
          <w:p>
            <w:pPr>
              <w:pStyle w:val="Compact"/>
              <w:jc w:val="right"/>
            </w:pPr>
            <w:r>
              <w:rPr>
                <w:sz w:val="17"/>
              </w:rPr>
              <w:t xml:space="preserve">0.0239</w:t>
            </w:r>
          </w:p>
        </w:tc>
        <w:tc>
          <w:tcPr/>
          <w:p>
            <w:pPr>
              <w:pStyle w:val="Compact"/>
              <w:jc w:val="right"/>
            </w:pPr>
            <w:r>
              <w:rPr>
                <w:sz w:val="17"/>
              </w:rPr>
              <w:t xml:space="preserve">Weak</w:t>
            </w:r>
          </w:p>
        </w:tc>
        <w:tc>
          <w:tcPr/>
          <w:p>
            <w:pPr>
              <w:pStyle w:val="Compact"/>
              <w:jc w:val="right"/>
            </w:pPr>
            <w:r>
              <w:rPr>
                <w:sz w:val="17"/>
              </w:rPr>
              <w:t xml:space="preserve">Kept</w:t>
            </w:r>
          </w:p>
        </w:tc>
        <w:tc>
          <w:tcPr/>
          <w:p>
            <w:pPr>
              <w:pStyle w:val="Compact"/>
            </w:pPr>
          </w:p>
        </w:tc>
      </w:tr>
      <w:tr>
        <w:tc>
          <w:tcPr/>
          <w:p>
            <w:pPr>
              <w:pStyle w:val="Compact"/>
              <w:jc w:val="left"/>
            </w:pPr>
            <w:r>
              <w:rPr>
                <w:sz w:val="17"/>
              </w:rPr>
              <w:t xml:space="preserve">home_ownership</w:t>
            </w:r>
          </w:p>
        </w:tc>
        <w:tc>
          <w:tcPr/>
          <w:p>
            <w:pPr>
              <w:pStyle w:val="Compact"/>
              <w:jc w:val="right"/>
            </w:pPr>
            <w:r>
              <w:rPr>
                <w:sz w:val="17"/>
              </w:rPr>
              <w:t xml:space="preserve">0.0203</w:t>
            </w:r>
          </w:p>
        </w:tc>
        <w:tc>
          <w:tcPr/>
          <w:p>
            <w:pPr>
              <w:pStyle w:val="Compact"/>
              <w:jc w:val="right"/>
            </w:pPr>
            <w:r>
              <w:rPr>
                <w:sz w:val="17"/>
              </w:rPr>
              <w:t xml:space="preserve">Weak</w:t>
            </w:r>
          </w:p>
        </w:tc>
        <w:tc>
          <w:tcPr/>
          <w:p>
            <w:pPr>
              <w:pStyle w:val="Compact"/>
              <w:jc w:val="right"/>
            </w:pPr>
            <w:r>
              <w:rPr>
                <w:sz w:val="17"/>
              </w:rPr>
              <w:t xml:space="preserve">Kept</w:t>
            </w:r>
          </w:p>
        </w:tc>
        <w:tc>
          <w:tcPr/>
          <w:p>
            <w:pPr>
              <w:pStyle w:val="Compact"/>
            </w:pPr>
          </w:p>
        </w:tc>
      </w:tr>
      <w:tr>
        <w:tc>
          <w:tcPr/>
          <w:p>
            <w:pPr>
              <w:pStyle w:val="Compact"/>
              <w:jc w:val="left"/>
            </w:pPr>
            <w:r>
              <w:rPr>
                <w:sz w:val="17"/>
              </w:rPr>
              <w:t xml:space="preserve">credit_age_m</w:t>
            </w:r>
          </w:p>
        </w:tc>
        <w:tc>
          <w:tcPr/>
          <w:p>
            <w:pPr>
              <w:pStyle w:val="Compact"/>
              <w:jc w:val="right"/>
            </w:pPr>
            <w:r>
              <w:rPr>
                <w:sz w:val="17"/>
              </w:rPr>
              <w:t xml:space="preserve">0.0188</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0.0188 &lt; 0.02</w:t>
            </w:r>
          </w:p>
        </w:tc>
      </w:tr>
      <w:tr>
        <w:tc>
          <w:tcPr/>
          <w:p>
            <w:pPr>
              <w:pStyle w:val="Compact"/>
              <w:jc w:val="left"/>
            </w:pPr>
            <w:r>
              <w:rPr>
                <w:sz w:val="17"/>
              </w:rPr>
              <w:t xml:space="preserve">verification_status</w:t>
            </w:r>
          </w:p>
        </w:tc>
        <w:tc>
          <w:tcPr/>
          <w:p>
            <w:pPr>
              <w:pStyle w:val="Compact"/>
              <w:jc w:val="right"/>
            </w:pPr>
            <w:r>
              <w:rPr>
                <w:sz w:val="17"/>
              </w:rPr>
              <w:t xml:space="preserve">0.0156</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0.0156 &lt; 0.02</w:t>
            </w:r>
          </w:p>
        </w:tc>
      </w:tr>
      <w:tr>
        <w:tc>
          <w:tcPr/>
          <w:p>
            <w:pPr>
              <w:pStyle w:val="Compact"/>
              <w:jc w:val="left"/>
            </w:pPr>
            <w:r>
              <w:rPr>
                <w:sz w:val="17"/>
              </w:rPr>
              <w:t xml:space="preserve">emp_years</w:t>
            </w:r>
          </w:p>
        </w:tc>
        <w:tc>
          <w:tcPr/>
          <w:p>
            <w:pPr>
              <w:pStyle w:val="Compact"/>
              <w:jc w:val="right"/>
            </w:pPr>
            <w:r>
              <w:rPr>
                <w:sz w:val="17"/>
              </w:rPr>
              <w:t xml:space="preserve">0.0110</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0.0110 &lt; 0.02</w:t>
            </w:r>
          </w:p>
        </w:tc>
      </w:tr>
      <w:tr>
        <w:tc>
          <w:tcPr/>
          <w:p>
            <w:pPr>
              <w:pStyle w:val="Compact"/>
              <w:jc w:val="left"/>
            </w:pPr>
            <w:r>
              <w:rPr>
                <w:sz w:val="17"/>
              </w:rPr>
              <w:t xml:space="preserve">total_acc</w:t>
            </w:r>
          </w:p>
        </w:tc>
        <w:tc>
          <w:tcPr/>
          <w:p>
            <w:pPr>
              <w:pStyle w:val="Compact"/>
              <w:jc w:val="right"/>
            </w:pPr>
            <w:r>
              <w:rPr>
                <w:sz w:val="17"/>
              </w:rPr>
              <w:t xml:space="preserve">0.0103</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0.0103 &lt; 0.02</w:t>
            </w:r>
          </w:p>
        </w:tc>
      </w:tr>
      <w:tr>
        <w:tc>
          <w:tcPr/>
          <w:p>
            <w:pPr>
              <w:pStyle w:val="Compact"/>
              <w:jc w:val="left"/>
            </w:pPr>
            <w:r>
              <w:rPr>
                <w:sz w:val="17"/>
              </w:rPr>
              <w:t xml:space="preserve">mths_since_last_record</w:t>
            </w:r>
          </w:p>
        </w:tc>
        <w:tc>
          <w:tcPr/>
          <w:p>
            <w:pPr>
              <w:pStyle w:val="Compact"/>
              <w:jc w:val="right"/>
            </w:pPr>
            <w:r>
              <w:rPr>
                <w:sz w:val="17"/>
              </w:rPr>
              <w:t xml:space="preserve">0.0085</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0.0085 &lt; 0.02</w:t>
            </w:r>
          </w:p>
        </w:tc>
      </w:tr>
      <w:tr>
        <w:tc>
          <w:tcPr/>
          <w:p>
            <w:pPr>
              <w:pStyle w:val="Compact"/>
              <w:jc w:val="left"/>
            </w:pPr>
            <w:r>
              <w:rPr>
                <w:sz w:val="17"/>
              </w:rPr>
              <w:t xml:space="preserve">loan_amnt</w:t>
            </w:r>
          </w:p>
        </w:tc>
        <w:tc>
          <w:tcPr/>
          <w:p>
            <w:pPr>
              <w:pStyle w:val="Compact"/>
              <w:jc w:val="right"/>
            </w:pPr>
            <w:r>
              <w:rPr>
                <w:sz w:val="17"/>
              </w:rPr>
              <w:t xml:space="preserve">0.0058</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0.0058 &lt; 0.02</w:t>
            </w:r>
          </w:p>
        </w:tc>
      </w:tr>
      <w:tr>
        <w:tc>
          <w:tcPr/>
          <w:p>
            <w:pPr>
              <w:pStyle w:val="Compact"/>
              <w:jc w:val="left"/>
            </w:pPr>
            <w:r>
              <w:rPr>
                <w:sz w:val="17"/>
              </w:rPr>
              <w:t xml:space="preserve">revol_bal</w:t>
            </w:r>
          </w:p>
        </w:tc>
        <w:tc>
          <w:tcPr/>
          <w:p>
            <w:pPr>
              <w:pStyle w:val="Compact"/>
              <w:jc w:val="right"/>
            </w:pPr>
            <w:r>
              <w:rPr>
                <w:sz w:val="17"/>
              </w:rPr>
              <w:t xml:space="preserve">0.0055</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0.0055 &lt; 0.02</w:t>
            </w:r>
          </w:p>
        </w:tc>
      </w:tr>
      <w:tr>
        <w:tc>
          <w:tcPr/>
          <w:p>
            <w:pPr>
              <w:pStyle w:val="Compact"/>
              <w:jc w:val="left"/>
            </w:pPr>
            <w:r>
              <w:rPr>
                <w:sz w:val="17"/>
              </w:rPr>
              <w:t xml:space="preserve">installment</w:t>
            </w:r>
          </w:p>
        </w:tc>
        <w:tc>
          <w:tcPr/>
          <w:p>
            <w:pPr>
              <w:pStyle w:val="Compact"/>
              <w:jc w:val="right"/>
            </w:pPr>
            <w:r>
              <w:rPr>
                <w:sz w:val="17"/>
              </w:rPr>
              <w:t xml:space="preserve">0.0041</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0.0041 &lt; 0.02</w:t>
            </w:r>
          </w:p>
        </w:tc>
      </w:tr>
      <w:tr>
        <w:tc>
          <w:tcPr/>
          <w:p>
            <w:pPr>
              <w:pStyle w:val="Compact"/>
              <w:jc w:val="left"/>
            </w:pPr>
            <w:r>
              <w:rPr>
                <w:sz w:val="17"/>
              </w:rPr>
              <w:t xml:space="preserve">mths_since_last_delinq</w:t>
            </w:r>
          </w:p>
        </w:tc>
        <w:tc>
          <w:tcPr/>
          <w:p>
            <w:pPr>
              <w:pStyle w:val="Compact"/>
              <w:jc w:val="right"/>
            </w:pPr>
            <w:r>
              <w:rPr>
                <w:sz w:val="17"/>
              </w:rPr>
              <w:t xml:space="preserve">0.0018</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0.0018 &lt; 0.02</w:t>
            </w:r>
          </w:p>
        </w:tc>
      </w:tr>
      <w:tr>
        <w:tc>
          <w:tcPr/>
          <w:p>
            <w:pPr>
              <w:pStyle w:val="Compact"/>
              <w:jc w:val="left"/>
            </w:pPr>
            <w:r>
              <w:rPr>
                <w:sz w:val="17"/>
              </w:rPr>
              <w:t xml:space="preserve">delinq_2yrs</w:t>
            </w:r>
          </w:p>
        </w:tc>
        <w:tc>
          <w:tcPr/>
          <w:p>
            <w:pPr>
              <w:pStyle w:val="Compact"/>
              <w:jc w:val="right"/>
            </w:pPr>
            <w:r>
              <w:rPr>
                <w:sz w:val="17"/>
              </w:rPr>
              <w:t xml:space="preserve">0.0008</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0.0008 &lt; 0.02</w:t>
            </w:r>
          </w:p>
        </w:tc>
      </w:tr>
      <w:tr>
        <w:tc>
          <w:tcPr/>
          <w:p>
            <w:pPr>
              <w:pStyle w:val="Compact"/>
              <w:jc w:val="left"/>
            </w:pPr>
            <w:r>
              <w:rPr>
                <w:sz w:val="17"/>
              </w:rPr>
              <w:t xml:space="preserve">initial_list_status</w:t>
            </w:r>
          </w:p>
        </w:tc>
        <w:tc>
          <w:tcPr/>
          <w:p>
            <w:pPr>
              <w:pStyle w:val="Compact"/>
              <w:jc w:val="right"/>
            </w:pPr>
            <w:r>
              <w:rPr>
                <w:sz w:val="17"/>
              </w:rPr>
              <w:t xml:space="preserve">0.0001</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0.0001 &lt; 0.02</w:t>
            </w:r>
          </w:p>
        </w:tc>
      </w:tr>
      <w:tr>
        <w:tc>
          <w:tcPr/>
          <w:p>
            <w:pPr>
              <w:pStyle w:val="Compact"/>
              <w:jc w:val="left"/>
            </w:pPr>
            <w:r>
              <w:rPr>
                <w:sz w:val="17"/>
              </w:rPr>
              <w:t xml:space="preserve">open_acc</w:t>
            </w:r>
          </w:p>
        </w:tc>
        <w:tc>
          <w:tcPr/>
          <w:p>
            <w:pPr>
              <w:pStyle w:val="Compact"/>
              <w:jc w:val="right"/>
            </w:pPr>
            <w:r>
              <w:rPr>
                <w:sz w:val="17"/>
              </w:rPr>
              <w:t xml:space="preserve">0.0001</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0.0001 &lt; 0.02</w:t>
            </w:r>
          </w:p>
        </w:tc>
      </w:tr>
      <w:tr>
        <w:tc>
          <w:tcPr/>
          <w:p>
            <w:pPr>
              <w:pStyle w:val="Compact"/>
              <w:jc w:val="left"/>
            </w:pPr>
            <w:r>
              <w:rPr>
                <w:sz w:val="17"/>
              </w:rPr>
              <w:t xml:space="preserve">pub_rec</w:t>
            </w:r>
          </w:p>
        </w:tc>
        <w:tc>
          <w:tcPr/>
          <w:p>
            <w:pPr>
              <w:pStyle w:val="Compact"/>
              <w:jc w:val="right"/>
            </w:pPr>
            <w:r>
              <w:rPr>
                <w:sz w:val="17"/>
              </w:rPr>
              <w:t xml:space="preserve">0.0000</w:t>
            </w:r>
          </w:p>
        </w:tc>
        <w:tc>
          <w:tcPr/>
          <w:p>
            <w:pPr>
              <w:pStyle w:val="Compact"/>
              <w:jc w:val="right"/>
            </w:pPr>
            <w:r>
              <w:rPr>
                <w:sz w:val="17"/>
              </w:rPr>
              <w:t xml:space="preserve">Not useful</w:t>
            </w:r>
          </w:p>
        </w:tc>
        <w:tc>
          <w:tcPr/>
          <w:p>
            <w:pPr>
              <w:pStyle w:val="Compact"/>
              <w:jc w:val="right"/>
            </w:pPr>
            <w:r>
              <w:rPr>
                <w:sz w:val="17"/>
              </w:rPr>
              <w:t xml:space="preserve">Dropped</w:t>
            </w:r>
          </w:p>
        </w:tc>
        <w:tc>
          <w:tcPr/>
          <w:p>
            <w:pPr>
              <w:pStyle w:val="Compact"/>
              <w:jc w:val="right"/>
            </w:pPr>
            <w:r>
              <w:rPr>
                <w:sz w:val="17"/>
              </w:rPr>
              <w:t xml:space="preserve">IV 0.0000 &lt; 0.02</w:t>
            </w:r>
          </w:p>
        </w:tc>
      </w:tr>
    </w:tbl>
    <w:bookmarkEnd w:id="40"/>
    <w:bookmarkEnd w:id="41"/>
    <w:bookmarkStart w:id="51" w:name="scorecard-scaling-and-a-worked-loan"/>
    <w:p>
      <w:pPr>
        <w:pStyle w:val="Heading1"/>
      </w:pPr>
      <w:r>
        <w:rPr>
          <w:rStyle w:val="SectionNumber"/>
        </w:rPr>
        <w:t xml:space="preserve">7</w:t>
      </w:r>
      <w:r>
        <w:tab/>
      </w:r>
      <w:r>
        <w:t xml:space="preserve">Scorecard scaling and a worked loan</w:t>
      </w:r>
    </w:p>
    <w:bookmarkStart w:id="42" w:name="from-logit-to-points"/>
    <w:p>
      <w:pPr>
        <w:pStyle w:val="Heading2"/>
      </w:pPr>
      <w:r>
        <w:rPr>
          <w:rStyle w:val="SectionNumber"/>
        </w:rPr>
        <w:t xml:space="preserve">7.1</w:t>
      </w:r>
      <w:r>
        <w:tab/>
      </w:r>
      <w:r>
        <w:t xml:space="preserve">From logit to points</w:t>
      </w:r>
    </w:p>
    <w:p>
      <w:pPr>
        <w:pStyle w:val="FirstParagraph"/>
      </w:pPr>
      <w:r>
        <w:t xml:space="preserve">Customers and credit officers read scores, not log-odds. A scorecard rescales the model's log-odds to points using three conventions: a</w:t>
      </w:r>
      <w:r>
        <w:t xml:space="preserve"> </w:t>
      </w:r>
      <w:r>
        <w:rPr>
          <w:b/>
          <w:bCs/>
        </w:rPr>
        <w:t xml:space="preserve">base score</w:t>
      </w:r>
      <w:r>
        <w:t xml:space="preserve"> </w:t>
      </w:r>
      <w:r>
        <w:t xml:space="preserve">at</w:t>
      </w:r>
      <w:r>
        <w:t xml:space="preserve"> </w:t>
      </w:r>
      <w:r>
        <w:rPr>
          <w:b/>
          <w:bCs/>
        </w:rPr>
        <w:t xml:space="preserve">base odds</w:t>
      </w:r>
      <w:r>
        <w:t xml:space="preserve"> </w:t>
      </w:r>
      <w:r>
        <w:t xml:space="preserve">(good to bad) and</w:t>
      </w:r>
      <w:r>
        <w:t xml:space="preserve"> </w:t>
      </w:r>
      <w:r>
        <w:rPr>
          <w:b/>
          <w:bCs/>
        </w:rPr>
        <w:t xml:space="preserve">points to double the odds</w:t>
      </w:r>
      <w:r>
        <w:t xml:space="preserve"> </w:t>
      </w:r>
      <w:r>
        <w:t xml:space="preserve">(PDO). Here the base score is 600 at odds of 50 to 1 and PDO is 20: every 20 extra points doubles the good:bad odds. The logit model gives the log-odds of</w:t>
      </w:r>
      <w:r>
        <w:t xml:space="preserve"> </w:t>
      </w:r>
      <w:r>
        <w:rPr>
          <w:i/>
          <w:iCs/>
        </w:rPr>
        <w:t xml:space="preserve">bad</w:t>
      </w:r>
      <w:r>
        <w:t xml:space="preserve">,</w:t>
      </w:r>
      <w:r>
        <w:t xml:space="preserve"> </w:t>
      </w:r>
      <m:oMath>
        <m:r>
          <m:t>z</m:t>
        </m:r>
        <m:r>
          <m:rPr>
            <m:sty m:val="p"/>
          </m:rPr>
          <m:t>=</m:t>
        </m:r>
        <m:r>
          <m:rPr>
            <m:sty m:val="p"/>
          </m:rPr>
          <m:t>ln</m:t>
        </m:r>
        <m:f>
          <m:fPr>
            <m:type m:val="bar"/>
          </m:fPr>
          <m:num>
            <m:r>
              <m:t>p</m:t>
            </m:r>
          </m:num>
          <m:den>
            <m:r>
              <m:t>1</m:t>
            </m:r>
            <m:r>
              <m:rPr>
                <m:sty m:val="p"/>
              </m:rPr>
              <m:t>−</m:t>
            </m:r>
            <m:r>
              <m:t>p</m:t>
            </m:r>
          </m:den>
        </m:f>
      </m:oMath>
      <w:r>
        <w:t xml:space="preserve">, so</w:t>
      </w:r>
    </w:p>
    <w:p>
      <w:pPr>
        <w:pStyle w:val="BodyText"/>
      </w:pPr>
      <m:oMathPara>
        <m:oMathParaPr>
          <m:jc m:val="center"/>
        </m:oMathParaPr>
        <m:oMath>
          <m:r>
            <m:rPr>
              <m:nor/>
              <m:sty m:val="p"/>
            </m:rPr>
            <m:t>Score</m:t>
          </m:r>
          <m:r>
            <m:rPr>
              <m:sty m:val="p"/>
            </m:rPr>
            <m:t>=</m:t>
          </m:r>
          <m:r>
            <m:rPr>
              <m:nor/>
              <m:sty m:val="p"/>
            </m:rPr>
            <m:t>Offset</m:t>
          </m:r>
          <m:r>
            <m:rPr>
              <m:sty m:val="p"/>
            </m:rPr>
            <m:t>−</m:t>
          </m:r>
          <m:r>
            <m:rPr>
              <m:nor/>
              <m:sty m:val="p"/>
            </m:rPr>
            <m:t>Factor</m:t>
          </m:r>
          <m:r>
            <m:rPr>
              <m:sty m:val="p"/>
            </m:rPr>
            <m:t>⋅</m:t>
          </m:r>
          <m:r>
            <m:t>z</m:t>
          </m:r>
          <m:r>
            <m:rPr>
              <m:sty m:val="p"/>
            </m:rPr>
            <m:t>,</m:t>
          </m:r>
          <m:r>
            <m:t>  </m:t>
          </m:r>
          <m:r>
            <m:rPr>
              <m:nor/>
              <m:sty m:val="p"/>
            </m:rPr>
            <m:t>Factor</m:t>
          </m:r>
          <m:r>
            <m:rPr>
              <m:sty m:val="p"/>
            </m:rPr>
            <m:t>=</m:t>
          </m:r>
          <m:f>
            <m:fPr>
              <m:type m:val="bar"/>
            </m:fPr>
            <m:num>
              <m:r>
                <m:rPr>
                  <m:nor/>
                  <m:sty m:val="p"/>
                </m:rPr>
                <m:t>PDO</m:t>
              </m:r>
            </m:num>
            <m:den>
              <m:r>
                <m:rPr>
                  <m:sty m:val="p"/>
                </m:rPr>
                <m:t>ln</m:t>
              </m:r>
              <m:r>
                <m:t>2</m:t>
              </m:r>
            </m:den>
          </m:f>
          <m:r>
            <m:rPr>
              <m:sty m:val="p"/>
            </m:rPr>
            <m:t>,</m:t>
          </m:r>
          <m:r>
            <m:t>  </m:t>
          </m:r>
          <m:r>
            <m:rPr>
              <m:nor/>
              <m:sty m:val="p"/>
            </m:rPr>
            <m:t>Offset</m:t>
          </m:r>
          <m:r>
            <m:rPr>
              <m:sty m:val="p"/>
            </m:rPr>
            <m:t>=</m:t>
          </m:r>
          <m:r>
            <m:rPr>
              <m:nor/>
              <m:sty m:val="p"/>
            </m:rPr>
            <m:t>BaseScore</m:t>
          </m:r>
          <m:r>
            <m:rPr>
              <m:sty m:val="p"/>
            </m:rPr>
            <m:t>−</m:t>
          </m:r>
          <m:r>
            <m:rPr>
              <m:nor/>
              <m:sty m:val="p"/>
            </m:rPr>
            <m:t>Factor</m:t>
          </m:r>
          <m:r>
            <m:rPr>
              <m:sty m:val="p"/>
            </m:rPr>
            <m:t>⋅</m:t>
          </m:r>
          <m:r>
            <m:rPr>
              <m:sty m:val="p"/>
            </m:rPr>
            <m:t>ln</m:t>
          </m:r>
          <m:r>
            <m:rPr>
              <m:sty m:val="p"/>
            </m:rPr>
            <m:t>(</m:t>
          </m:r>
          <m:r>
            <m:rPr>
              <m:nor/>
              <m:sty m:val="p"/>
            </m:rPr>
            <m:t>BaseOdds</m:t>
          </m:r>
          <m:r>
            <m:rPr>
              <m:sty m:val="p"/>
            </m:rPr>
            <m:t>)</m:t>
          </m:r>
          <m:r>
            <m:rPr>
              <m:sty m:val="p"/>
            </m:rPr>
            <m:t>.</m:t>
          </m:r>
        </m:oMath>
      </m:oMathPara>
    </w:p>
    <w:p>
      <w:pPr>
        <w:pStyle w:val="FirstParagraph"/>
      </w:pPr>
      <w:r>
        <w:t xml:space="preserve">With the project settings, Factor is 28.8539 and Offset is 487.1229 (</w:t>
      </w:r>
      <w:r>
        <w:rPr>
          <w:rStyle w:val="VerbatimChar"/>
        </w:rPr>
        <w:t xml:space="preserve">scorecard.scaling</w:t>
      </w:r>
      <w:r>
        <w:t xml:space="preserve">). Because</w:t>
      </w:r>
      <w:r>
        <w:t xml:space="preserve"> </w:t>
      </w:r>
      <m:oMath>
        <m:r>
          <m:t>z</m:t>
        </m:r>
        <m:r>
          <m:rPr>
            <m:sty m:val="p"/>
          </m:rPr>
          <m:t>=</m:t>
        </m:r>
        <m:r>
          <m:t>α</m:t>
        </m:r>
        <m:r>
          <m:rPr>
            <m:sty m:val="p"/>
          </m:rPr>
          <m:t>+</m:t>
        </m:r>
        <m:nary>
          <m:naryPr>
            <m:chr m:val="∑"/>
            <m:limLoc m:val="undOvr"/>
            <m:subHide m:val="off"/>
            <m:supHide m:val="on"/>
          </m:naryPr>
          <m:sub>
            <m:r>
              <m:t>j</m:t>
            </m:r>
          </m:sub>
          <m:sup>
            <m:r>
              <m:t>​</m:t>
            </m:r>
          </m:sup>
          <m:e>
            <m:sSub>
              <m:e>
                <m:r>
                  <m:t>β</m:t>
                </m:r>
              </m:e>
              <m:sub>
                <m:r>
                  <m:t>j</m:t>
                </m:r>
              </m:sub>
            </m:sSub>
          </m:e>
        </m:nary>
        <m:r>
          <m:t> </m:t>
        </m:r>
        <m:sSub>
          <m:e>
            <m:r>
              <m:rPr>
                <m:sty m:val="p"/>
              </m:rPr>
              <m:t>W</m:t>
            </m:r>
            <m:r>
              <m:rPr>
                <m:sty m:val="p"/>
              </m:rPr>
              <m:t>o</m:t>
            </m:r>
            <m:r>
              <m:rPr>
                <m:sty m:val="p"/>
              </m:rPr>
              <m:t>E</m:t>
            </m:r>
          </m:e>
          <m:sub>
            <m:r>
              <m:t>i</m:t>
            </m:r>
            <m:r>
              <m:t>j</m:t>
            </m:r>
          </m:sub>
        </m:sSub>
      </m:oMath>
      <w:r>
        <w:t xml:space="preserve"> </w:t>
      </w:r>
      <w:r>
        <w:t xml:space="preserve">for loan</w:t>
      </w:r>
      <w:r>
        <w:t xml:space="preserve"> </w:t>
      </w:r>
      <m:oMath>
        <m:r>
          <m:t>i</m:t>
        </m:r>
      </m:oMath>
      <w:r>
        <w:t xml:space="preserve">, with</w:t>
      </w:r>
      <w:r>
        <w:t xml:space="preserve"> </w:t>
      </w:r>
      <m:oMath>
        <m:r>
          <m:t>α</m:t>
        </m:r>
      </m:oMath>
      <w:r>
        <w:t xml:space="preserve"> </w:t>
      </w:r>
      <w:r>
        <w:t xml:space="preserve">the intercept and</w:t>
      </w:r>
      <w:r>
        <w:t xml:space="preserve"> </w:t>
      </w:r>
      <m:oMath>
        <m:r>
          <m:t>k</m:t>
        </m:r>
      </m:oMath>
      <w:r>
        <w:t xml:space="preserve"> </w:t>
      </w:r>
      <w:r>
        <w:t xml:space="preserve">the number of variables, the score is a sum of one term per variable, each of which is a points value for the bin the loan falls in:</w:t>
      </w:r>
    </w:p>
    <w:p>
      <w:pPr>
        <w:pStyle w:val="BodyText"/>
      </w:pPr>
      <m:oMathPara>
        <m:oMathParaPr>
          <m:jc m:val="center"/>
        </m:oMathParaPr>
        <m:oMath>
          <m:sSub>
            <m:e>
              <m:r>
                <m:rPr>
                  <m:nor/>
                  <m:sty m:val="p"/>
                </m:rPr>
                <m:t>Points</m:t>
              </m:r>
            </m:e>
            <m:sub>
              <m:r>
                <m:t>i</m:t>
              </m:r>
              <m:r>
                <m:t>j</m:t>
              </m:r>
            </m:sub>
          </m:sSub>
          <m:r>
            <m:rPr>
              <m:sty m:val="p"/>
            </m:rPr>
            <m:t>=</m:t>
          </m:r>
          <m:r>
            <m:rPr>
              <m:sty m:val="p"/>
            </m:rPr>
            <m:t>−</m:t>
          </m:r>
          <m:d>
            <m:dPr>
              <m:begChr m:val="("/>
              <m:sepChr m:val=""/>
              <m:endChr m:val=")"/>
              <m:grow/>
            </m:dPr>
            <m:e>
              <m:sSub>
                <m:e>
                  <m:r>
                    <m:t>β</m:t>
                  </m:r>
                </m:e>
                <m:sub>
                  <m:r>
                    <m:t>j</m:t>
                  </m:r>
                </m:sub>
              </m:sSub>
              <m:r>
                <m:t> </m:t>
              </m:r>
              <m:sSub>
                <m:e>
                  <m:r>
                    <m:rPr>
                      <m:sty m:val="p"/>
                    </m:rPr>
                    <m:t>W</m:t>
                  </m:r>
                  <m:r>
                    <m:rPr>
                      <m:sty m:val="p"/>
                    </m:rPr>
                    <m:t>o</m:t>
                  </m:r>
                  <m:r>
                    <m:rPr>
                      <m:sty m:val="p"/>
                    </m:rPr>
                    <m:t>E</m:t>
                  </m:r>
                </m:e>
                <m:sub>
                  <m:r>
                    <m:t>i</m:t>
                  </m:r>
                  <m:r>
                    <m:t>j</m:t>
                  </m:r>
                </m:sub>
              </m:sSub>
              <m:r>
                <m:rPr>
                  <m:sty m:val="p"/>
                </m:rPr>
                <m:t>+</m:t>
              </m:r>
              <m:f>
                <m:fPr>
                  <m:type m:val="bar"/>
                </m:fPr>
                <m:num>
                  <m:r>
                    <m:t>α</m:t>
                  </m:r>
                </m:num>
                <m:den>
                  <m:r>
                    <m:t>k</m:t>
                  </m:r>
                </m:den>
              </m:f>
            </m:e>
          </m:d>
          <m:r>
            <m:rPr>
              <m:nor/>
              <m:sty m:val="p"/>
            </m:rPr>
            <m:t>Factor</m:t>
          </m:r>
          <m:r>
            <m:rPr>
              <m:sty m:val="p"/>
            </m:rPr>
            <m:t>+</m:t>
          </m:r>
          <m:f>
            <m:fPr>
              <m:type m:val="bar"/>
            </m:fPr>
            <m:num>
              <m:r>
                <m:rPr>
                  <m:nor/>
                  <m:sty m:val="p"/>
                </m:rPr>
                <m:t>Offset</m:t>
              </m:r>
            </m:num>
            <m:den>
              <m:r>
                <m:t>k</m:t>
              </m:r>
            </m:den>
          </m:f>
          <m:r>
            <m:rPr>
              <m:sty m:val="p"/>
            </m:rPr>
            <m:t>.</m:t>
          </m:r>
        </m:oMath>
      </m:oMathPara>
    </w:p>
    <w:p>
      <w:pPr>
        <w:pStyle w:val="FirstParagraph"/>
      </w:pPr>
      <w:r>
        <w:t xml:space="preserve">The intercept and the offset are spread equally over the</w:t>
      </w:r>
      <w:r>
        <w:t xml:space="preserve"> </w:t>
      </w:r>
      <m:oMath>
        <m:r>
          <m:t>k</m:t>
        </m:r>
      </m:oMath>
      <w:r>
        <w:t xml:space="preserve"> </w:t>
      </w:r>
      <w:r>
        <w:t xml:space="preserve">variables so that every bin has a self-contained points value (</w:t>
      </w:r>
      <w:r>
        <w:rPr>
          <w:rStyle w:val="VerbatimChar"/>
        </w:rPr>
        <w:t xml:space="preserve">Scorecard.export_points_table</w:t>
      </w:r>
      <w:r>
        <w:t xml:space="preserve">,</w:t>
      </w:r>
      <w:r>
        <w:t xml:space="preserve"> </w:t>
      </w:r>
      <w:r>
        <w:rPr>
          <w:rStyle w:val="VerbatimChar"/>
        </w:rPr>
        <w:t xml:space="preserve">points_by_variable</w:t>
      </w:r>
      <w:r>
        <w:t xml:space="preserve">). The probability of bad is recovered from the score by inverting the formula.</w:t>
      </w:r>
    </w:p>
    <w:p>
      <w:pPr>
        <w:pStyle w:val="TableCaption"/>
      </w:pPr>
      <w:r>
        <w:t xml:space="preserve">Score to odds to PD map implied by the scaling (before any recalibration). A score of 600 corresponds to a PD of 1.96% and the development average PD of about 4.8% corresponds to a score near 573.5.</w:t>
      </w:r>
    </w:p>
    <w:tbl>
      <w:tblPr>
        <w:tblStyle w:val="Table"/>
        <w:tblW w:type="auto" w:w="0"/>
        <w:tblLook w:firstRow="1" w:lastRow="0" w:firstColumn="0" w:lastColumn="0" w:noHBand="0" w:noVBand="0" w:val="0020"/>
        <w:tblCaption w:val="Score to odds to PD map implied by the scaling (before any recalibration). A score of 600 corresponds to a PD of 1.96% and the development average PD of about 4.8% corresponds to a score near 573.5."/>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Score</w:t>
            </w:r>
          </w:p>
        </w:tc>
        <w:tc>
          <w:tcPr/>
          <w:p>
            <w:pPr>
              <w:pStyle w:val="Compact"/>
              <w:jc w:val="right"/>
            </w:pPr>
            <w:r>
              <w:rPr>
                <w:sz w:val="17"/>
              </w:rPr>
              <w:t xml:space="preserve">Good : bad odds</w:t>
            </w:r>
          </w:p>
        </w:tc>
        <w:tc>
          <w:tcPr/>
          <w:p>
            <w:pPr>
              <w:pStyle w:val="Compact"/>
              <w:jc w:val="right"/>
            </w:pPr>
            <w:r>
              <w:rPr>
                <w:sz w:val="17"/>
              </w:rPr>
              <w:t xml:space="preserve">Implied PD</w:t>
            </w:r>
          </w:p>
        </w:tc>
      </w:tr>
      <w:tr>
        <w:tc>
          <w:tcPr/>
          <w:p>
            <w:pPr>
              <w:pStyle w:val="Compact"/>
              <w:jc w:val="left"/>
            </w:pPr>
            <w:r>
              <w:rPr>
                <w:sz w:val="17"/>
              </w:rPr>
              <w:t xml:space="preserve">500.0</w:t>
            </w:r>
          </w:p>
        </w:tc>
        <w:tc>
          <w:tcPr/>
          <w:p>
            <w:pPr>
              <w:pStyle w:val="Compact"/>
              <w:jc w:val="right"/>
            </w:pPr>
            <w:r>
              <w:rPr>
                <w:sz w:val="17"/>
              </w:rPr>
              <w:t xml:space="preserve">1.6 : 1</w:t>
            </w:r>
          </w:p>
        </w:tc>
        <w:tc>
          <w:tcPr/>
          <w:p>
            <w:pPr>
              <w:pStyle w:val="Compact"/>
              <w:jc w:val="right"/>
            </w:pPr>
            <w:r>
              <w:rPr>
                <w:sz w:val="17"/>
              </w:rPr>
              <w:t xml:space="preserve">39.024%</w:t>
            </w:r>
          </w:p>
        </w:tc>
      </w:tr>
      <w:tr>
        <w:tc>
          <w:tcPr/>
          <w:p>
            <w:pPr>
              <w:pStyle w:val="Compact"/>
              <w:jc w:val="left"/>
            </w:pPr>
            <w:r>
              <w:rPr>
                <w:sz w:val="17"/>
              </w:rPr>
              <w:t xml:space="preserve">550.0</w:t>
            </w:r>
          </w:p>
        </w:tc>
        <w:tc>
          <w:tcPr/>
          <w:p>
            <w:pPr>
              <w:pStyle w:val="Compact"/>
              <w:jc w:val="right"/>
            </w:pPr>
            <w:r>
              <w:rPr>
                <w:sz w:val="17"/>
              </w:rPr>
              <w:t xml:space="preserve">8.8 : 1</w:t>
            </w:r>
          </w:p>
        </w:tc>
        <w:tc>
          <w:tcPr/>
          <w:p>
            <w:pPr>
              <w:pStyle w:val="Compact"/>
              <w:jc w:val="right"/>
            </w:pPr>
            <w:r>
              <w:rPr>
                <w:sz w:val="17"/>
              </w:rPr>
              <w:t xml:space="preserve">10.164%</w:t>
            </w:r>
          </w:p>
        </w:tc>
      </w:tr>
      <w:tr>
        <w:tc>
          <w:tcPr/>
          <w:p>
            <w:pPr>
              <w:pStyle w:val="Compact"/>
              <w:jc w:val="left"/>
            </w:pPr>
            <w:r>
              <w:rPr>
                <w:sz w:val="17"/>
              </w:rPr>
              <w:t xml:space="preserve">573.6</w:t>
            </w:r>
          </w:p>
        </w:tc>
        <w:tc>
          <w:tcPr/>
          <w:p>
            <w:pPr>
              <w:pStyle w:val="Compact"/>
              <w:jc w:val="right"/>
            </w:pPr>
            <w:r>
              <w:rPr>
                <w:sz w:val="17"/>
              </w:rPr>
              <w:t xml:space="preserve">20.0 : 1</w:t>
            </w:r>
          </w:p>
        </w:tc>
        <w:tc>
          <w:tcPr/>
          <w:p>
            <w:pPr>
              <w:pStyle w:val="Compact"/>
              <w:jc w:val="right"/>
            </w:pPr>
            <w:r>
              <w:rPr>
                <w:sz w:val="17"/>
              </w:rPr>
              <w:t xml:space="preserve">4.756%</w:t>
            </w:r>
          </w:p>
        </w:tc>
      </w:tr>
      <w:tr>
        <w:tc>
          <w:tcPr/>
          <w:p>
            <w:pPr>
              <w:pStyle w:val="Compact"/>
              <w:jc w:val="left"/>
            </w:pPr>
            <w:r>
              <w:rPr>
                <w:sz w:val="17"/>
              </w:rPr>
              <w:t xml:space="preserve">600.0</w:t>
            </w:r>
          </w:p>
        </w:tc>
        <w:tc>
          <w:tcPr/>
          <w:p>
            <w:pPr>
              <w:pStyle w:val="Compact"/>
              <w:jc w:val="right"/>
            </w:pPr>
            <w:r>
              <w:rPr>
                <w:sz w:val="17"/>
              </w:rPr>
              <w:t xml:space="preserve">50.0 : 1</w:t>
            </w:r>
          </w:p>
        </w:tc>
        <w:tc>
          <w:tcPr/>
          <w:p>
            <w:pPr>
              <w:pStyle w:val="Compact"/>
              <w:jc w:val="right"/>
            </w:pPr>
            <w:r>
              <w:rPr>
                <w:sz w:val="17"/>
              </w:rPr>
              <w:t xml:space="preserve">1.961%</w:t>
            </w:r>
          </w:p>
        </w:tc>
      </w:tr>
      <w:tr>
        <w:tc>
          <w:tcPr/>
          <w:p>
            <w:pPr>
              <w:pStyle w:val="Compact"/>
              <w:jc w:val="left"/>
            </w:pPr>
            <w:r>
              <w:rPr>
                <w:sz w:val="17"/>
              </w:rPr>
              <w:t xml:space="preserve">650.0</w:t>
            </w:r>
          </w:p>
        </w:tc>
        <w:tc>
          <w:tcPr/>
          <w:p>
            <w:pPr>
              <w:pStyle w:val="Compact"/>
              <w:jc w:val="right"/>
            </w:pPr>
            <w:r>
              <w:rPr>
                <w:sz w:val="17"/>
              </w:rPr>
              <w:t xml:space="preserve">282.8 : 1</w:t>
            </w:r>
          </w:p>
        </w:tc>
        <w:tc>
          <w:tcPr/>
          <w:p>
            <w:pPr>
              <w:pStyle w:val="Compact"/>
              <w:jc w:val="right"/>
            </w:pPr>
            <w:r>
              <w:rPr>
                <w:sz w:val="17"/>
              </w:rPr>
              <w:t xml:space="preserve">0.352%</w:t>
            </w:r>
          </w:p>
        </w:tc>
      </w:tr>
      <w:tr>
        <w:tc>
          <w:tcPr/>
          <w:p>
            <w:pPr>
              <w:pStyle w:val="Compact"/>
              <w:jc w:val="left"/>
            </w:pPr>
            <w:r>
              <w:rPr>
                <w:sz w:val="17"/>
              </w:rPr>
              <w:t xml:space="preserve">700.0</w:t>
            </w:r>
          </w:p>
        </w:tc>
        <w:tc>
          <w:tcPr/>
          <w:p>
            <w:pPr>
              <w:pStyle w:val="Compact"/>
              <w:jc w:val="right"/>
            </w:pPr>
            <w:r>
              <w:rPr>
                <w:sz w:val="17"/>
              </w:rPr>
              <w:t xml:space="preserve">1,600.0 : 1</w:t>
            </w:r>
          </w:p>
        </w:tc>
        <w:tc>
          <w:tcPr/>
          <w:p>
            <w:pPr>
              <w:pStyle w:val="Compact"/>
              <w:jc w:val="right"/>
            </w:pPr>
            <w:r>
              <w:rPr>
                <w:sz w:val="17"/>
              </w:rPr>
              <w:t xml:space="preserve">0.062%</w:t>
            </w:r>
          </w:p>
        </w:tc>
      </w:tr>
    </w:tbl>
    <w:bookmarkEnd w:id="42"/>
    <w:bookmarkStart w:id="49" w:name="the-champion-scorecard"/>
    <w:p>
      <w:pPr>
        <w:pStyle w:val="Heading2"/>
      </w:pPr>
      <w:r>
        <w:rPr>
          <w:rStyle w:val="SectionNumber"/>
        </w:rPr>
        <w:t xml:space="preserve">7.2</w:t>
      </w:r>
      <w:r>
        <w:tab/>
      </w:r>
      <w:r>
        <w:t xml:space="preserve">The champion scorecard</w:t>
      </w:r>
    </w:p>
    <w:p>
      <w:pPr>
        <w:pStyle w:val="FirstParagraph"/>
      </w:pPr>
      <w:r>
        <w:t xml:space="preserve">SC_FULL retains 9 variables:</w:t>
      </w:r>
      <w:r>
        <w:t xml:space="preserve"> </w:t>
      </w:r>
      <w:r>
        <w:rPr>
          <w:rStyle w:val="VerbatimChar"/>
        </w:rPr>
        <w:t xml:space="preserve">sub_grade</w:t>
      </w:r>
      <w:r>
        <w:t xml:space="preserve">,</w:t>
      </w:r>
      <w:r>
        <w:t xml:space="preserve"> </w:t>
      </w:r>
      <w:r>
        <w:rPr>
          <w:rStyle w:val="VerbatimChar"/>
        </w:rPr>
        <w:t xml:space="preserve">home_ownership</w:t>
      </w:r>
      <w:r>
        <w:t xml:space="preserve">,</w:t>
      </w:r>
      <w:r>
        <w:t xml:space="preserve"> </w:t>
      </w:r>
      <w:r>
        <w:rPr>
          <w:rStyle w:val="VerbatimChar"/>
        </w:rPr>
        <w:t xml:space="preserve">annual_inc</w:t>
      </w:r>
      <w:r>
        <w:t xml:space="preserve">,</w:t>
      </w:r>
      <w:r>
        <w:t xml:space="preserve"> </w:t>
      </w:r>
      <w:r>
        <w:rPr>
          <w:rStyle w:val="VerbatimChar"/>
        </w:rPr>
        <w:t xml:space="preserve">purpose</w:t>
      </w:r>
      <w:r>
        <w:t xml:space="preserve">,</w:t>
      </w:r>
      <w:r>
        <w:t xml:space="preserve"> </w:t>
      </w:r>
      <w:r>
        <w:rPr>
          <w:rStyle w:val="VerbatimChar"/>
        </w:rPr>
        <w:t xml:space="preserve">addr_state</w:t>
      </w:r>
      <w:r>
        <w:t xml:space="preserve">,</w:t>
      </w:r>
      <w:r>
        <w:t xml:space="preserve"> </w:t>
      </w:r>
      <w:r>
        <w:rPr>
          <w:rStyle w:val="VerbatimChar"/>
        </w:rPr>
        <w:t xml:space="preserve">dti</w:t>
      </w:r>
      <w:r>
        <w:t xml:space="preserve">,</w:t>
      </w:r>
      <w:r>
        <w:t xml:space="preserve"> </w:t>
      </w:r>
      <w:r>
        <w:rPr>
          <w:rStyle w:val="VerbatimChar"/>
        </w:rPr>
        <w:t xml:space="preserve">inq_last_6mths</w:t>
      </w:r>
      <w:r>
        <w:t xml:space="preserve">,</w:t>
      </w:r>
      <w:r>
        <w:t xml:space="preserve"> </w:t>
      </w:r>
      <w:r>
        <w:rPr>
          <w:rStyle w:val="VerbatimChar"/>
        </w:rPr>
        <w:t xml:space="preserve">revol_util</w:t>
      </w:r>
      <w:r>
        <w:t xml:space="preserve">,</w:t>
      </w:r>
      <w:r>
        <w:t xml:space="preserve"> </w:t>
      </w:r>
      <w:r>
        <w:rPr>
          <w:rStyle w:val="VerbatimChar"/>
        </w:rPr>
        <w:t xml:space="preserve">loan_to_inc</w:t>
      </w:r>
      <w:r>
        <w:t xml:space="preserve">. Elimination (</w:t>
      </w:r>
      <w:r>
        <w:rPr>
          <w:rStyle w:val="VerbatimChar"/>
        </w:rPr>
        <w:t xml:space="preserve">scorecard.fit_scorecard</w:t>
      </w:r>
      <w:r>
        <w:t xml:space="preserve">) removed 13 variables with IV below 0.02, 3 for WoE correlation above 0.7 with a stronger variable (grade and int_rate lose to sub_grade, pti to loan_to_inc) and 1 for a Wald p-value above 0.05 (term). It also removes any variable with a wrong-signed coefficient and any with a variance inflation factor above 5, though none was removed for those reasons. SC_INDEP retains:</w:t>
      </w:r>
      <w:r>
        <w:t xml:space="preserve"> </w:t>
      </w:r>
      <w:r>
        <w:rPr>
          <w:rStyle w:val="VerbatimChar"/>
        </w:rPr>
        <w:t xml:space="preserve">term_m</w:t>
      </w:r>
      <w:r>
        <w:t xml:space="preserve">,</w:t>
      </w:r>
      <w:r>
        <w:t xml:space="preserve"> </w:t>
      </w:r>
      <w:r>
        <w:rPr>
          <w:rStyle w:val="VerbatimChar"/>
        </w:rPr>
        <w:t xml:space="preserve">home_ownership</w:t>
      </w:r>
      <w:r>
        <w:t xml:space="preserve">,</w:t>
      </w:r>
      <w:r>
        <w:t xml:space="preserve"> </w:t>
      </w:r>
      <w:r>
        <w:rPr>
          <w:rStyle w:val="VerbatimChar"/>
        </w:rPr>
        <w:t xml:space="preserve">annual_inc</w:t>
      </w:r>
      <w:r>
        <w:t xml:space="preserve">,</w:t>
      </w:r>
      <w:r>
        <w:t xml:space="preserve"> </w:t>
      </w:r>
      <w:r>
        <w:rPr>
          <w:rStyle w:val="VerbatimChar"/>
        </w:rPr>
        <w:t xml:space="preserve">purpose</w:t>
      </w:r>
      <w:r>
        <w:t xml:space="preserve">,</w:t>
      </w:r>
      <w:r>
        <w:t xml:space="preserve"> </w:t>
      </w:r>
      <w:r>
        <w:rPr>
          <w:rStyle w:val="VerbatimChar"/>
        </w:rPr>
        <w:t xml:space="preserve">addr_state</w:t>
      </w:r>
      <w:r>
        <w:t xml:space="preserve">,</w:t>
      </w:r>
      <w:r>
        <w:t xml:space="preserve"> </w:t>
      </w:r>
      <w:r>
        <w:rPr>
          <w:rStyle w:val="VerbatimChar"/>
        </w:rPr>
        <w:t xml:space="preserve">dti</w:t>
      </w:r>
      <w:r>
        <w:t xml:space="preserve">,</w:t>
      </w:r>
      <w:r>
        <w:t xml:space="preserve"> </w:t>
      </w:r>
      <w:r>
        <w:rPr>
          <w:rStyle w:val="VerbatimChar"/>
        </w:rPr>
        <w:t xml:space="preserve">inq_last_6mths</w:t>
      </w:r>
      <w:r>
        <w:t xml:space="preserve">,</w:t>
      </w:r>
      <w:r>
        <w:t xml:space="preserve"> </w:t>
      </w:r>
      <w:r>
        <w:rPr>
          <w:rStyle w:val="VerbatimChar"/>
        </w:rPr>
        <w:t xml:space="preserve">revol_util</w:t>
      </w:r>
      <w:r>
        <w:t xml:space="preserve">,</w:t>
      </w:r>
      <w:r>
        <w:t xml:space="preserve"> </w:t>
      </w:r>
      <w:r>
        <w:rPr>
          <w:rStyle w:val="VerbatimChar"/>
        </w:rPr>
        <w:t xml:space="preserve">loan_to_inc</w:t>
      </w:r>
      <w:r>
        <w:t xml:space="preserve">.</w:t>
      </w:r>
    </w:p>
    <w:p>
      <w:pPr>
        <w:pStyle w:val="TableCaption"/>
      </w:pPr>
      <w:r>
        <w:t xml:space="preserve">SC_FULL variables. IV is the variable's information value, coefficient is on WoE (negative as expected), points range is the spread between the best and worst bin.</w:t>
      </w:r>
    </w:p>
    <w:tbl>
      <w:tblPr>
        <w:tblStyle w:val="Table"/>
        <w:tblW w:type="pct" w:w="5000"/>
        <w:tblLayout w:type="fixed"/>
        <w:tblLook w:firstRow="1" w:lastRow="0" w:firstColumn="0" w:lastColumn="0" w:noHBand="0" w:noVBand="0" w:val="0020"/>
        <w:tblCaption w:val="SC_FULL variables. IV is the variable's information value, coefficient is on WoE (negative as expected), points range is the spread between the best and worst bi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1"/>
        <w:gridCol w:w="669"/>
        <w:gridCol w:w="446"/>
        <w:gridCol w:w="1227"/>
        <w:gridCol w:w="780"/>
        <w:gridCol w:w="446"/>
        <w:gridCol w:w="1115"/>
        <w:gridCol w:w="1115"/>
        <w:gridCol w:w="557"/>
      </w:tblGrid>
      <w:tr>
        <w:trPr>
          <w:tblHeader w:val="on"/>
        </w:trPr>
        <w:tc>
          <w:tcPr/>
          <w:p>
            <w:pPr>
              <w:pStyle w:val="Compact"/>
              <w:jc w:val="left"/>
            </w:pPr>
            <w:r>
              <w:rPr>
                <w:sz w:val="17"/>
              </w:rPr>
              <w:t xml:space="preserve">Variable</w:t>
            </w:r>
          </w:p>
        </w:tc>
        <w:tc>
          <w:tcPr/>
          <w:p>
            <w:pPr>
              <w:pStyle w:val="Compact"/>
              <w:jc w:val="right"/>
            </w:pPr>
            <w:r>
              <w:rPr>
                <w:sz w:val="17"/>
              </w:rPr>
              <w:t xml:space="preserve">IV</w:t>
            </w:r>
          </w:p>
        </w:tc>
        <w:tc>
          <w:tcPr/>
          <w:p>
            <w:pPr>
              <w:pStyle w:val="Compact"/>
              <w:jc w:val="right"/>
            </w:pPr>
            <w:r>
              <w:rPr>
                <w:sz w:val="17"/>
              </w:rPr>
              <w:t xml:space="preserve">Bins</w:t>
            </w:r>
          </w:p>
        </w:tc>
        <w:tc>
          <w:tcPr/>
          <w:p>
            <w:pPr>
              <w:pStyle w:val="Compact"/>
              <w:jc w:val="right"/>
            </w:pPr>
            <w:r>
              <w:rPr>
                <w:sz w:val="17"/>
              </w:rPr>
              <w:t xml:space="preserve">Coefficient</w:t>
            </w:r>
          </w:p>
        </w:tc>
        <w:tc>
          <w:tcPr/>
          <w:p>
            <w:pPr>
              <w:pStyle w:val="Compact"/>
              <w:jc w:val="right"/>
            </w:pPr>
            <w:r>
              <w:rPr>
                <w:sz w:val="17"/>
              </w:rPr>
              <w:t xml:space="preserve">Wald p</w:t>
            </w:r>
          </w:p>
        </w:tc>
        <w:tc>
          <w:tcPr/>
          <w:p>
            <w:pPr>
              <w:pStyle w:val="Compact"/>
              <w:jc w:val="right"/>
            </w:pPr>
            <w:r>
              <w:rPr>
                <w:sz w:val="17"/>
              </w:rPr>
              <w:t xml:space="preserve">VIF</w:t>
            </w:r>
          </w:p>
        </w:tc>
        <w:tc>
          <w:tcPr/>
          <w:p>
            <w:pPr>
              <w:pStyle w:val="Compact"/>
              <w:jc w:val="right"/>
            </w:pPr>
            <w:r>
              <w:rPr>
                <w:sz w:val="17"/>
              </w:rPr>
              <w:t xml:space="preserve">Min points</w:t>
            </w:r>
          </w:p>
        </w:tc>
        <w:tc>
          <w:tcPr/>
          <w:p>
            <w:pPr>
              <w:pStyle w:val="Compact"/>
              <w:jc w:val="right"/>
            </w:pPr>
            <w:r>
              <w:rPr>
                <w:sz w:val="17"/>
              </w:rPr>
              <w:t xml:space="preserve">Max points</w:t>
            </w:r>
          </w:p>
        </w:tc>
        <w:tc>
          <w:tcPr/>
          <w:p>
            <w:pPr>
              <w:pStyle w:val="Compact"/>
              <w:jc w:val="right"/>
            </w:pPr>
            <w:r>
              <w:rPr>
                <w:sz w:val="17"/>
              </w:rPr>
              <w:t xml:space="preserve">Range</w:t>
            </w:r>
          </w:p>
        </w:tc>
      </w:tr>
      <w:tr>
        <w:tc>
          <w:tcPr/>
          <w:p>
            <w:pPr>
              <w:pStyle w:val="Compact"/>
              <w:jc w:val="left"/>
            </w:pPr>
            <w:r>
              <w:rPr>
                <w:sz w:val="17"/>
              </w:rPr>
              <w:t xml:space="preserve">sub_grade</w:t>
            </w:r>
          </w:p>
        </w:tc>
        <w:tc>
          <w:tcPr/>
          <w:p>
            <w:pPr>
              <w:pStyle w:val="Compact"/>
              <w:jc w:val="right"/>
            </w:pPr>
            <w:r>
              <w:rPr>
                <w:sz w:val="17"/>
              </w:rPr>
              <w:t xml:space="preserve">0.2440</w:t>
            </w:r>
          </w:p>
        </w:tc>
        <w:tc>
          <w:tcPr/>
          <w:p>
            <w:pPr>
              <w:pStyle w:val="Compact"/>
              <w:jc w:val="right"/>
            </w:pPr>
            <w:r>
              <w:rPr>
                <w:sz w:val="17"/>
              </w:rPr>
              <w:t xml:space="preserve">10</w:t>
            </w:r>
          </w:p>
        </w:tc>
        <w:tc>
          <w:tcPr/>
          <w:p>
            <w:pPr>
              <w:pStyle w:val="Compact"/>
              <w:jc w:val="right"/>
            </w:pPr>
            <w:r>
              <w:rPr>
                <w:sz w:val="17"/>
              </w:rPr>
              <w:t xml:space="preserve">-0.8064</w:t>
            </w:r>
          </w:p>
        </w:tc>
        <w:tc>
          <w:tcPr/>
          <w:p>
            <w:pPr>
              <w:pStyle w:val="Compact"/>
              <w:jc w:val="right"/>
            </w:pPr>
            <w:r>
              <w:rPr>
                <w:sz w:val="17"/>
              </w:rPr>
              <w:t xml:space="preserve">2.4e-75</w:t>
            </w:r>
          </w:p>
        </w:tc>
        <w:tc>
          <w:tcPr/>
          <w:p>
            <w:pPr>
              <w:pStyle w:val="Compact"/>
              <w:jc w:val="right"/>
            </w:pPr>
            <w:r>
              <w:rPr>
                <w:sz w:val="17"/>
              </w:rPr>
              <w:t xml:space="preserve">1.45</w:t>
            </w:r>
          </w:p>
        </w:tc>
        <w:tc>
          <w:tcPr/>
          <w:p>
            <w:pPr>
              <w:pStyle w:val="Compact"/>
              <w:jc w:val="right"/>
            </w:pPr>
            <w:r>
              <w:rPr>
                <w:sz w:val="17"/>
              </w:rPr>
              <w:t xml:space="preserve">44.6</w:t>
            </w:r>
          </w:p>
        </w:tc>
        <w:tc>
          <w:tcPr/>
          <w:p>
            <w:pPr>
              <w:pStyle w:val="Compact"/>
              <w:jc w:val="right"/>
            </w:pPr>
            <w:r>
              <w:rPr>
                <w:sz w:val="17"/>
              </w:rPr>
              <w:t xml:space="preserve">95.1</w:t>
            </w:r>
          </w:p>
        </w:tc>
        <w:tc>
          <w:tcPr/>
          <w:p>
            <w:pPr>
              <w:pStyle w:val="Compact"/>
              <w:jc w:val="right"/>
            </w:pPr>
            <w:r>
              <w:rPr>
                <w:sz w:val="17"/>
              </w:rPr>
              <w:t xml:space="preserve">50.5</w:t>
            </w:r>
          </w:p>
        </w:tc>
      </w:tr>
      <w:tr>
        <w:tc>
          <w:tcPr/>
          <w:p>
            <w:pPr>
              <w:pStyle w:val="Compact"/>
              <w:jc w:val="left"/>
            </w:pPr>
            <w:r>
              <w:rPr>
                <w:sz w:val="17"/>
              </w:rPr>
              <w:t xml:space="preserve">home_ownership</w:t>
            </w:r>
          </w:p>
        </w:tc>
        <w:tc>
          <w:tcPr/>
          <w:p>
            <w:pPr>
              <w:pStyle w:val="Compact"/>
              <w:jc w:val="right"/>
            </w:pPr>
            <w:r>
              <w:rPr>
                <w:sz w:val="17"/>
              </w:rPr>
              <w:t xml:space="preserve">0.0203</w:t>
            </w:r>
          </w:p>
        </w:tc>
        <w:tc>
          <w:tcPr/>
          <w:p>
            <w:pPr>
              <w:pStyle w:val="Compact"/>
              <w:jc w:val="right"/>
            </w:pPr>
            <w:r>
              <w:rPr>
                <w:sz w:val="17"/>
              </w:rPr>
              <w:t xml:space="preserve">3</w:t>
            </w:r>
          </w:p>
        </w:tc>
        <w:tc>
          <w:tcPr/>
          <w:p>
            <w:pPr>
              <w:pStyle w:val="Compact"/>
              <w:jc w:val="right"/>
            </w:pPr>
            <w:r>
              <w:rPr>
                <w:sz w:val="17"/>
              </w:rPr>
              <w:t xml:space="preserve">-0.3847</w:t>
            </w:r>
          </w:p>
        </w:tc>
        <w:tc>
          <w:tcPr/>
          <w:p>
            <w:pPr>
              <w:pStyle w:val="Compact"/>
              <w:jc w:val="right"/>
            </w:pPr>
            <w:r>
              <w:rPr>
                <w:sz w:val="17"/>
              </w:rPr>
              <w:t xml:space="preserve">0.003</w:t>
            </w:r>
          </w:p>
        </w:tc>
        <w:tc>
          <w:tcPr/>
          <w:p>
            <w:pPr>
              <w:pStyle w:val="Compact"/>
              <w:jc w:val="right"/>
            </w:pPr>
            <w:r>
              <w:rPr>
                <w:sz w:val="17"/>
              </w:rPr>
              <w:t xml:space="preserve">1.13</w:t>
            </w:r>
          </w:p>
        </w:tc>
        <w:tc>
          <w:tcPr/>
          <w:p>
            <w:pPr>
              <w:pStyle w:val="Compact"/>
              <w:jc w:val="right"/>
            </w:pPr>
            <w:r>
              <w:rPr>
                <w:sz w:val="17"/>
              </w:rPr>
              <w:t xml:space="preserve">62.1</w:t>
            </w:r>
          </w:p>
        </w:tc>
        <w:tc>
          <w:tcPr/>
          <w:p>
            <w:pPr>
              <w:pStyle w:val="Compact"/>
              <w:jc w:val="right"/>
            </w:pPr>
            <w:r>
              <w:rPr>
                <w:sz w:val="17"/>
              </w:rPr>
              <w:t xml:space="preserve">65.6</w:t>
            </w:r>
          </w:p>
        </w:tc>
        <w:tc>
          <w:tcPr/>
          <w:p>
            <w:pPr>
              <w:pStyle w:val="Compact"/>
              <w:jc w:val="right"/>
            </w:pPr>
            <w:r>
              <w:rPr>
                <w:sz w:val="17"/>
              </w:rPr>
              <w:t xml:space="preserve">3.4</w:t>
            </w:r>
          </w:p>
        </w:tc>
      </w:tr>
      <w:tr>
        <w:tc>
          <w:tcPr/>
          <w:p>
            <w:pPr>
              <w:pStyle w:val="Compact"/>
              <w:jc w:val="left"/>
            </w:pPr>
            <w:r>
              <w:rPr>
                <w:sz w:val="17"/>
              </w:rPr>
              <w:t xml:space="preserve">annual_inc</w:t>
            </w:r>
          </w:p>
        </w:tc>
        <w:tc>
          <w:tcPr/>
          <w:p>
            <w:pPr>
              <w:pStyle w:val="Compact"/>
              <w:jc w:val="right"/>
            </w:pPr>
            <w:r>
              <w:rPr>
                <w:sz w:val="17"/>
              </w:rPr>
              <w:t xml:space="preserve">0.0553</w:t>
            </w:r>
          </w:p>
        </w:tc>
        <w:tc>
          <w:tcPr/>
          <w:p>
            <w:pPr>
              <w:pStyle w:val="Compact"/>
              <w:jc w:val="right"/>
            </w:pPr>
            <w:r>
              <w:rPr>
                <w:sz w:val="17"/>
              </w:rPr>
              <w:t xml:space="preserve">8</w:t>
            </w:r>
          </w:p>
        </w:tc>
        <w:tc>
          <w:tcPr/>
          <w:p>
            <w:pPr>
              <w:pStyle w:val="Compact"/>
              <w:jc w:val="right"/>
            </w:pPr>
            <w:r>
              <w:rPr>
                <w:sz w:val="17"/>
              </w:rPr>
              <w:t xml:space="preserve">-1.0090</w:t>
            </w:r>
          </w:p>
        </w:tc>
        <w:tc>
          <w:tcPr/>
          <w:p>
            <w:pPr>
              <w:pStyle w:val="Compact"/>
              <w:jc w:val="right"/>
            </w:pPr>
            <w:r>
              <w:rPr>
                <w:sz w:val="17"/>
              </w:rPr>
              <w:t xml:space="preserve">8.2e-33</w:t>
            </w:r>
          </w:p>
        </w:tc>
        <w:tc>
          <w:tcPr/>
          <w:p>
            <w:pPr>
              <w:pStyle w:val="Compact"/>
              <w:jc w:val="right"/>
            </w:pPr>
            <w:r>
              <w:rPr>
                <w:sz w:val="17"/>
              </w:rPr>
              <w:t xml:space="preserve">1.26</w:t>
            </w:r>
          </w:p>
        </w:tc>
        <w:tc>
          <w:tcPr/>
          <w:p>
            <w:pPr>
              <w:pStyle w:val="Compact"/>
              <w:jc w:val="right"/>
            </w:pPr>
            <w:r>
              <w:rPr>
                <w:sz w:val="17"/>
              </w:rPr>
              <w:t xml:space="preserve">53.8</w:t>
            </w:r>
          </w:p>
        </w:tc>
        <w:tc>
          <w:tcPr/>
          <w:p>
            <w:pPr>
              <w:pStyle w:val="Compact"/>
              <w:jc w:val="right"/>
            </w:pPr>
            <w:r>
              <w:rPr>
                <w:sz w:val="17"/>
              </w:rPr>
              <w:t xml:space="preserve">76.4</w:t>
            </w:r>
          </w:p>
        </w:tc>
        <w:tc>
          <w:tcPr/>
          <w:p>
            <w:pPr>
              <w:pStyle w:val="Compact"/>
              <w:jc w:val="right"/>
            </w:pPr>
            <w:r>
              <w:rPr>
                <w:sz w:val="17"/>
              </w:rPr>
              <w:t xml:space="preserve">22.6</w:t>
            </w:r>
          </w:p>
        </w:tc>
      </w:tr>
      <w:tr>
        <w:tc>
          <w:tcPr/>
          <w:p>
            <w:pPr>
              <w:pStyle w:val="Compact"/>
              <w:jc w:val="left"/>
            </w:pPr>
            <w:r>
              <w:rPr>
                <w:sz w:val="17"/>
              </w:rPr>
              <w:t xml:space="preserve">purpose</w:t>
            </w:r>
          </w:p>
        </w:tc>
        <w:tc>
          <w:tcPr/>
          <w:p>
            <w:pPr>
              <w:pStyle w:val="Compact"/>
              <w:jc w:val="right"/>
            </w:pPr>
            <w:r>
              <w:rPr>
                <w:sz w:val="17"/>
              </w:rPr>
              <w:t xml:space="preserve">0.0909</w:t>
            </w:r>
          </w:p>
        </w:tc>
        <w:tc>
          <w:tcPr/>
          <w:p>
            <w:pPr>
              <w:pStyle w:val="Compact"/>
              <w:jc w:val="right"/>
            </w:pPr>
            <w:r>
              <w:rPr>
                <w:sz w:val="17"/>
              </w:rPr>
              <w:t xml:space="preserve">8</w:t>
            </w:r>
          </w:p>
        </w:tc>
        <w:tc>
          <w:tcPr/>
          <w:p>
            <w:pPr>
              <w:pStyle w:val="Compact"/>
              <w:jc w:val="right"/>
            </w:pPr>
            <w:r>
              <w:rPr>
                <w:sz w:val="17"/>
              </w:rPr>
              <w:t xml:space="preserve">-0.9392</w:t>
            </w:r>
          </w:p>
        </w:tc>
        <w:tc>
          <w:tcPr/>
          <w:p>
            <w:pPr>
              <w:pStyle w:val="Compact"/>
              <w:jc w:val="right"/>
            </w:pPr>
            <w:r>
              <w:rPr>
                <w:sz w:val="17"/>
              </w:rPr>
              <w:t xml:space="preserve">6.7e-60</w:t>
            </w:r>
          </w:p>
        </w:tc>
        <w:tc>
          <w:tcPr/>
          <w:p>
            <w:pPr>
              <w:pStyle w:val="Compact"/>
              <w:jc w:val="right"/>
            </w:pPr>
            <w:r>
              <w:rPr>
                <w:sz w:val="17"/>
              </w:rPr>
              <w:t xml:space="preserve">1.01</w:t>
            </w:r>
          </w:p>
        </w:tc>
        <w:tc>
          <w:tcPr/>
          <w:p>
            <w:pPr>
              <w:pStyle w:val="Compact"/>
              <w:jc w:val="right"/>
            </w:pPr>
            <w:r>
              <w:rPr>
                <w:sz w:val="17"/>
              </w:rPr>
              <w:t xml:space="preserve">40.9</w:t>
            </w:r>
          </w:p>
        </w:tc>
        <w:tc>
          <w:tcPr/>
          <w:p>
            <w:pPr>
              <w:pStyle w:val="Compact"/>
              <w:jc w:val="right"/>
            </w:pPr>
            <w:r>
              <w:rPr>
                <w:sz w:val="17"/>
              </w:rPr>
              <w:t xml:space="preserve">78.0</w:t>
            </w:r>
          </w:p>
        </w:tc>
        <w:tc>
          <w:tcPr/>
          <w:p>
            <w:pPr>
              <w:pStyle w:val="Compact"/>
              <w:jc w:val="right"/>
            </w:pPr>
            <w:r>
              <w:rPr>
                <w:sz w:val="17"/>
              </w:rPr>
              <w:t xml:space="preserve">37.1</w:t>
            </w:r>
          </w:p>
        </w:tc>
      </w:tr>
      <w:tr>
        <w:tc>
          <w:tcPr/>
          <w:p>
            <w:pPr>
              <w:pStyle w:val="Compact"/>
              <w:jc w:val="left"/>
            </w:pPr>
            <w:r>
              <w:rPr>
                <w:sz w:val="17"/>
              </w:rPr>
              <w:t xml:space="preserve">addr_state</w:t>
            </w:r>
          </w:p>
        </w:tc>
        <w:tc>
          <w:tcPr/>
          <w:p>
            <w:pPr>
              <w:pStyle w:val="Compact"/>
              <w:jc w:val="right"/>
            </w:pPr>
            <w:r>
              <w:rPr>
                <w:sz w:val="17"/>
              </w:rPr>
              <w:t xml:space="preserve">0.0297</w:t>
            </w:r>
          </w:p>
        </w:tc>
        <w:tc>
          <w:tcPr/>
          <w:p>
            <w:pPr>
              <w:pStyle w:val="Compact"/>
              <w:jc w:val="right"/>
            </w:pPr>
            <w:r>
              <w:rPr>
                <w:sz w:val="17"/>
              </w:rPr>
              <w:t xml:space="preserve">10</w:t>
            </w:r>
          </w:p>
        </w:tc>
        <w:tc>
          <w:tcPr/>
          <w:p>
            <w:pPr>
              <w:pStyle w:val="Compact"/>
              <w:jc w:val="right"/>
            </w:pPr>
            <w:r>
              <w:rPr>
                <w:sz w:val="17"/>
              </w:rPr>
              <w:t xml:space="preserve">-0.9916</w:t>
            </w:r>
          </w:p>
        </w:tc>
        <w:tc>
          <w:tcPr/>
          <w:p>
            <w:pPr>
              <w:pStyle w:val="Compact"/>
              <w:jc w:val="right"/>
            </w:pPr>
            <w:r>
              <w:rPr>
                <w:sz w:val="17"/>
              </w:rPr>
              <w:t xml:space="preserve">2.7e-21</w:t>
            </w:r>
          </w:p>
        </w:tc>
        <w:tc>
          <w:tcPr/>
          <w:p>
            <w:pPr>
              <w:pStyle w:val="Compact"/>
              <w:jc w:val="right"/>
            </w:pPr>
            <w:r>
              <w:rPr>
                <w:sz w:val="17"/>
              </w:rPr>
              <w:t xml:space="preserve">1.00</w:t>
            </w:r>
          </w:p>
        </w:tc>
        <w:tc>
          <w:tcPr/>
          <w:p>
            <w:pPr>
              <w:pStyle w:val="Compact"/>
              <w:jc w:val="right"/>
            </w:pPr>
            <w:r>
              <w:rPr>
                <w:sz w:val="17"/>
              </w:rPr>
              <w:t xml:space="preserve">56.3</w:t>
            </w:r>
          </w:p>
        </w:tc>
        <w:tc>
          <w:tcPr/>
          <w:p>
            <w:pPr>
              <w:pStyle w:val="Compact"/>
              <w:jc w:val="right"/>
            </w:pPr>
            <w:r>
              <w:rPr>
                <w:sz w:val="17"/>
              </w:rPr>
              <w:t xml:space="preserve">76.5</w:t>
            </w:r>
          </w:p>
        </w:tc>
        <w:tc>
          <w:tcPr/>
          <w:p>
            <w:pPr>
              <w:pStyle w:val="Compact"/>
              <w:jc w:val="right"/>
            </w:pPr>
            <w:r>
              <w:rPr>
                <w:sz w:val="17"/>
              </w:rPr>
              <w:t xml:space="preserve">20.2</w:t>
            </w:r>
          </w:p>
        </w:tc>
      </w:tr>
      <w:tr>
        <w:tc>
          <w:tcPr/>
          <w:p>
            <w:pPr>
              <w:pStyle w:val="Compact"/>
              <w:jc w:val="left"/>
            </w:pPr>
            <w:r>
              <w:rPr>
                <w:sz w:val="17"/>
              </w:rPr>
              <w:t xml:space="preserve">dti</w:t>
            </w:r>
          </w:p>
        </w:tc>
        <w:tc>
          <w:tcPr/>
          <w:p>
            <w:pPr>
              <w:pStyle w:val="Compact"/>
              <w:jc w:val="right"/>
            </w:pPr>
            <w:r>
              <w:rPr>
                <w:sz w:val="17"/>
              </w:rPr>
              <w:t xml:space="preserve">0.0239</w:t>
            </w:r>
          </w:p>
        </w:tc>
        <w:tc>
          <w:tcPr/>
          <w:p>
            <w:pPr>
              <w:pStyle w:val="Compact"/>
              <w:jc w:val="right"/>
            </w:pPr>
            <w:r>
              <w:rPr>
                <w:sz w:val="17"/>
              </w:rPr>
              <w:t xml:space="preserve">6</w:t>
            </w:r>
          </w:p>
        </w:tc>
        <w:tc>
          <w:tcPr/>
          <w:p>
            <w:pPr>
              <w:pStyle w:val="Compact"/>
              <w:jc w:val="right"/>
            </w:pPr>
            <w:r>
              <w:rPr>
                <w:sz w:val="17"/>
              </w:rPr>
              <w:t xml:space="preserve">-0.4986</w:t>
            </w:r>
          </w:p>
        </w:tc>
        <w:tc>
          <w:tcPr/>
          <w:p>
            <w:pPr>
              <w:pStyle w:val="Compact"/>
              <w:jc w:val="right"/>
            </w:pPr>
            <w:r>
              <w:rPr>
                <w:sz w:val="17"/>
              </w:rPr>
              <w:t xml:space="preserve">1.7e-05</w:t>
            </w:r>
          </w:p>
        </w:tc>
        <w:tc>
          <w:tcPr/>
          <w:p>
            <w:pPr>
              <w:pStyle w:val="Compact"/>
              <w:jc w:val="right"/>
            </w:pPr>
            <w:r>
              <w:rPr>
                <w:sz w:val="17"/>
              </w:rPr>
              <w:t xml:space="preserve">1.09</w:t>
            </w:r>
          </w:p>
        </w:tc>
        <w:tc>
          <w:tcPr/>
          <w:p>
            <w:pPr>
              <w:pStyle w:val="Compact"/>
              <w:jc w:val="right"/>
            </w:pPr>
            <w:r>
              <w:rPr>
                <w:sz w:val="17"/>
              </w:rPr>
              <w:t xml:space="preserve">59.7</w:t>
            </w:r>
          </w:p>
        </w:tc>
        <w:tc>
          <w:tcPr/>
          <w:p>
            <w:pPr>
              <w:pStyle w:val="Compact"/>
              <w:jc w:val="right"/>
            </w:pPr>
            <w:r>
              <w:rPr>
                <w:sz w:val="17"/>
              </w:rPr>
              <w:t xml:space="preserve">66.3</w:t>
            </w:r>
          </w:p>
        </w:tc>
        <w:tc>
          <w:tcPr/>
          <w:p>
            <w:pPr>
              <w:pStyle w:val="Compact"/>
              <w:jc w:val="right"/>
            </w:pPr>
            <w:r>
              <w:rPr>
                <w:sz w:val="17"/>
              </w:rPr>
              <w:t xml:space="preserve">6.5</w:t>
            </w:r>
          </w:p>
        </w:tc>
      </w:tr>
      <w:tr>
        <w:tc>
          <w:tcPr/>
          <w:p>
            <w:pPr>
              <w:pStyle w:val="Compact"/>
              <w:jc w:val="left"/>
            </w:pPr>
            <w:r>
              <w:rPr>
                <w:sz w:val="17"/>
              </w:rPr>
              <w:t xml:space="preserve">inq_last_6mths</w:t>
            </w:r>
          </w:p>
        </w:tc>
        <w:tc>
          <w:tcPr/>
          <w:p>
            <w:pPr>
              <w:pStyle w:val="Compact"/>
              <w:jc w:val="right"/>
            </w:pPr>
            <w:r>
              <w:rPr>
                <w:sz w:val="17"/>
              </w:rPr>
              <w:t xml:space="preserve">0.0880</w:t>
            </w:r>
          </w:p>
        </w:tc>
        <w:tc>
          <w:tcPr/>
          <w:p>
            <w:pPr>
              <w:pStyle w:val="Compact"/>
              <w:jc w:val="right"/>
            </w:pPr>
            <w:r>
              <w:rPr>
                <w:sz w:val="17"/>
              </w:rPr>
              <w:t xml:space="preserve">4</w:t>
            </w:r>
          </w:p>
        </w:tc>
        <w:tc>
          <w:tcPr/>
          <w:p>
            <w:pPr>
              <w:pStyle w:val="Compact"/>
              <w:jc w:val="right"/>
            </w:pPr>
            <w:r>
              <w:rPr>
                <w:sz w:val="17"/>
              </w:rPr>
              <w:t xml:space="preserve">-0.8226</w:t>
            </w:r>
          </w:p>
        </w:tc>
        <w:tc>
          <w:tcPr/>
          <w:p>
            <w:pPr>
              <w:pStyle w:val="Compact"/>
              <w:jc w:val="right"/>
            </w:pPr>
            <w:r>
              <w:rPr>
                <w:sz w:val="17"/>
              </w:rPr>
              <w:t xml:space="preserve">5.6e-41</w:t>
            </w:r>
          </w:p>
        </w:tc>
        <w:tc>
          <w:tcPr/>
          <w:p>
            <w:pPr>
              <w:pStyle w:val="Compact"/>
              <w:jc w:val="right"/>
            </w:pPr>
            <w:r>
              <w:rPr>
                <w:sz w:val="17"/>
              </w:rPr>
              <w:t xml:space="preserve">1.10</w:t>
            </w:r>
          </w:p>
        </w:tc>
        <w:tc>
          <w:tcPr/>
          <w:p>
            <w:pPr>
              <w:pStyle w:val="Compact"/>
              <w:jc w:val="right"/>
            </w:pPr>
            <w:r>
              <w:rPr>
                <w:sz w:val="17"/>
              </w:rPr>
              <w:t xml:space="preserve">51.2</w:t>
            </w:r>
          </w:p>
        </w:tc>
        <w:tc>
          <w:tcPr/>
          <w:p>
            <w:pPr>
              <w:pStyle w:val="Compact"/>
              <w:jc w:val="right"/>
            </w:pPr>
            <w:r>
              <w:rPr>
                <w:sz w:val="17"/>
              </w:rPr>
              <w:t xml:space="preserve">71.2</w:t>
            </w:r>
          </w:p>
        </w:tc>
        <w:tc>
          <w:tcPr/>
          <w:p>
            <w:pPr>
              <w:pStyle w:val="Compact"/>
              <w:jc w:val="right"/>
            </w:pPr>
            <w:r>
              <w:rPr>
                <w:sz w:val="17"/>
              </w:rPr>
              <w:t xml:space="preserve">20.0</w:t>
            </w:r>
          </w:p>
        </w:tc>
      </w:tr>
      <w:tr>
        <w:tc>
          <w:tcPr/>
          <w:p>
            <w:pPr>
              <w:pStyle w:val="Compact"/>
              <w:jc w:val="left"/>
            </w:pPr>
            <w:r>
              <w:rPr>
                <w:sz w:val="17"/>
              </w:rPr>
              <w:t xml:space="preserve">revol_util</w:t>
            </w:r>
          </w:p>
        </w:tc>
        <w:tc>
          <w:tcPr/>
          <w:p>
            <w:pPr>
              <w:pStyle w:val="Compact"/>
              <w:jc w:val="right"/>
            </w:pPr>
            <w:r>
              <w:rPr>
                <w:sz w:val="17"/>
              </w:rPr>
              <w:t xml:space="preserve">0.0451</w:t>
            </w:r>
          </w:p>
        </w:tc>
        <w:tc>
          <w:tcPr/>
          <w:p>
            <w:pPr>
              <w:pStyle w:val="Compact"/>
              <w:jc w:val="right"/>
            </w:pPr>
            <w:r>
              <w:rPr>
                <w:sz w:val="17"/>
              </w:rPr>
              <w:t xml:space="preserve">7</w:t>
            </w:r>
          </w:p>
        </w:tc>
        <w:tc>
          <w:tcPr/>
          <w:p>
            <w:pPr>
              <w:pStyle w:val="Compact"/>
              <w:jc w:val="right"/>
            </w:pPr>
            <w:r>
              <w:rPr>
                <w:sz w:val="17"/>
              </w:rPr>
              <w:t xml:space="preserve">-0.4023</w:t>
            </w:r>
          </w:p>
        </w:tc>
        <w:tc>
          <w:tcPr/>
          <w:p>
            <w:pPr>
              <w:pStyle w:val="Compact"/>
              <w:jc w:val="right"/>
            </w:pPr>
            <w:r>
              <w:rPr>
                <w:sz w:val="17"/>
              </w:rPr>
              <w:t xml:space="preserve">6.1e-06</w:t>
            </w:r>
          </w:p>
        </w:tc>
        <w:tc>
          <w:tcPr/>
          <w:p>
            <w:pPr>
              <w:pStyle w:val="Compact"/>
              <w:jc w:val="right"/>
            </w:pPr>
            <w:r>
              <w:rPr>
                <w:sz w:val="17"/>
              </w:rPr>
              <w:t xml:space="preserve">1.32</w:t>
            </w:r>
          </w:p>
        </w:tc>
        <w:tc>
          <w:tcPr/>
          <w:p>
            <w:pPr>
              <w:pStyle w:val="Compact"/>
              <w:jc w:val="right"/>
            </w:pPr>
            <w:r>
              <w:rPr>
                <w:sz w:val="17"/>
              </w:rPr>
              <w:t xml:space="preserve">47.0</w:t>
            </w:r>
          </w:p>
        </w:tc>
        <w:tc>
          <w:tcPr/>
          <w:p>
            <w:pPr>
              <w:pStyle w:val="Compact"/>
              <w:jc w:val="right"/>
            </w:pPr>
            <w:r>
              <w:rPr>
                <w:sz w:val="17"/>
              </w:rPr>
              <w:t xml:space="preserve">66.9</w:t>
            </w:r>
          </w:p>
        </w:tc>
        <w:tc>
          <w:tcPr/>
          <w:p>
            <w:pPr>
              <w:pStyle w:val="Compact"/>
              <w:jc w:val="right"/>
            </w:pPr>
            <w:r>
              <w:rPr>
                <w:sz w:val="17"/>
              </w:rPr>
              <w:t xml:space="preserve">19.9</w:t>
            </w:r>
          </w:p>
        </w:tc>
      </w:tr>
      <w:tr>
        <w:tc>
          <w:tcPr/>
          <w:p>
            <w:pPr>
              <w:pStyle w:val="Compact"/>
              <w:jc w:val="left"/>
            </w:pPr>
            <w:r>
              <w:rPr>
                <w:sz w:val="17"/>
              </w:rPr>
              <w:t xml:space="preserve">loan_to_inc</w:t>
            </w:r>
          </w:p>
        </w:tc>
        <w:tc>
          <w:tcPr/>
          <w:p>
            <w:pPr>
              <w:pStyle w:val="Compact"/>
              <w:jc w:val="right"/>
            </w:pPr>
            <w:r>
              <w:rPr>
                <w:sz w:val="17"/>
              </w:rPr>
              <w:t xml:space="preserve">0.0528</w:t>
            </w:r>
          </w:p>
        </w:tc>
        <w:tc>
          <w:tcPr/>
          <w:p>
            <w:pPr>
              <w:pStyle w:val="Compact"/>
              <w:jc w:val="right"/>
            </w:pPr>
            <w:r>
              <w:rPr>
                <w:sz w:val="17"/>
              </w:rPr>
              <w:t xml:space="preserve">8</w:t>
            </w:r>
          </w:p>
        </w:tc>
        <w:tc>
          <w:tcPr/>
          <w:p>
            <w:pPr>
              <w:pStyle w:val="Compact"/>
              <w:jc w:val="right"/>
            </w:pPr>
            <w:r>
              <w:rPr>
                <w:sz w:val="17"/>
              </w:rPr>
              <w:t xml:space="preserve">-0.3667</w:t>
            </w:r>
          </w:p>
        </w:tc>
        <w:tc>
          <w:tcPr/>
          <w:p>
            <w:pPr>
              <w:pStyle w:val="Compact"/>
              <w:jc w:val="right"/>
            </w:pPr>
            <w:r>
              <w:rPr>
                <w:sz w:val="17"/>
              </w:rPr>
              <w:t xml:space="preserve">3.4e-06</w:t>
            </w:r>
          </w:p>
        </w:tc>
        <w:tc>
          <w:tcPr/>
          <w:p>
            <w:pPr>
              <w:pStyle w:val="Compact"/>
              <w:jc w:val="right"/>
            </w:pPr>
            <w:r>
              <w:rPr>
                <w:sz w:val="17"/>
              </w:rPr>
              <w:t xml:space="preserve">1.21</w:t>
            </w:r>
          </w:p>
        </w:tc>
        <w:tc>
          <w:tcPr/>
          <w:p>
            <w:pPr>
              <w:pStyle w:val="Compact"/>
              <w:jc w:val="right"/>
            </w:pPr>
            <w:r>
              <w:rPr>
                <w:sz w:val="17"/>
              </w:rPr>
              <w:t xml:space="preserve">58.8</w:t>
            </w:r>
          </w:p>
        </w:tc>
        <w:tc>
          <w:tcPr/>
          <w:p>
            <w:pPr>
              <w:pStyle w:val="Compact"/>
              <w:jc w:val="right"/>
            </w:pPr>
            <w:r>
              <w:rPr>
                <w:sz w:val="17"/>
              </w:rPr>
              <w:t xml:space="preserve">66.4</w:t>
            </w:r>
          </w:p>
        </w:tc>
        <w:tc>
          <w:tcPr/>
          <w:p>
            <w:pPr>
              <w:pStyle w:val="Compact"/>
              <w:jc w:val="right"/>
            </w:pPr>
            <w:r>
              <w:rPr>
                <w:sz w:val="17"/>
              </w:rPr>
              <w:t xml:space="preserve">7.6</w:t>
            </w:r>
          </w:p>
        </w:tc>
      </w:tr>
    </w:tbl>
    <w:p>
      <w:pPr>
        <w:pStyle w:val="BodyText"/>
      </w:pPr>
      <w:r>
        <w:t xml:space="preserve">The widest points range belongs to sub_grade (50.5 points) and the narrowest to home_ownership (3.4 points). Sub-grade and purpose carry most of the score, consistent with their information values.</w:t>
      </w:r>
    </w:p>
    <w:p>
      <w:pPr>
        <w:pStyle w:val="CaptionedFigure"/>
      </w:pPr>
      <w:r>
        <w:drawing>
          <wp:inline>
            <wp:extent cx="4800600" cy="4200525"/>
            <wp:effectExtent b="0" l="0" r="0" t="0"/>
            <wp:docPr descr="Points per bin for each SC_FULL variable." title="" id="44" name="Picture"/>
            <a:graphic>
              <a:graphicData uri="http://schemas.openxmlformats.org/drawingml/2006/picture">
                <pic:pic>
                  <pic:nvPicPr>
                    <pic:cNvPr descr="../python/outputs/charts/scorecard_points_by_variable.png" id="45" name="Picture"/>
                    <pic:cNvPicPr>
                      <a:picLocks noChangeArrowheads="1" noChangeAspect="1"/>
                    </pic:cNvPicPr>
                  </pic:nvPicPr>
                  <pic:blipFill>
                    <a:blip r:embed="rId43"/>
                    <a:stretch>
                      <a:fillRect/>
                    </a:stretch>
                  </pic:blipFill>
                  <pic:spPr bwMode="auto">
                    <a:xfrm>
                      <a:off x="0" y="0"/>
                      <a:ext cx="4800600" cy="4200525"/>
                    </a:xfrm>
                    <a:prstGeom prst="rect">
                      <a:avLst/>
                    </a:prstGeom>
                    <a:noFill/>
                    <a:ln w="9525">
                      <a:noFill/>
                      <a:headEnd/>
                      <a:tailEnd/>
                    </a:ln>
                  </pic:spPr>
                </pic:pic>
              </a:graphicData>
            </a:graphic>
          </wp:inline>
        </w:drawing>
      </w:r>
    </w:p>
    <w:p>
      <w:pPr>
        <w:pStyle w:val="ImageCaption"/>
      </w:pPr>
      <w:r>
        <w:t xml:space="preserve">Points per bin for each SC_FULL variable.</w:t>
      </w:r>
    </w:p>
    <w:p>
      <w:pPr>
        <w:pStyle w:val="CaptionedFigure"/>
      </w:pPr>
      <w:r>
        <w:drawing>
          <wp:inline>
            <wp:extent cx="4800600" cy="2793076"/>
            <wp:effectExtent b="0" l="0" r="0" t="0"/>
            <wp:docPr descr="Weight of evidence by bin for the highest-IV variables." title="" id="47" name="Picture"/>
            <a:graphic>
              <a:graphicData uri="http://schemas.openxmlformats.org/drawingml/2006/picture">
                <pic:pic>
                  <pic:nvPicPr>
                    <pic:cNvPr descr="../python/outputs/charts/woe_top_variables.png" id="48" name="Picture"/>
                    <pic:cNvPicPr>
                      <a:picLocks noChangeArrowheads="1" noChangeAspect="1"/>
                    </pic:cNvPicPr>
                  </pic:nvPicPr>
                  <pic:blipFill>
                    <a:blip r:embed="rId46"/>
                    <a:stretch>
                      <a:fillRect/>
                    </a:stretch>
                  </pic:blipFill>
                  <pic:spPr bwMode="auto">
                    <a:xfrm>
                      <a:off x="0" y="0"/>
                      <a:ext cx="4800600" cy="2793076"/>
                    </a:xfrm>
                    <a:prstGeom prst="rect">
                      <a:avLst/>
                    </a:prstGeom>
                    <a:noFill/>
                    <a:ln w="9525">
                      <a:noFill/>
                      <a:headEnd/>
                      <a:tailEnd/>
                    </a:ln>
                  </pic:spPr>
                </pic:pic>
              </a:graphicData>
            </a:graphic>
          </wp:inline>
        </w:drawing>
      </w:r>
    </w:p>
    <w:p>
      <w:pPr>
        <w:pStyle w:val="ImageCaption"/>
      </w:pPr>
      <w:r>
        <w:t xml:space="preserve">Weight of evidence by bin for the highest-IV variables.</w:t>
      </w:r>
    </w:p>
    <w:bookmarkEnd w:id="49"/>
    <w:bookmarkStart w:id="50" w:name="a-worked-loan"/>
    <w:p>
      <w:pPr>
        <w:pStyle w:val="Heading2"/>
      </w:pPr>
      <w:r>
        <w:rPr>
          <w:rStyle w:val="SectionNumber"/>
        </w:rPr>
        <w:t xml:space="preserve">7.3</w:t>
      </w:r>
      <w:r>
        <w:tab/>
      </w:r>
      <w:r>
        <w:t xml:space="preserve">A worked loan</w:t>
      </w:r>
    </w:p>
    <w:p>
      <w:pPr>
        <w:pStyle w:val="FirstParagraph"/>
      </w:pPr>
      <w:r>
        <w:t xml:space="preserve">The first loan of the 2013 Excel sample (id 10169301, sub-grade B2) is scored below. For each variable the loan's value is located in a bin, the bin's WoE is read from the points table, and the points follow from the formula.</w:t>
      </w:r>
    </w:p>
    <w:p>
      <w:pPr>
        <w:pStyle w:val="TableCaption"/>
      </w:pPr>
      <w:r>
        <w:t xml:space="preserve">Score walk-through for loan 10169301. Points are rounded to two decimals in the table.</w:t>
      </w:r>
    </w:p>
    <w:tbl>
      <w:tblPr>
        <w:tblStyle w:val="Table"/>
        <w:tblW w:type="pct" w:w="5000"/>
        <w:tblLayout w:type="fixed"/>
        <w:tblLook w:firstRow="1" w:lastRow="0" w:firstColumn="0" w:lastColumn="0" w:noHBand="0" w:noVBand="0" w:val="0020"/>
        <w:tblCaption w:val="Score walk-through for loan 10169301. Points are rounded to two decimals in the tabl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86"/>
        <w:gridCol w:w="1089"/>
        <w:gridCol w:w="2079"/>
        <w:gridCol w:w="693"/>
        <w:gridCol w:w="1089"/>
        <w:gridCol w:w="990"/>
        <w:gridCol w:w="594"/>
      </w:tblGrid>
      <w:tr>
        <w:trPr>
          <w:tblHeader w:val="on"/>
        </w:trPr>
        <w:tc>
          <w:tcPr/>
          <w:p>
            <w:pPr>
              <w:pStyle w:val="Compact"/>
              <w:jc w:val="left"/>
            </w:pPr>
            <w:r>
              <w:rPr>
                <w:sz w:val="17"/>
              </w:rPr>
              <w:t xml:space="preserve">Variable</w:t>
            </w:r>
          </w:p>
        </w:tc>
        <w:tc>
          <w:tcPr/>
          <w:p>
            <w:pPr>
              <w:pStyle w:val="Compact"/>
              <w:jc w:val="right"/>
            </w:pPr>
            <w:r>
              <w:rPr>
                <w:sz w:val="17"/>
              </w:rPr>
              <w:t xml:space="preserve">Value</w:t>
            </w:r>
          </w:p>
        </w:tc>
        <w:tc>
          <w:tcPr/>
          <w:p>
            <w:pPr>
              <w:pStyle w:val="Compact"/>
              <w:jc w:val="right"/>
            </w:pPr>
            <w:r>
              <w:rPr>
                <w:sz w:val="17"/>
              </w:rPr>
              <w:t xml:space="preserve">Bin</w:t>
            </w:r>
          </w:p>
        </w:tc>
        <w:tc>
          <w:tcPr/>
          <w:p>
            <w:pPr>
              <w:pStyle w:val="Compact"/>
              <w:jc w:val="right"/>
            </w:pPr>
            <w:r>
              <w:rPr>
                <w:sz w:val="17"/>
              </w:rPr>
              <w:t xml:space="preserve">WoE</w:t>
            </w:r>
          </w:p>
        </w:tc>
        <w:tc>
          <w:tcPr/>
          <w:p>
            <w:pPr>
              <w:pStyle w:val="Compact"/>
              <w:jc w:val="right"/>
            </w:pPr>
            <w:r>
              <w:rPr>
                <w:sz w:val="17"/>
              </w:rPr>
              <w:t xml:space="preserve">Coefficient</w:t>
            </w:r>
          </w:p>
        </w:tc>
        <w:tc>
          <w:tcPr/>
          <w:p>
            <w:pPr>
              <w:pStyle w:val="Compact"/>
              <w:jc w:val="right"/>
            </w:pPr>
            <w:r>
              <w:rPr>
                <w:sz w:val="17"/>
              </w:rPr>
              <w:t xml:space="preserve">Coef x WoE</w:t>
            </w:r>
          </w:p>
        </w:tc>
        <w:tc>
          <w:tcPr/>
          <w:p>
            <w:pPr>
              <w:pStyle w:val="Compact"/>
              <w:jc w:val="right"/>
            </w:pPr>
            <w:r>
              <w:rPr>
                <w:sz w:val="17"/>
              </w:rPr>
              <w:t xml:space="preserve">Points</w:t>
            </w:r>
          </w:p>
        </w:tc>
      </w:tr>
      <w:tr>
        <w:tc>
          <w:tcPr/>
          <w:p>
            <w:pPr>
              <w:pStyle w:val="Compact"/>
              <w:jc w:val="left"/>
            </w:pPr>
            <w:r>
              <w:rPr>
                <w:sz w:val="17"/>
              </w:rPr>
              <w:t xml:space="preserve">sub_grade</w:t>
            </w:r>
          </w:p>
        </w:tc>
        <w:tc>
          <w:tcPr/>
          <w:p>
            <w:pPr>
              <w:pStyle w:val="Compact"/>
              <w:jc w:val="right"/>
            </w:pPr>
            <w:r>
              <w:rPr>
                <w:sz w:val="17"/>
              </w:rPr>
              <w:t xml:space="preserve">B2</w:t>
            </w:r>
          </w:p>
        </w:tc>
        <w:tc>
          <w:tcPr/>
          <w:p>
            <w:pPr>
              <w:pStyle w:val="Compact"/>
              <w:jc w:val="right"/>
            </w:pPr>
            <w:r>
              <w:rPr>
                <w:sz w:val="17"/>
              </w:rPr>
              <w:t xml:space="preserve">B1/B2/B3</w:t>
            </w:r>
          </w:p>
        </w:tc>
        <w:tc>
          <w:tcPr/>
          <w:p>
            <w:pPr>
              <w:pStyle w:val="Compact"/>
              <w:jc w:val="right"/>
            </w:pPr>
            <w:r>
              <w:rPr>
                <w:sz w:val="17"/>
              </w:rPr>
              <w:t xml:space="preserve">0.3384</w:t>
            </w:r>
          </w:p>
        </w:tc>
        <w:tc>
          <w:tcPr/>
          <w:p>
            <w:pPr>
              <w:pStyle w:val="Compact"/>
              <w:jc w:val="right"/>
            </w:pPr>
            <w:r>
              <w:rPr>
                <w:sz w:val="17"/>
              </w:rPr>
              <w:t xml:space="preserve">-0.8064</w:t>
            </w:r>
          </w:p>
        </w:tc>
        <w:tc>
          <w:tcPr/>
          <w:p>
            <w:pPr>
              <w:pStyle w:val="Compact"/>
              <w:jc w:val="right"/>
            </w:pPr>
            <w:r>
              <w:rPr>
                <w:sz w:val="17"/>
              </w:rPr>
              <w:t xml:space="preserve">-0.2728</w:t>
            </w:r>
          </w:p>
        </w:tc>
        <w:tc>
          <w:tcPr/>
          <w:p>
            <w:pPr>
              <w:pStyle w:val="Compact"/>
              <w:jc w:val="right"/>
            </w:pPr>
            <w:r>
              <w:rPr>
                <w:sz w:val="17"/>
              </w:rPr>
              <w:t xml:space="preserve">71.61</w:t>
            </w:r>
          </w:p>
        </w:tc>
      </w:tr>
      <w:tr>
        <w:tc>
          <w:tcPr/>
          <w:p>
            <w:pPr>
              <w:pStyle w:val="Compact"/>
              <w:jc w:val="left"/>
            </w:pPr>
            <w:r>
              <w:rPr>
                <w:sz w:val="17"/>
              </w:rPr>
              <w:t xml:space="preserve">home_ownership</w:t>
            </w:r>
          </w:p>
        </w:tc>
        <w:tc>
          <w:tcPr/>
          <w:p>
            <w:pPr>
              <w:pStyle w:val="Compact"/>
              <w:jc w:val="right"/>
            </w:pPr>
            <w:r>
              <w:rPr>
                <w:sz w:val="17"/>
              </w:rPr>
              <w:t xml:space="preserve">RENT</w:t>
            </w:r>
          </w:p>
        </w:tc>
        <w:tc>
          <w:tcPr/>
          <w:p>
            <w:pPr>
              <w:pStyle w:val="Compact"/>
              <w:jc w:val="right"/>
            </w:pPr>
            <w:r>
              <w:rPr>
                <w:sz w:val="17"/>
              </w:rPr>
              <w:t xml:space="preserve">OTHER/RENT</w:t>
            </w:r>
          </w:p>
        </w:tc>
        <w:tc>
          <w:tcPr/>
          <w:p>
            <w:pPr>
              <w:pStyle w:val="Compact"/>
              <w:jc w:val="right"/>
            </w:pPr>
            <w:r>
              <w:rPr>
                <w:sz w:val="17"/>
              </w:rPr>
              <w:t xml:space="preserve">-0.1189</w:t>
            </w:r>
          </w:p>
        </w:tc>
        <w:tc>
          <w:tcPr/>
          <w:p>
            <w:pPr>
              <w:pStyle w:val="Compact"/>
              <w:jc w:val="right"/>
            </w:pPr>
            <w:r>
              <w:rPr>
                <w:sz w:val="17"/>
              </w:rPr>
              <w:t xml:space="preserve">-0.3847</w:t>
            </w:r>
          </w:p>
        </w:tc>
        <w:tc>
          <w:tcPr/>
          <w:p>
            <w:pPr>
              <w:pStyle w:val="Compact"/>
              <w:jc w:val="right"/>
            </w:pPr>
            <w:r>
              <w:rPr>
                <w:sz w:val="17"/>
              </w:rPr>
              <w:t xml:space="preserve">0.0458</w:t>
            </w:r>
          </w:p>
        </w:tc>
        <w:tc>
          <w:tcPr/>
          <w:p>
            <w:pPr>
              <w:pStyle w:val="Compact"/>
              <w:jc w:val="right"/>
            </w:pPr>
            <w:r>
              <w:rPr>
                <w:sz w:val="17"/>
              </w:rPr>
              <w:t xml:space="preserve">62.42</w:t>
            </w:r>
          </w:p>
        </w:tc>
      </w:tr>
      <w:tr>
        <w:tc>
          <w:tcPr/>
          <w:p>
            <w:pPr>
              <w:pStyle w:val="Compact"/>
              <w:jc w:val="left"/>
            </w:pPr>
            <w:r>
              <w:rPr>
                <w:sz w:val="17"/>
              </w:rPr>
              <w:t xml:space="preserve">annual_inc</w:t>
            </w:r>
          </w:p>
        </w:tc>
        <w:tc>
          <w:tcPr/>
          <w:p>
            <w:pPr>
              <w:pStyle w:val="Compact"/>
              <w:jc w:val="right"/>
            </w:pPr>
            <w:r>
              <w:rPr>
                <w:sz w:val="17"/>
              </w:rPr>
              <w:t xml:space="preserve">85000</w:t>
            </w:r>
          </w:p>
        </w:tc>
        <w:tc>
          <w:tcPr/>
          <w:p>
            <w:pPr>
              <w:pStyle w:val="Compact"/>
              <w:jc w:val="right"/>
            </w:pPr>
            <w:r>
              <w:rPr>
                <w:sz w:val="17"/>
              </w:rPr>
              <w:t xml:space="preserve">(77000, 95000]</w:t>
            </w:r>
          </w:p>
        </w:tc>
        <w:tc>
          <w:tcPr/>
          <w:p>
            <w:pPr>
              <w:pStyle w:val="Compact"/>
              <w:jc w:val="right"/>
            </w:pPr>
            <w:r>
              <w:rPr>
                <w:sz w:val="17"/>
              </w:rPr>
              <w:t xml:space="preserve">0.2048</w:t>
            </w:r>
          </w:p>
        </w:tc>
        <w:tc>
          <w:tcPr/>
          <w:p>
            <w:pPr>
              <w:pStyle w:val="Compact"/>
              <w:jc w:val="right"/>
            </w:pPr>
            <w:r>
              <w:rPr>
                <w:sz w:val="17"/>
              </w:rPr>
              <w:t xml:space="preserve">-1.0090</w:t>
            </w:r>
          </w:p>
        </w:tc>
        <w:tc>
          <w:tcPr/>
          <w:p>
            <w:pPr>
              <w:pStyle w:val="Compact"/>
              <w:jc w:val="right"/>
            </w:pPr>
            <w:r>
              <w:rPr>
                <w:sz w:val="17"/>
              </w:rPr>
              <w:t xml:space="preserve">-0.2067</w:t>
            </w:r>
          </w:p>
        </w:tc>
        <w:tc>
          <w:tcPr/>
          <w:p>
            <w:pPr>
              <w:pStyle w:val="Compact"/>
              <w:jc w:val="right"/>
            </w:pPr>
            <w:r>
              <w:rPr>
                <w:sz w:val="17"/>
              </w:rPr>
              <w:t xml:space="preserve">69.70</w:t>
            </w:r>
          </w:p>
        </w:tc>
      </w:tr>
      <w:tr>
        <w:tc>
          <w:tcPr/>
          <w:p>
            <w:pPr>
              <w:pStyle w:val="Compact"/>
              <w:jc w:val="left"/>
            </w:pPr>
            <w:r>
              <w:rPr>
                <w:sz w:val="17"/>
              </w:rPr>
              <w:t xml:space="preserve">purpose</w:t>
            </w:r>
          </w:p>
        </w:tc>
        <w:tc>
          <w:tcPr/>
          <w:p>
            <w:pPr>
              <w:pStyle w:val="Compact"/>
              <w:jc w:val="right"/>
            </w:pPr>
            <w:r>
              <w:rPr>
                <w:sz w:val="17"/>
              </w:rPr>
              <w:t xml:space="preserve">credit_card</w:t>
            </w:r>
          </w:p>
        </w:tc>
        <w:tc>
          <w:tcPr/>
          <w:p>
            <w:pPr>
              <w:pStyle w:val="Compact"/>
              <w:jc w:val="right"/>
            </w:pPr>
            <w:r>
              <w:rPr>
                <w:sz w:val="17"/>
              </w:rPr>
              <w:t xml:space="preserve">credit_card</w:t>
            </w:r>
          </w:p>
        </w:tc>
        <w:tc>
          <w:tcPr/>
          <w:p>
            <w:pPr>
              <w:pStyle w:val="Compact"/>
              <w:jc w:val="right"/>
            </w:pPr>
            <w:r>
              <w:rPr>
                <w:sz w:val="17"/>
              </w:rPr>
              <w:t xml:space="preserve">0.4225</w:t>
            </w:r>
          </w:p>
        </w:tc>
        <w:tc>
          <w:tcPr/>
          <w:p>
            <w:pPr>
              <w:pStyle w:val="Compact"/>
              <w:jc w:val="right"/>
            </w:pPr>
            <w:r>
              <w:rPr>
                <w:sz w:val="17"/>
              </w:rPr>
              <w:t xml:space="preserve">-0.9392</w:t>
            </w:r>
          </w:p>
        </w:tc>
        <w:tc>
          <w:tcPr/>
          <w:p>
            <w:pPr>
              <w:pStyle w:val="Compact"/>
              <w:jc w:val="right"/>
            </w:pPr>
            <w:r>
              <w:rPr>
                <w:sz w:val="17"/>
              </w:rPr>
              <w:t xml:space="preserve">-0.3968</w:t>
            </w:r>
          </w:p>
        </w:tc>
        <w:tc>
          <w:tcPr/>
          <w:p>
            <w:pPr>
              <w:pStyle w:val="Compact"/>
              <w:jc w:val="right"/>
            </w:pPr>
            <w:r>
              <w:rPr>
                <w:sz w:val="17"/>
              </w:rPr>
              <w:t xml:space="preserve">75.19</w:t>
            </w:r>
          </w:p>
        </w:tc>
      </w:tr>
      <w:tr>
        <w:tc>
          <w:tcPr/>
          <w:p>
            <w:pPr>
              <w:pStyle w:val="Compact"/>
              <w:jc w:val="left"/>
            </w:pPr>
            <w:r>
              <w:rPr>
                <w:sz w:val="17"/>
              </w:rPr>
              <w:t xml:space="preserve">addr_state</w:t>
            </w:r>
          </w:p>
        </w:tc>
        <w:tc>
          <w:tcPr/>
          <w:p>
            <w:pPr>
              <w:pStyle w:val="Compact"/>
              <w:jc w:val="right"/>
            </w:pPr>
            <w:r>
              <w:rPr>
                <w:sz w:val="17"/>
              </w:rPr>
              <w:t xml:space="preserve">FL</w:t>
            </w:r>
          </w:p>
        </w:tc>
        <w:tc>
          <w:tcPr/>
          <w:p>
            <w:pPr>
              <w:pStyle w:val="Compact"/>
              <w:jc w:val="right"/>
            </w:pPr>
            <w:r>
              <w:rPr>
                <w:sz w:val="17"/>
              </w:rPr>
              <w:t xml:space="preserve">FL/SC</w:t>
            </w:r>
          </w:p>
        </w:tc>
        <w:tc>
          <w:tcPr/>
          <w:p>
            <w:pPr>
              <w:pStyle w:val="Compact"/>
              <w:jc w:val="right"/>
            </w:pPr>
            <w:r>
              <w:rPr>
                <w:sz w:val="17"/>
              </w:rPr>
              <w:t xml:space="preserve">-0.1678</w:t>
            </w:r>
          </w:p>
        </w:tc>
        <w:tc>
          <w:tcPr/>
          <w:p>
            <w:pPr>
              <w:pStyle w:val="Compact"/>
              <w:jc w:val="right"/>
            </w:pPr>
            <w:r>
              <w:rPr>
                <w:sz w:val="17"/>
              </w:rPr>
              <w:t xml:space="preserve">-0.9916</w:t>
            </w:r>
          </w:p>
        </w:tc>
        <w:tc>
          <w:tcPr/>
          <w:p>
            <w:pPr>
              <w:pStyle w:val="Compact"/>
              <w:jc w:val="right"/>
            </w:pPr>
            <w:r>
              <w:rPr>
                <w:sz w:val="17"/>
              </w:rPr>
              <w:t xml:space="preserve">0.1663</w:t>
            </w:r>
          </w:p>
        </w:tc>
        <w:tc>
          <w:tcPr/>
          <w:p>
            <w:pPr>
              <w:pStyle w:val="Compact"/>
              <w:jc w:val="right"/>
            </w:pPr>
            <w:r>
              <w:rPr>
                <w:sz w:val="17"/>
              </w:rPr>
              <w:t xml:space="preserve">58.94</w:t>
            </w:r>
          </w:p>
        </w:tc>
      </w:tr>
      <w:tr>
        <w:tc>
          <w:tcPr/>
          <w:p>
            <w:pPr>
              <w:pStyle w:val="Compact"/>
              <w:jc w:val="left"/>
            </w:pPr>
            <w:r>
              <w:rPr>
                <w:sz w:val="17"/>
              </w:rPr>
              <w:t xml:space="preserve">dti</w:t>
            </w:r>
          </w:p>
        </w:tc>
        <w:tc>
          <w:tcPr/>
          <w:p>
            <w:pPr>
              <w:pStyle w:val="Compact"/>
              <w:jc w:val="right"/>
            </w:pPr>
            <w:r>
              <w:rPr>
                <w:sz w:val="17"/>
              </w:rPr>
              <w:t xml:space="preserve">19.29</w:t>
            </w:r>
          </w:p>
        </w:tc>
        <w:tc>
          <w:tcPr/>
          <w:p>
            <w:pPr>
              <w:pStyle w:val="Compact"/>
              <w:jc w:val="right"/>
            </w:pPr>
            <w:r>
              <w:rPr>
                <w:sz w:val="17"/>
              </w:rPr>
              <w:t xml:space="preserve">(16.35, 20.29]</w:t>
            </w:r>
          </w:p>
        </w:tc>
        <w:tc>
          <w:tcPr/>
          <w:p>
            <w:pPr>
              <w:pStyle w:val="Compact"/>
              <w:jc w:val="right"/>
            </w:pPr>
            <w:r>
              <w:rPr>
                <w:sz w:val="17"/>
              </w:rPr>
              <w:t xml:space="preserve">-0.0869</w:t>
            </w:r>
          </w:p>
        </w:tc>
        <w:tc>
          <w:tcPr/>
          <w:p>
            <w:pPr>
              <w:pStyle w:val="Compact"/>
              <w:jc w:val="right"/>
            </w:pPr>
            <w:r>
              <w:rPr>
                <w:sz w:val="17"/>
              </w:rPr>
              <w:t xml:space="preserve">-0.4986</w:t>
            </w:r>
          </w:p>
        </w:tc>
        <w:tc>
          <w:tcPr/>
          <w:p>
            <w:pPr>
              <w:pStyle w:val="Compact"/>
              <w:jc w:val="right"/>
            </w:pPr>
            <w:r>
              <w:rPr>
                <w:sz w:val="17"/>
              </w:rPr>
              <w:t xml:space="preserve">0.0433</w:t>
            </w:r>
          </w:p>
        </w:tc>
        <w:tc>
          <w:tcPr/>
          <w:p>
            <w:pPr>
              <w:pStyle w:val="Compact"/>
              <w:jc w:val="right"/>
            </w:pPr>
            <w:r>
              <w:rPr>
                <w:sz w:val="17"/>
              </w:rPr>
              <w:t xml:space="preserve">62.49</w:t>
            </w:r>
          </w:p>
        </w:tc>
      </w:tr>
      <w:tr>
        <w:tc>
          <w:tcPr/>
          <w:p>
            <w:pPr>
              <w:pStyle w:val="Compact"/>
              <w:jc w:val="left"/>
            </w:pPr>
            <w:r>
              <w:rPr>
                <w:sz w:val="17"/>
              </w:rPr>
              <w:t xml:space="preserve">inq_last_6mths</w:t>
            </w:r>
          </w:p>
        </w:tc>
        <w:tc>
          <w:tcPr/>
          <w:p>
            <w:pPr>
              <w:pStyle w:val="Compact"/>
              <w:jc w:val="right"/>
            </w:pPr>
            <w:r>
              <w:rPr>
                <w:sz w:val="17"/>
              </w:rPr>
              <w:t xml:space="preserve">1</w:t>
            </w:r>
          </w:p>
        </w:tc>
        <w:tc>
          <w:tcPr/>
          <w:p>
            <w:pPr>
              <w:pStyle w:val="Compact"/>
              <w:jc w:val="right"/>
            </w:pPr>
            <w:r>
              <w:rPr>
                <w:sz w:val="17"/>
              </w:rPr>
              <w:t xml:space="preserve">(0, 1]</w:t>
            </w:r>
          </w:p>
        </w:tc>
        <w:tc>
          <w:tcPr/>
          <w:p>
            <w:pPr>
              <w:pStyle w:val="Compact"/>
              <w:jc w:val="right"/>
            </w:pPr>
            <w:r>
              <w:rPr>
                <w:sz w:val="17"/>
              </w:rPr>
              <w:t xml:space="preserve">-0.1003</w:t>
            </w:r>
          </w:p>
        </w:tc>
        <w:tc>
          <w:tcPr/>
          <w:p>
            <w:pPr>
              <w:pStyle w:val="Compact"/>
              <w:jc w:val="right"/>
            </w:pPr>
            <w:r>
              <w:rPr>
                <w:sz w:val="17"/>
              </w:rPr>
              <w:t xml:space="preserve">-0.8226</w:t>
            </w:r>
          </w:p>
        </w:tc>
        <w:tc>
          <w:tcPr/>
          <w:p>
            <w:pPr>
              <w:pStyle w:val="Compact"/>
              <w:jc w:val="right"/>
            </w:pPr>
            <w:r>
              <w:rPr>
                <w:sz w:val="17"/>
              </w:rPr>
              <w:t xml:space="preserve">0.0825</w:t>
            </w:r>
          </w:p>
        </w:tc>
        <w:tc>
          <w:tcPr/>
          <w:p>
            <w:pPr>
              <w:pStyle w:val="Compact"/>
              <w:jc w:val="right"/>
            </w:pPr>
            <w:r>
              <w:rPr>
                <w:sz w:val="17"/>
              </w:rPr>
              <w:t xml:space="preserve">61.36</w:t>
            </w:r>
          </w:p>
        </w:tc>
      </w:tr>
      <w:tr>
        <w:tc>
          <w:tcPr/>
          <w:p>
            <w:pPr>
              <w:pStyle w:val="Compact"/>
              <w:jc w:val="left"/>
            </w:pPr>
            <w:r>
              <w:rPr>
                <w:sz w:val="17"/>
              </w:rPr>
              <w:t xml:space="preserve">revol_util</w:t>
            </w:r>
          </w:p>
        </w:tc>
        <w:tc>
          <w:tcPr/>
          <w:p>
            <w:pPr>
              <w:pStyle w:val="Compact"/>
              <w:jc w:val="right"/>
            </w:pPr>
            <w:r>
              <w:rPr>
                <w:sz w:val="17"/>
              </w:rPr>
              <w:t xml:space="preserve">57.4</w:t>
            </w:r>
          </w:p>
        </w:tc>
        <w:tc>
          <w:tcPr/>
          <w:p>
            <w:pPr>
              <w:pStyle w:val="Compact"/>
              <w:jc w:val="right"/>
            </w:pPr>
            <w:r>
              <w:rPr>
                <w:sz w:val="17"/>
              </w:rPr>
              <w:t xml:space="preserve">(31, 65.8]</w:t>
            </w:r>
          </w:p>
        </w:tc>
        <w:tc>
          <w:tcPr/>
          <w:p>
            <w:pPr>
              <w:pStyle w:val="Compact"/>
              <w:jc w:val="right"/>
            </w:pPr>
            <w:r>
              <w:rPr>
                <w:sz w:val="17"/>
              </w:rPr>
              <w:t xml:space="preserve">0.0790</w:t>
            </w:r>
          </w:p>
        </w:tc>
        <w:tc>
          <w:tcPr/>
          <w:p>
            <w:pPr>
              <w:pStyle w:val="Compact"/>
              <w:jc w:val="right"/>
            </w:pPr>
            <w:r>
              <w:rPr>
                <w:sz w:val="17"/>
              </w:rPr>
              <w:t xml:space="preserve">-0.4023</w:t>
            </w:r>
          </w:p>
        </w:tc>
        <w:tc>
          <w:tcPr/>
          <w:p>
            <w:pPr>
              <w:pStyle w:val="Compact"/>
              <w:jc w:val="right"/>
            </w:pPr>
            <w:r>
              <w:rPr>
                <w:sz w:val="17"/>
              </w:rPr>
              <w:t xml:space="preserve">-0.0318</w:t>
            </w:r>
          </w:p>
        </w:tc>
        <w:tc>
          <w:tcPr/>
          <w:p>
            <w:pPr>
              <w:pStyle w:val="Compact"/>
              <w:jc w:val="right"/>
            </w:pPr>
            <w:r>
              <w:rPr>
                <w:sz w:val="17"/>
              </w:rPr>
              <w:t xml:space="preserve">64.65</w:t>
            </w:r>
          </w:p>
        </w:tc>
      </w:tr>
      <w:tr>
        <w:tc>
          <w:tcPr/>
          <w:p>
            <w:pPr>
              <w:pStyle w:val="Compact"/>
              <w:jc w:val="left"/>
            </w:pPr>
            <w:r>
              <w:rPr>
                <w:sz w:val="17"/>
              </w:rPr>
              <w:t xml:space="preserve">loan_to_inc</w:t>
            </w:r>
          </w:p>
        </w:tc>
        <w:tc>
          <w:tcPr/>
          <w:p>
            <w:pPr>
              <w:pStyle w:val="Compact"/>
              <w:jc w:val="right"/>
            </w:pPr>
            <w:r>
              <w:rPr>
                <w:sz w:val="17"/>
              </w:rPr>
              <w:t xml:space="preserve">0.0823529</w:t>
            </w:r>
          </w:p>
        </w:tc>
        <w:tc>
          <w:tcPr/>
          <w:p>
            <w:pPr>
              <w:pStyle w:val="Compact"/>
              <w:jc w:val="right"/>
            </w:pPr>
            <w:r>
              <w:rPr>
                <w:sz w:val="17"/>
              </w:rPr>
              <w:t xml:space="preserve">(0.0666667, 0.120673]</w:t>
            </w:r>
          </w:p>
        </w:tc>
        <w:tc>
          <w:tcPr/>
          <w:p>
            <w:pPr>
              <w:pStyle w:val="Compact"/>
              <w:jc w:val="right"/>
            </w:pPr>
            <w:r>
              <w:rPr>
                <w:sz w:val="17"/>
              </w:rPr>
              <w:t xml:space="preserve">0.1982</w:t>
            </w:r>
          </w:p>
        </w:tc>
        <w:tc>
          <w:tcPr/>
          <w:p>
            <w:pPr>
              <w:pStyle w:val="Compact"/>
              <w:jc w:val="right"/>
            </w:pPr>
            <w:r>
              <w:rPr>
                <w:sz w:val="17"/>
              </w:rPr>
              <w:t xml:space="preserve">-0.3667</w:t>
            </w:r>
          </w:p>
        </w:tc>
        <w:tc>
          <w:tcPr/>
          <w:p>
            <w:pPr>
              <w:pStyle w:val="Compact"/>
              <w:jc w:val="right"/>
            </w:pPr>
            <w:r>
              <w:rPr>
                <w:sz w:val="17"/>
              </w:rPr>
              <w:t xml:space="preserve">-0.0727</w:t>
            </w:r>
          </w:p>
        </w:tc>
        <w:tc>
          <w:tcPr/>
          <w:p>
            <w:pPr>
              <w:pStyle w:val="Compact"/>
              <w:jc w:val="right"/>
            </w:pPr>
            <w:r>
              <w:rPr>
                <w:sz w:val="17"/>
              </w:rPr>
              <w:t xml:space="preserve">65.83</w:t>
            </w:r>
          </w:p>
        </w:tc>
      </w:tr>
    </w:tbl>
    <w:p>
      <w:pPr>
        <w:pStyle w:val="BodyText"/>
      </w:pPr>
      <w:r>
        <w:t xml:space="preserve">The nine points values sum to 592.178, equal to the score recorded in the sample (592.178). Going the other way, the sum of coefficient times WoE is -0.6429; adding the intercept -2.9980 gives a log-odds of bad of -3.6409. The probability is</w:t>
      </w:r>
      <w:r>
        <w:t xml:space="preserve"> </w:t>
      </w:r>
      <m:oMath>
        <m:r>
          <m:t>1</m:t>
        </m:r>
        <m:r>
          <m:rPr>
            <m:sty m:val="p"/>
          </m:rPr>
          <m:t>/</m:t>
        </m:r>
        <m:r>
          <m:rPr>
            <m:sty m:val="p"/>
          </m:rPr>
          <m:t>(</m:t>
        </m:r>
        <m:r>
          <m:t>1</m:t>
        </m:r>
        <m:r>
          <m:rPr>
            <m:sty m:val="p"/>
          </m:rPr>
          <m:t>+</m:t>
        </m:r>
        <m:sSup>
          <m:e>
            <m:r>
              <m:t>e</m:t>
            </m:r>
          </m:e>
          <m:sup>
            <m:r>
              <m:rPr>
                <m:sty m:val="p"/>
              </m:rPr>
              <m:t>−</m:t>
            </m:r>
            <m:r>
              <m:t>z</m:t>
            </m:r>
          </m:sup>
        </m:sSup>
        <m:r>
          <m:rPr>
            <m:sty m:val="p"/>
          </m:rPr>
          <m:t>)</m:t>
        </m:r>
      </m:oMath>
      <w:r>
        <w:t xml:space="preserve"> </w:t>
      </w:r>
      <w:r>
        <w:t xml:space="preserve">= 2.556% (the pipeline stores 2.556%), equivalent to good:bad odds of 38.1 to 1. As a check on the points formula, the offset per variable is</w:t>
      </w:r>
      <w:r>
        <w:t xml:space="preserve"> </w:t>
      </w:r>
      <m:oMath>
        <m:r>
          <m:rPr>
            <m:nor/>
            <m:sty m:val="p"/>
          </m:rPr>
          <m:t>Offset</m:t>
        </m:r>
        <m:r>
          <m:rPr>
            <m:sty m:val="p"/>
          </m:rPr>
          <m:t>/</m:t>
        </m:r>
        <m:r>
          <m:t>k</m:t>
        </m:r>
        <m:r>
          <m:rPr>
            <m:sty m:val="p"/>
          </m:rPr>
          <m:t>=</m:t>
        </m:r>
      </m:oMath>
      <w:r>
        <w:t xml:space="preserve"> </w:t>
      </w:r>
      <w:r>
        <w:t xml:space="preserve">54.125 with</w:t>
      </w:r>
      <w:r>
        <w:t xml:space="preserve"> </w:t>
      </w:r>
      <m:oMath>
        <m:r>
          <m:t>k</m:t>
        </m:r>
        <m:r>
          <m:rPr>
            <m:sty m:val="p"/>
          </m:rPr>
          <m:t>=</m:t>
        </m:r>
      </m:oMath>
      <w:r>
        <w:t xml:space="preserve"> </w:t>
      </w:r>
      <w:r>
        <w:t xml:space="preserve">9 variables. This walk-through is also the first calculator in the Excel workbook (section 20), where a reviewer can change an attribute and watch the points move.</w:t>
      </w:r>
    </w:p>
    <w:bookmarkEnd w:id="50"/>
    <w:bookmarkEnd w:id="51"/>
    <w:bookmarkStart w:id="56" w:name="logistic-regression-and-wald-p-values"/>
    <w:p>
      <w:pPr>
        <w:pStyle w:val="Heading1"/>
      </w:pPr>
      <w:r>
        <w:rPr>
          <w:rStyle w:val="SectionNumber"/>
        </w:rPr>
        <w:t xml:space="preserve">8</w:t>
      </w:r>
      <w:r>
        <w:tab/>
      </w:r>
      <w:r>
        <w:t xml:space="preserve">Logistic regression and Wald p-values</w:t>
      </w:r>
    </w:p>
    <w:bookmarkStart w:id="52" w:name="intuition-and-the-model"/>
    <w:p>
      <w:pPr>
        <w:pStyle w:val="Heading2"/>
      </w:pPr>
      <w:r>
        <w:rPr>
          <w:rStyle w:val="SectionNumber"/>
        </w:rPr>
        <w:t xml:space="preserve">8.1</w:t>
      </w:r>
      <w:r>
        <w:tab/>
      </w:r>
      <w:r>
        <w:t xml:space="preserve">Intuition and the model</w:t>
      </w:r>
    </w:p>
    <w:p>
      <w:pPr>
        <w:pStyle w:val="FirstParagraph"/>
      </w:pPr>
      <w:r>
        <w:t xml:space="preserve">Given WoE-transformed inputs</w:t>
      </w:r>
      <w:r>
        <w:t xml:space="preserve"> </w:t>
      </w:r>
      <m:oMath>
        <m:sSub>
          <m:e>
            <m:r>
              <m:t>x</m:t>
            </m:r>
          </m:e>
          <m:sub>
            <m:r>
              <m:t>i</m:t>
            </m:r>
          </m:sub>
        </m:sSub>
      </m:oMath>
      <w:r>
        <w:t xml:space="preserve">, logistic regression models the probability of bad as</w:t>
      </w:r>
      <w:r>
        <w:t xml:space="preserve"> </w:t>
      </w:r>
      <m:oMath>
        <m:sSub>
          <m:e>
            <m:r>
              <m:t>p</m:t>
            </m:r>
          </m:e>
          <m:sub>
            <m:r>
              <m:t>i</m:t>
            </m:r>
          </m:sub>
        </m:sSub>
        <m:r>
          <m:rPr>
            <m:sty m:val="p"/>
          </m:rPr>
          <m:t>=</m:t>
        </m:r>
        <m:r>
          <m:t>1</m:t>
        </m:r>
        <m:r>
          <m:rPr>
            <m:sty m:val="p"/>
          </m:rPr>
          <m:t>/</m:t>
        </m:r>
        <m:r>
          <m:rPr>
            <m:sty m:val="p"/>
          </m:rPr>
          <m:t>(</m:t>
        </m:r>
        <m:r>
          <m:t>1</m:t>
        </m:r>
        <m:r>
          <m:rPr>
            <m:sty m:val="p"/>
          </m:rPr>
          <m:t>+</m:t>
        </m:r>
        <m:sSup>
          <m:e>
            <m:r>
              <m:t>e</m:t>
            </m:r>
          </m:e>
          <m:sup>
            <m:r>
              <m:rPr>
                <m:sty m:val="p"/>
              </m:rPr>
              <m:t>−</m:t>
            </m:r>
            <m:sSubSup>
              <m:e>
                <m:r>
                  <m:t>x</m:t>
                </m:r>
              </m:e>
              <m:sub>
                <m:r>
                  <m:t>i</m:t>
                </m:r>
              </m:sub>
              <m:sup>
                <m:r>
                  <m:rPr>
                    <m:sty m:val="p"/>
                  </m:rPr>
                  <m:t>⊤</m:t>
                </m:r>
              </m:sup>
            </m:sSubSup>
            <m:r>
              <m:t>β</m:t>
            </m:r>
          </m:sup>
        </m:sSup>
        <m:r>
          <m:rPr>
            <m:sty m:val="p"/>
          </m:rPr>
          <m:t>)</m:t>
        </m:r>
      </m:oMath>
      <w:r>
        <w:t xml:space="preserve"> </w:t>
      </w:r>
      <w:r>
        <w:t xml:space="preserve">and estimates</w:t>
      </w:r>
      <w:r>
        <w:t xml:space="preserve"> </w:t>
      </w:r>
      <m:oMath>
        <m:r>
          <m:t>β</m:t>
        </m:r>
      </m:oMath>
      <w:r>
        <w:t xml:space="preserve"> </w:t>
      </w:r>
      <w:r>
        <w:t xml:space="preserve">by maximum likelihood. Reviewers also ask whether each coefficient is statistically different from zero. The standard answer is the</w:t>
      </w:r>
      <w:r>
        <w:t xml:space="preserve"> </w:t>
      </w:r>
      <w:r>
        <w:rPr>
          <w:b/>
          <w:bCs/>
        </w:rPr>
        <w:t xml:space="preserve">Wald test</w:t>
      </w:r>
      <w:r>
        <w:t xml:space="preserve">: divide the coefficient by its standard error and compare with a normal distribution.</w:t>
      </w:r>
    </w:p>
    <w:bookmarkEnd w:id="52"/>
    <w:bookmarkStart w:id="53" w:name="fisher-information-and-the-wald-p-value"/>
    <w:p>
      <w:pPr>
        <w:pStyle w:val="Heading2"/>
      </w:pPr>
      <w:r>
        <w:rPr>
          <w:rStyle w:val="SectionNumber"/>
        </w:rPr>
        <w:t xml:space="preserve">8.2</w:t>
      </w:r>
      <w:r>
        <w:tab/>
      </w:r>
      <w:r>
        <w:t xml:space="preserve">Fisher information and the Wald p-value</w:t>
      </w:r>
    </w:p>
    <w:p>
      <w:pPr>
        <w:pStyle w:val="FirstParagraph"/>
      </w:pPr>
      <w:r>
        <w:t xml:space="preserve">The log-likelihood is</w:t>
      </w:r>
      <w:r>
        <w:t xml:space="preserve"> </w:t>
      </w:r>
      <m:oMath>
        <m:r>
          <m:t>ℓ</m:t>
        </m:r>
        <m:r>
          <m:rPr>
            <m:sty m:val="p"/>
          </m:rPr>
          <m:t>(</m:t>
        </m:r>
        <m:r>
          <m:t>β</m:t>
        </m:r>
        <m:r>
          <m:rPr>
            <m:sty m:val="p"/>
          </m:rPr>
          <m:t>)</m:t>
        </m:r>
        <m:r>
          <m:rPr>
            <m:sty m:val="p"/>
          </m:rPr>
          <m:t>=</m:t>
        </m:r>
        <m:nary>
          <m:naryPr>
            <m:chr m:val="∑"/>
            <m:limLoc m:val="undOvr"/>
            <m:subHide m:val="off"/>
            <m:supHide m:val="on"/>
          </m:naryPr>
          <m:sub>
            <m:r>
              <m:t>i</m:t>
            </m:r>
          </m:sub>
          <m:sup>
            <m:r>
              <m:t>​</m:t>
            </m:r>
          </m:sup>
          <m:e>
            <m:r>
              <m:rPr>
                <m:sty m:val="p"/>
              </m:rPr>
              <m:t>[</m:t>
            </m:r>
          </m:e>
        </m:nary>
        <m:r>
          <m:t> </m:t>
        </m:r>
        <m:sSub>
          <m:e>
            <m:r>
              <m:t>y</m:t>
            </m:r>
          </m:e>
          <m:sub>
            <m:r>
              <m:t>i</m:t>
            </m:r>
          </m:sub>
        </m:sSub>
        <m:r>
          <m:rPr>
            <m:sty m:val="p"/>
          </m:rPr>
          <m:t>ln</m:t>
        </m:r>
        <m:sSub>
          <m:e>
            <m:r>
              <m:t>p</m:t>
            </m:r>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r>
              <m:t>p</m:t>
            </m:r>
          </m:e>
          <m:sub>
            <m:r>
              <m:t>i</m:t>
            </m:r>
          </m:sub>
        </m:sSub>
        <m:r>
          <m:rPr>
            <m:sty m:val="p"/>
          </m:rPr>
          <m:t>)</m:t>
        </m:r>
        <m:r>
          <m:t> </m:t>
        </m:r>
        <m:r>
          <m:rPr>
            <m:sty m:val="p"/>
          </m:rPr>
          <m:t>]</m:t>
        </m:r>
      </m:oMath>
      <w:r>
        <w:t xml:space="preserve">. Its curvature at the maximum, the</w:t>
      </w:r>
      <w:r>
        <w:t xml:space="preserve"> </w:t>
      </w:r>
      <w:r>
        <w:rPr>
          <w:b/>
          <w:bCs/>
        </w:rPr>
        <w:t xml:space="preserve">Fisher information</w:t>
      </w:r>
      <w:r>
        <w:t xml:space="preserve">, is</w:t>
      </w:r>
    </w:p>
    <w:p>
      <w:pPr>
        <w:pStyle w:val="BodyText"/>
      </w:pPr>
      <m:oMathPara>
        <m:oMathParaPr>
          <m:jc m:val="center"/>
        </m:oMathParaPr>
        <m:oMath>
          <m:r>
            <m:t>I</m:t>
          </m:r>
          <m:r>
            <m:rPr>
              <m:sty m:val="p"/>
            </m:rPr>
            <m:t>(</m:t>
          </m:r>
          <m:acc>
            <m:accPr>
              <m:chr m:val="̂"/>
            </m:accPr>
            <m:e>
              <m:r>
                <m:t>β</m:t>
              </m:r>
            </m:e>
          </m:acc>
          <m:r>
            <m:rPr>
              <m:sty m:val="p"/>
            </m:rPr>
            <m:t>)</m:t>
          </m:r>
          <m:r>
            <m:rPr>
              <m:sty m:val="p"/>
            </m:rPr>
            <m:t>=</m:t>
          </m:r>
          <m:sSup>
            <m:e>
              <m:r>
                <m:t>X</m:t>
              </m:r>
            </m:e>
            <m:sup>
              <m:r>
                <m:rPr>
                  <m:sty m:val="p"/>
                </m:rPr>
                <m:t>⊤</m:t>
              </m:r>
            </m:sup>
          </m:sSup>
          <m:r>
            <m:t>V</m:t>
          </m:r>
          <m:r>
            <m:t>X</m:t>
          </m:r>
          <m:r>
            <m:rPr>
              <m:sty m:val="p"/>
            </m:rPr>
            <m:t>,</m:t>
          </m:r>
          <m:r>
            <m:t>  </m:t>
          </m:r>
          <m:r>
            <m:t>V</m:t>
          </m:r>
          <m:r>
            <m:rPr>
              <m:sty m:val="p"/>
            </m:rPr>
            <m:t>=</m:t>
          </m:r>
          <m:r>
            <m:rPr>
              <m:sty m:val="p"/>
            </m:rPr>
            <m:t>d</m:t>
          </m:r>
          <m:r>
            <m:rPr>
              <m:sty m:val="p"/>
            </m:rPr>
            <m:t>i</m:t>
          </m:r>
          <m:r>
            <m:rPr>
              <m:sty m:val="p"/>
            </m:rPr>
            <m:t>a</m:t>
          </m:r>
          <m:r>
            <m:rPr>
              <m:sty m:val="p"/>
            </m:rPr>
            <m:t>g</m:t>
          </m:r>
          <m:d>
            <m:dPr>
              <m:begChr m:val="("/>
              <m:sepChr m:val=""/>
              <m:endChr m:val=")"/>
              <m:grow/>
            </m:dPr>
            <m:e>
              <m:sSub>
                <m:e>
                  <m:acc>
                    <m:accPr>
                      <m:chr m:val="̂"/>
                    </m:accPr>
                    <m:e>
                      <m:r>
                        <m:t>p</m:t>
                      </m:r>
                    </m:e>
                  </m:acc>
                </m:e>
                <m:sub>
                  <m:r>
                    <m:t>i</m:t>
                  </m:r>
                </m:sub>
              </m:sSub>
              <m:r>
                <m:rPr>
                  <m:sty m:val="p"/>
                </m:rPr>
                <m:t>(</m:t>
              </m:r>
              <m:r>
                <m:t>1</m:t>
              </m:r>
              <m:r>
                <m:rPr>
                  <m:sty m:val="p"/>
                </m:rPr>
                <m:t>−</m:t>
              </m:r>
              <m:sSub>
                <m:e>
                  <m:acc>
                    <m:accPr>
                      <m:chr m:val="̂"/>
                    </m:accPr>
                    <m:e>
                      <m:r>
                        <m:t>p</m:t>
                      </m:r>
                    </m:e>
                  </m:acc>
                </m:e>
                <m:sub>
                  <m:r>
                    <m:t>i</m:t>
                  </m:r>
                </m:sub>
              </m:sSub>
              <m:r>
                <m:rPr>
                  <m:sty m:val="p"/>
                </m:rPr>
                <m:t>)</m:t>
              </m:r>
            </m:e>
          </m:d>
          <m:r>
            <m:rPr>
              <m:sty m:val="p"/>
            </m:rPr>
            <m:t>,</m:t>
          </m:r>
        </m:oMath>
      </m:oMathPara>
    </w:p>
    <w:p>
      <w:pPr>
        <w:pStyle w:val="FirstParagraph"/>
      </w:pPr>
      <w:r>
        <w:t xml:space="preserve">where</w:t>
      </w:r>
      <w:r>
        <w:t xml:space="preserve"> </w:t>
      </w:r>
      <m:oMath>
        <m:r>
          <m:t>X</m:t>
        </m:r>
      </m:oMath>
      <w:r>
        <w:t xml:space="preserve"> </w:t>
      </w:r>
      <w:r>
        <w:t xml:space="preserve">has a leading column of ones for the intercept. The large-sample covariance of the estimator is</w:t>
      </w:r>
      <w:r>
        <w:t xml:space="preserve"> </w:t>
      </w:r>
      <m:oMath>
        <m:r>
          <m:t>I</m:t>
        </m:r>
        <m:r>
          <m:rPr>
            <m:sty m:val="p"/>
          </m:rPr>
          <m:t>(</m:t>
        </m:r>
        <m:acc>
          <m:accPr>
            <m:chr m:val="̂"/>
          </m:accPr>
          <m:e>
            <m:r>
              <m:t>β</m:t>
            </m:r>
          </m:e>
        </m:acc>
        <m:sSup>
          <m:e>
            <m:r>
              <m:rPr>
                <m:sty m:val="p"/>
              </m:rPr>
              <m:t>)</m:t>
            </m:r>
          </m:e>
          <m:sup>
            <m:r>
              <m:rPr>
                <m:sty m:val="p"/>
              </m:rPr>
              <m:t>−</m:t>
            </m:r>
            <m:r>
              <m:t>1</m:t>
            </m:r>
          </m:sup>
        </m:sSup>
      </m:oMath>
      <w:r>
        <w:t xml:space="preserve">, so</w:t>
      </w:r>
    </w:p>
    <w:p>
      <w:pPr>
        <w:pStyle w:val="BodyText"/>
      </w:pPr>
      <m:oMathPara>
        <m:oMathParaPr>
          <m:jc m:val="center"/>
        </m:oMathParaPr>
        <m:oMath>
          <m:r>
            <m:rPr>
              <m:sty m:val="p"/>
            </m:rPr>
            <m:t>S</m:t>
          </m:r>
          <m:r>
            <m:rPr>
              <m:sty m:val="p"/>
            </m:rPr>
            <m:t>E</m:t>
          </m:r>
          <m:r>
            <m:rPr>
              <m:sty m:val="p"/>
            </m:rPr>
            <m:t>(</m:t>
          </m:r>
          <m:sSub>
            <m:e>
              <m:acc>
                <m:accPr>
                  <m:chr m:val="̂"/>
                </m:accPr>
                <m:e>
                  <m:r>
                    <m:t>β</m:t>
                  </m:r>
                </m:e>
              </m:acc>
            </m:e>
            <m:sub>
              <m:r>
                <m:t>j</m:t>
              </m:r>
            </m:sub>
          </m:sSub>
          <m:r>
            <m:rPr>
              <m:sty m:val="p"/>
            </m:rPr>
            <m:t>)</m:t>
          </m:r>
          <m:r>
            <m:rPr>
              <m:sty m:val="p"/>
            </m:rPr>
            <m:t>=</m:t>
          </m:r>
          <m:rad>
            <m:radPr>
              <m:degHide m:val="on"/>
            </m:radPr>
            <m:deg/>
            <m:e>
              <m:r>
                <m:rPr>
                  <m:sty m:val="p"/>
                </m:rPr>
                <m:t>[</m:t>
              </m:r>
              <m:r>
                <m:rPr>
                  <m:sty m:val="p"/>
                </m:rPr>
                <m:t>(</m:t>
              </m:r>
              <m:sSup>
                <m:e>
                  <m:r>
                    <m:t>X</m:t>
                  </m:r>
                </m:e>
                <m:sup>
                  <m:r>
                    <m:rPr>
                      <m:sty m:val="p"/>
                    </m:rPr>
                    <m:t>⊤</m:t>
                  </m:r>
                </m:sup>
              </m:sSup>
              <m:r>
                <m:t>V</m:t>
              </m:r>
              <m:r>
                <m:t>X</m:t>
              </m:r>
              <m:sSup>
                <m:e>
                  <m:r>
                    <m:rPr>
                      <m:sty m:val="p"/>
                    </m:rPr>
                    <m:t>)</m:t>
                  </m:r>
                </m:e>
                <m:sup>
                  <m:r>
                    <m:rPr>
                      <m:sty m:val="p"/>
                    </m:rPr>
                    <m:t>−</m:t>
                  </m:r>
                  <m:r>
                    <m:t>1</m:t>
                  </m:r>
                </m:sup>
              </m:sSup>
              <m:sSub>
                <m:e>
                  <m:r>
                    <m:rPr>
                      <m:sty m:val="p"/>
                    </m:rPr>
                    <m:t>]</m:t>
                  </m:r>
                </m:e>
                <m:sub>
                  <m:r>
                    <m:t>j</m:t>
                  </m:r>
                  <m:r>
                    <m:t>j</m:t>
                  </m:r>
                </m:sub>
              </m:sSub>
            </m:e>
          </m:rad>
          <m:r>
            <m:rPr>
              <m:sty m:val="p"/>
            </m:rPr>
            <m:t>,</m:t>
          </m:r>
          <m:r>
            <m:t>  </m:t>
          </m:r>
          <m:sSub>
            <m:e>
              <m:r>
                <m:t>z</m:t>
              </m:r>
            </m:e>
            <m:sub>
              <m:r>
                <m:t>j</m:t>
              </m:r>
            </m:sub>
          </m:sSub>
          <m:r>
            <m:rPr>
              <m:sty m:val="p"/>
            </m:rPr>
            <m:t>=</m:t>
          </m:r>
          <m:f>
            <m:fPr>
              <m:type m:val="bar"/>
            </m:fPr>
            <m:num>
              <m:sSub>
                <m:e>
                  <m:acc>
                    <m:accPr>
                      <m:chr m:val="̂"/>
                    </m:accPr>
                    <m:e>
                      <m:r>
                        <m:t>β</m:t>
                      </m:r>
                    </m:e>
                  </m:acc>
                </m:e>
                <m:sub>
                  <m:r>
                    <m:t>j</m:t>
                  </m:r>
                </m:sub>
              </m:sSub>
            </m:num>
            <m:den>
              <m:r>
                <m:rPr>
                  <m:sty m:val="p"/>
                </m:rPr>
                <m:t>S</m:t>
              </m:r>
              <m:r>
                <m:rPr>
                  <m:sty m:val="p"/>
                </m:rPr>
                <m:t>E</m:t>
              </m:r>
              <m:r>
                <m:rPr>
                  <m:sty m:val="p"/>
                </m:rPr>
                <m:t>(</m:t>
              </m:r>
              <m:sSub>
                <m:e>
                  <m:acc>
                    <m:accPr>
                      <m:chr m:val="̂"/>
                    </m:accPr>
                    <m:e>
                      <m:r>
                        <m:t>β</m:t>
                      </m:r>
                    </m:e>
                  </m:acc>
                </m:e>
                <m:sub>
                  <m:r>
                    <m:t>j</m:t>
                  </m:r>
                </m:sub>
              </m:sSub>
              <m:r>
                <m:rPr>
                  <m:sty m:val="p"/>
                </m:rPr>
                <m:t>)</m:t>
              </m:r>
            </m:den>
          </m:f>
          <m:r>
            <m:rPr>
              <m:sty m:val="p"/>
            </m:rPr>
            <m:t>,</m:t>
          </m:r>
          <m:r>
            <m:t>  </m:t>
          </m:r>
          <m:sSub>
            <m:e>
              <m:r>
                <m:t>p</m:t>
              </m:r>
            </m:e>
            <m:sub>
              <m:r>
                <m:t>j</m:t>
              </m:r>
            </m:sub>
          </m:sSub>
          <m:r>
            <m:rPr>
              <m:sty m:val="p"/>
            </m:rPr>
            <m:t>=</m:t>
          </m:r>
          <m:r>
            <m:t>2</m:t>
          </m:r>
          <m:r>
            <m:t> </m:t>
          </m:r>
          <m:r>
            <m:rPr>
              <m:sty m:val="p"/>
            </m:rPr>
            <m:t>Φ</m:t>
          </m:r>
          <m:r>
            <m:rPr>
              <m:sty m:val="p"/>
            </m:rPr>
            <m:t>(</m:t>
          </m:r>
          <m:r>
            <m:rPr>
              <m:sty m:val="p"/>
            </m:rPr>
            <m:t>−</m:t>
          </m:r>
          <m:r>
            <m:rPr>
              <m:sty m:val="p"/>
            </m:rPr>
            <m:t>|</m:t>
          </m:r>
          <m:sSub>
            <m:e>
              <m:r>
                <m:t>z</m:t>
              </m:r>
            </m:e>
            <m:sub>
              <m:r>
                <m:t>j</m:t>
              </m:r>
            </m:sub>
          </m:sSub>
          <m:r>
            <m:rPr>
              <m:sty m:val="p"/>
            </m:rPr>
            <m:t>|</m:t>
          </m:r>
          <m:r>
            <m:rPr>
              <m:sty m:val="p"/>
            </m:rPr>
            <m:t>)</m:t>
          </m:r>
          <m:r>
            <m:rPr>
              <m:sty m:val="p"/>
            </m:rPr>
            <m:t>.</m:t>
          </m:r>
        </m:oMath>
      </m:oMathPara>
    </w:p>
    <w:p>
      <w:pPr>
        <w:pStyle w:val="FirstParagraph"/>
      </w:pPr>
      <w:r>
        <w:t xml:space="preserve">The intercept must be a row and column of</w:t>
      </w:r>
      <w:r>
        <w:t xml:space="preserve"> </w:t>
      </w:r>
      <m:oMath>
        <m:sSup>
          <m:e>
            <m:r>
              <m:t>X</m:t>
            </m:r>
          </m:e>
          <m:sup>
            <m:r>
              <m:rPr>
                <m:sty m:val="p"/>
              </m:rPr>
              <m:t>⊤</m:t>
            </m:r>
          </m:sup>
        </m:sSup>
        <m:r>
          <m:t>V</m:t>
        </m:r>
        <m:r>
          <m:t>X</m:t>
        </m:r>
      </m:oMath>
      <w:r>
        <w:t xml:space="preserve">. Dropping it is not harmless. For a model with an intercept and one slope, write the matrix entries</w:t>
      </w:r>
      <w:r>
        <w:t xml:space="preserve"> </w:t>
      </w:r>
      <m:oMath>
        <m:sSub>
          <m:e>
            <m:r>
              <m:t>F</m:t>
            </m:r>
          </m:e>
          <m:sub>
            <m:r>
              <m:t>00</m:t>
            </m:r>
          </m:sub>
        </m:sSub>
        <m:r>
          <m:rPr>
            <m:sty m:val="p"/>
          </m:rPr>
          <m:t>=</m:t>
        </m:r>
        <m:r>
          <m:rPr>
            <m:sty m:val="p"/>
          </m:rPr>
          <m:t>∑</m:t>
        </m:r>
        <m:sSub>
          <m:e>
            <m:r>
              <m:t>v</m:t>
            </m:r>
          </m:e>
          <m:sub>
            <m:r>
              <m:t>i</m:t>
            </m:r>
          </m:sub>
        </m:sSub>
      </m:oMath>
      <w:r>
        <w:t xml:space="preserve">,</w:t>
      </w:r>
      <w:r>
        <w:t xml:space="preserve"> </w:t>
      </w:r>
      <m:oMath>
        <m:sSub>
          <m:e>
            <m:r>
              <m:t>F</m:t>
            </m:r>
          </m:e>
          <m:sub>
            <m:r>
              <m:t>01</m:t>
            </m:r>
          </m:sub>
        </m:sSub>
        <m:r>
          <m:rPr>
            <m:sty m:val="p"/>
          </m:rPr>
          <m:t>=</m:t>
        </m:r>
        <m:r>
          <m:rPr>
            <m:sty m:val="p"/>
          </m:rPr>
          <m:t>∑</m:t>
        </m:r>
        <m:sSub>
          <m:e>
            <m:r>
              <m:t>v</m:t>
            </m:r>
          </m:e>
          <m:sub>
            <m:r>
              <m:t>i</m:t>
            </m:r>
          </m:sub>
        </m:sSub>
        <m:sSub>
          <m:e>
            <m:r>
              <m:t>x</m:t>
            </m:r>
          </m:e>
          <m:sub>
            <m:r>
              <m:t>i</m:t>
            </m:r>
          </m:sub>
        </m:sSub>
      </m:oMath>
      <w:r>
        <w:t xml:space="preserve">,</w:t>
      </w:r>
      <w:r>
        <w:t xml:space="preserve"> </w:t>
      </w:r>
      <m:oMath>
        <m:sSub>
          <m:e>
            <m:r>
              <m:t>F</m:t>
            </m:r>
          </m:e>
          <m:sub>
            <m:r>
              <m:t>11</m:t>
            </m:r>
          </m:sub>
        </m:sSub>
        <m:r>
          <m:rPr>
            <m:sty m:val="p"/>
          </m:rPr>
          <m:t>=</m:t>
        </m:r>
        <m:r>
          <m:rPr>
            <m:sty m:val="p"/>
          </m:rPr>
          <m:t>∑</m:t>
        </m:r>
        <m:sSub>
          <m:e>
            <m:r>
              <m:t>v</m:t>
            </m:r>
          </m:e>
          <m:sub>
            <m:r>
              <m:t>i</m:t>
            </m:r>
          </m:sub>
        </m:sSub>
        <m:sSubSup>
          <m:e>
            <m:r>
              <m:t>x</m:t>
            </m:r>
          </m:e>
          <m:sub>
            <m:r>
              <m:t>i</m:t>
            </m:r>
          </m:sub>
          <m:sup>
            <m:r>
              <m:t>2</m:t>
            </m:r>
          </m:sup>
        </m:sSubSup>
      </m:oMath>
      <w:r>
        <w:t xml:space="preserve"> </w:t>
      </w:r>
      <w:r>
        <w:t xml:space="preserve">with</w:t>
      </w:r>
      <w:r>
        <w:t xml:space="preserve"> </w:t>
      </w:r>
      <m:oMath>
        <m:sSub>
          <m:e>
            <m:r>
              <m:t>v</m:t>
            </m:r>
          </m:e>
          <m:sub>
            <m:r>
              <m:t>i</m:t>
            </m:r>
          </m:sub>
        </m:sSub>
        <m:r>
          <m:rPr>
            <m:sty m:val="p"/>
          </m:rPr>
          <m:t>=</m:t>
        </m:r>
        <m:sSub>
          <m:e>
            <m:acc>
              <m:accPr>
                <m:chr m:val="̂"/>
              </m:accPr>
              <m:e>
                <m:r>
                  <m:t>p</m:t>
                </m:r>
              </m:e>
            </m:acc>
          </m:e>
          <m:sub>
            <m:r>
              <m:t>i</m:t>
            </m:r>
          </m:sub>
        </m:sSub>
        <m:r>
          <m:rPr>
            <m:sty m:val="p"/>
          </m:rPr>
          <m:t>(</m:t>
        </m:r>
        <m:r>
          <m:t>1</m:t>
        </m:r>
        <m:r>
          <m:rPr>
            <m:sty m:val="p"/>
          </m:rPr>
          <m:t>−</m:t>
        </m:r>
        <m:sSub>
          <m:e>
            <m:acc>
              <m:accPr>
                <m:chr m:val="̂"/>
              </m:accPr>
              <m:e>
                <m:r>
                  <m:t>p</m:t>
                </m:r>
              </m:e>
            </m:acc>
          </m:e>
          <m:sub>
            <m:r>
              <m:t>i</m:t>
            </m:r>
          </m:sub>
        </m:sSub>
        <m:r>
          <m:rPr>
            <m:sty m:val="p"/>
          </m:rPr>
          <m:t>)</m:t>
        </m:r>
      </m:oMath>
      <w:r>
        <w:t xml:space="preserve">. The correct slope variance is</w:t>
      </w:r>
      <w:r>
        <w:t xml:space="preserve"> </w:t>
      </w:r>
      <m:oMath>
        <m:r>
          <m:rPr>
            <m:sty m:val="p"/>
          </m:rPr>
          <m:t>[</m:t>
        </m:r>
        <m:sSup>
          <m:e>
            <m:r>
              <m:t>F</m:t>
            </m:r>
          </m:e>
          <m:sup>
            <m:r>
              <m:rPr>
                <m:sty m:val="p"/>
              </m:rPr>
              <m:t>−</m:t>
            </m:r>
            <m:r>
              <m:t>1</m:t>
            </m:r>
          </m:sup>
        </m:sSup>
        <m:sSub>
          <m:e>
            <m:r>
              <m:rPr>
                <m:sty m:val="p"/>
              </m:rPr>
              <m:t>]</m:t>
            </m:r>
          </m:e>
          <m:sub>
            <m:r>
              <m:t>11</m:t>
            </m:r>
          </m:sub>
        </m:sSub>
        <m:r>
          <m:rPr>
            <m:sty m:val="p"/>
          </m:rPr>
          <m:t>=</m:t>
        </m:r>
        <m:sSub>
          <m:e>
            <m:r>
              <m:t>F</m:t>
            </m:r>
          </m:e>
          <m:sub>
            <m:r>
              <m:t>00</m:t>
            </m:r>
          </m:sub>
        </m:sSub>
        <m:r>
          <m:rPr>
            <m:sty m:val="p"/>
          </m:rPr>
          <m:t>/</m:t>
        </m:r>
        <m:r>
          <m:rPr>
            <m:sty m:val="p"/>
          </m:rPr>
          <m:t>(</m:t>
        </m:r>
        <m:sSub>
          <m:e>
            <m:r>
              <m:t>F</m:t>
            </m:r>
          </m:e>
          <m:sub>
            <m:r>
              <m:t>00</m:t>
            </m:r>
          </m:sub>
        </m:sSub>
        <m:sSub>
          <m:e>
            <m:r>
              <m:t>F</m:t>
            </m:r>
          </m:e>
          <m:sub>
            <m:r>
              <m:t>11</m:t>
            </m:r>
          </m:sub>
        </m:sSub>
        <m:r>
          <m:rPr>
            <m:sty m:val="p"/>
          </m:rPr>
          <m:t>−</m:t>
        </m:r>
        <m:sSubSup>
          <m:e>
            <m:r>
              <m:t>F</m:t>
            </m:r>
          </m:e>
          <m:sub>
            <m:r>
              <m:t>01</m:t>
            </m:r>
          </m:sub>
          <m:sup>
            <m:r>
              <m:t>2</m:t>
            </m:r>
          </m:sup>
        </m:sSubSup>
        <m:r>
          <m:rPr>
            <m:sty m:val="p"/>
          </m:rPr>
          <m:t>)</m:t>
        </m:r>
      </m:oMath>
      <w:r>
        <w:t xml:space="preserve">, which equals</w:t>
      </w:r>
      <w:r>
        <w:t xml:space="preserve"> </w:t>
      </w:r>
      <m:oMath>
        <m:r>
          <m:t>1</m:t>
        </m:r>
        <m:r>
          <m:rPr>
            <m:sty m:val="p"/>
          </m:rPr>
          <m:t>/</m:t>
        </m:r>
        <m:r>
          <m:rPr>
            <m:sty m:val="p"/>
          </m:rPr>
          <m:t>(</m:t>
        </m:r>
        <m:sSub>
          <m:e>
            <m:r>
              <m:t>F</m:t>
            </m:r>
          </m:e>
          <m:sub>
            <m:r>
              <m:t>11</m:t>
            </m:r>
          </m:sub>
        </m:sSub>
        <m:r>
          <m:rPr>
            <m:sty m:val="p"/>
          </m:rPr>
          <m:t>−</m:t>
        </m:r>
        <m:sSubSup>
          <m:e>
            <m:r>
              <m:t>F</m:t>
            </m:r>
          </m:e>
          <m:sub>
            <m:r>
              <m:t>01</m:t>
            </m:r>
          </m:sub>
          <m:sup>
            <m:r>
              <m:t>2</m:t>
            </m:r>
          </m:sup>
        </m:sSubSup>
        <m:r>
          <m:rPr>
            <m:sty m:val="p"/>
          </m:rPr>
          <m:t>/</m:t>
        </m:r>
        <m:sSub>
          <m:e>
            <m:r>
              <m:t>F</m:t>
            </m:r>
          </m:e>
          <m:sub>
            <m:r>
              <m:t>00</m:t>
            </m:r>
          </m:sub>
        </m:sSub>
        <m:r>
          <m:rPr>
            <m:sty m:val="p"/>
          </m:rPr>
          <m:t>)</m:t>
        </m:r>
      </m:oMath>
      <w:r>
        <w:t xml:space="preserve"> </w:t>
      </w:r>
      <w:r>
        <w:t xml:space="preserve">and is never smaller than</w:t>
      </w:r>
      <w:r>
        <w:t xml:space="preserve"> </w:t>
      </w:r>
      <m:oMath>
        <m:r>
          <m:t>1</m:t>
        </m:r>
        <m:r>
          <m:rPr>
            <m:sty m:val="p"/>
          </m:rPr>
          <m:t>/</m:t>
        </m:r>
        <m:sSub>
          <m:e>
            <m:r>
              <m:t>F</m:t>
            </m:r>
          </m:e>
          <m:sub>
            <m:r>
              <m:t>11</m:t>
            </m:r>
          </m:sub>
        </m:sSub>
      </m:oMath>
      <w:r>
        <w:t xml:space="preserve">, the value obtained when the intercept row and column are omitted. Omitting the intercept therefore always understates the standard error and overstates significance.</w:t>
      </w:r>
    </w:p>
    <w:bookmarkEnd w:id="53"/>
    <w:bookmarkStart w:id="54" w:name="worked-toy-example"/>
    <w:p>
      <w:pPr>
        <w:pStyle w:val="Heading2"/>
      </w:pPr>
      <w:r>
        <w:rPr>
          <w:rStyle w:val="SectionNumber"/>
        </w:rPr>
        <w:t xml:space="preserve">8.3</w:t>
      </w:r>
      <w:r>
        <w:tab/>
      </w:r>
      <w:r>
        <w:t xml:space="preserve">Worked toy example</w:t>
      </w:r>
    </w:p>
    <w:p>
      <w:pPr>
        <w:pStyle w:val="FirstParagraph"/>
      </w:pPr>
      <w:r>
        <w:t xml:space="preserve">Take eight points with</w:t>
      </w:r>
      <w:r>
        <w:t xml:space="preserve"> </w:t>
      </w:r>
      <m:oMath>
        <m:r>
          <m:t>x</m:t>
        </m:r>
        <m:r>
          <m:rPr>
            <m:sty m:val="p"/>
          </m:rPr>
          <m:t>=</m:t>
        </m:r>
        <m:r>
          <m:t>0</m:t>
        </m:r>
        <m:r>
          <m:rPr>
            <m:sty m:val="p"/>
          </m:rPr>
          <m:t>,</m:t>
        </m:r>
        <m:r>
          <m:t>1</m:t>
        </m:r>
        <m:r>
          <m:rPr>
            <m:sty m:val="p"/>
          </m:rPr>
          <m:t>,</m:t>
        </m:r>
        <m:r>
          <m:rPr>
            <m:sty m:val="p"/>
          </m:rPr>
          <m:t>…</m:t>
        </m:r>
        <m:r>
          <m:rPr>
            <m:sty m:val="p"/>
          </m:rPr>
          <m:t>,</m:t>
        </m:r>
        <m:r>
          <m:t>7</m:t>
        </m:r>
      </m:oMath>
      <w:r>
        <w:t xml:space="preserve"> </w:t>
      </w:r>
      <w:r>
        <w:t xml:space="preserve">and outcomes</w:t>
      </w:r>
      <w:r>
        <w:t xml:space="preserve"> </w:t>
      </w:r>
      <m:oMath>
        <m:r>
          <m:t>y</m:t>
        </m:r>
        <m:r>
          <m:rPr>
            <m:sty m:val="p"/>
          </m:rPr>
          <m:t>=</m:t>
        </m:r>
        <m:r>
          <m:t>0</m:t>
        </m:r>
        <m:r>
          <m:rPr>
            <m:sty m:val="p"/>
          </m:rPr>
          <m:t>,</m:t>
        </m:r>
        <m:r>
          <m:t>0</m:t>
        </m:r>
        <m:r>
          <m:rPr>
            <m:sty m:val="p"/>
          </m:rPr>
          <m:t>,</m:t>
        </m:r>
        <m:r>
          <m:t>1</m:t>
        </m:r>
        <m:r>
          <m:rPr>
            <m:sty m:val="p"/>
          </m:rPr>
          <m:t>,</m:t>
        </m:r>
        <m:r>
          <m:t>0</m:t>
        </m:r>
        <m:r>
          <m:rPr>
            <m:sty m:val="p"/>
          </m:rPr>
          <m:t>,</m:t>
        </m:r>
        <m:r>
          <m:t>1</m:t>
        </m:r>
        <m:r>
          <m:rPr>
            <m:sty m:val="p"/>
          </m:rPr>
          <m:t>,</m:t>
        </m:r>
        <m:r>
          <m:t>0</m:t>
        </m:r>
        <m:r>
          <m:rPr>
            <m:sty m:val="p"/>
          </m:rPr>
          <m:t>,</m:t>
        </m:r>
        <m:r>
          <m:t>1</m:t>
        </m:r>
        <m:r>
          <m:rPr>
            <m:sty m:val="p"/>
          </m:rPr>
          <m:t>,</m:t>
        </m:r>
        <m:r>
          <m:t>1</m:t>
        </m:r>
      </m:oMath>
      <w:r>
        <w:t xml:space="preserve">. The unpenalized maximum-likelihood fit is</w:t>
      </w:r>
      <w:r>
        <w:t xml:space="preserve"> </w:t>
      </w:r>
      <m:oMath>
        <m:sSub>
          <m:e>
            <m:acc>
              <m:accPr>
                <m:chr m:val="̂"/>
              </m:accPr>
              <m:e>
                <m:r>
                  <m:t>β</m:t>
                </m:r>
              </m:e>
            </m:acc>
          </m:e>
          <m:sub>
            <m:r>
              <m:t>0</m:t>
            </m:r>
          </m:sub>
        </m:sSub>
        <m:r>
          <m:rPr>
            <m:sty m:val="p"/>
          </m:rPr>
          <m:t>=</m:t>
        </m:r>
      </m:oMath>
      <w:r>
        <w:t xml:space="preserve"> </w:t>
      </w:r>
      <w:r>
        <w:t xml:space="preserve">-2.0793 and</w:t>
      </w:r>
      <w:r>
        <w:t xml:space="preserve"> </w:t>
      </w:r>
      <m:oMath>
        <m:sSub>
          <m:e>
            <m:acc>
              <m:accPr>
                <m:chr m:val="̂"/>
              </m:accPr>
              <m:e>
                <m:r>
                  <m:t>β</m:t>
                </m:r>
              </m:e>
            </m:acc>
          </m:e>
          <m:sub>
            <m:r>
              <m:t>1</m:t>
            </m:r>
          </m:sub>
        </m:sSub>
        <m:r>
          <m:rPr>
            <m:sty m:val="p"/>
          </m:rPr>
          <m:t>=</m:t>
        </m:r>
      </m:oMath>
      <w:r>
        <w:t xml:space="preserve"> </w:t>
      </w:r>
      <w:r>
        <w:t xml:space="preserve">0.5941. At these estimates the information matrix has</w:t>
      </w:r>
      <w:r>
        <w:t xml:space="preserve"> </w:t>
      </w:r>
      <m:oMath>
        <m:sSub>
          <m:e>
            <m:r>
              <m:t>F</m:t>
            </m:r>
          </m:e>
          <m:sub>
            <m:r>
              <m:t>00</m:t>
            </m:r>
          </m:sub>
        </m:sSub>
        <m:r>
          <m:rPr>
            <m:sty m:val="p"/>
          </m:rPr>
          <m:t>=</m:t>
        </m:r>
      </m:oMath>
      <w:r>
        <w:t xml:space="preserve"> </w:t>
      </w:r>
      <w:r>
        <w:t xml:space="preserve">1.4003,</w:t>
      </w:r>
      <w:r>
        <w:t xml:space="preserve"> </w:t>
      </w:r>
      <m:oMath>
        <m:sSub>
          <m:e>
            <m:r>
              <m:t>F</m:t>
            </m:r>
          </m:e>
          <m:sub>
            <m:r>
              <m:t>01</m:t>
            </m:r>
          </m:sub>
        </m:sSub>
        <m:r>
          <m:rPr>
            <m:sty m:val="p"/>
          </m:rPr>
          <m:t>=</m:t>
        </m:r>
      </m:oMath>
      <w:r>
        <w:t xml:space="preserve"> </w:t>
      </w:r>
      <w:r>
        <w:t xml:space="preserve">4.9011 and</w:t>
      </w:r>
      <w:r>
        <w:t xml:space="preserve"> </w:t>
      </w:r>
      <m:oMath>
        <m:sSub>
          <m:e>
            <m:r>
              <m:t>F</m:t>
            </m:r>
          </m:e>
          <m:sub>
            <m:r>
              <m:t>11</m:t>
            </m:r>
          </m:sub>
        </m:sSub>
        <m:r>
          <m:rPr>
            <m:sty m:val="p"/>
          </m:rPr>
          <m:t>=</m:t>
        </m:r>
      </m:oMath>
      <w:r>
        <w:t xml:space="preserve"> </w:t>
      </w:r>
      <w:r>
        <w:t xml:space="preserve">22.5063, with determinant 7.4950. Inverting gives</w:t>
      </w:r>
      <w:r>
        <w:t xml:space="preserve"> </w:t>
      </w:r>
      <m:oMath>
        <m:r>
          <m:rPr>
            <m:sty m:val="p"/>
          </m:rPr>
          <m:t>S</m:t>
        </m:r>
        <m:r>
          <m:rPr>
            <m:sty m:val="p"/>
          </m:rPr>
          <m:t>E</m:t>
        </m:r>
        <m:r>
          <m:rPr>
            <m:sty m:val="p"/>
          </m:rPr>
          <m:t>(</m:t>
        </m:r>
        <m:sSub>
          <m:e>
            <m:acc>
              <m:accPr>
                <m:chr m:val="̂"/>
              </m:accPr>
              <m:e>
                <m:r>
                  <m:t>β</m:t>
                </m:r>
              </m:e>
            </m:acc>
          </m:e>
          <m:sub>
            <m:r>
              <m:t>1</m:t>
            </m:r>
          </m:sub>
        </m:sSub>
        <m:r>
          <m:rPr>
            <m:sty m:val="p"/>
          </m:rPr>
          <m:t>)</m:t>
        </m:r>
        <m:r>
          <m:rPr>
            <m:sty m:val="p"/>
          </m:rPr>
          <m:t>=</m:t>
        </m:r>
      </m:oMath>
      <w:r>
        <w:t xml:space="preserve"> </w:t>
      </w:r>
      <w:r>
        <w:t xml:space="preserve">0.4322, so</w:t>
      </w:r>
      <w:r>
        <w:t xml:space="preserve"> </w:t>
      </w:r>
      <m:oMath>
        <m:r>
          <m:t>z</m:t>
        </m:r>
        <m:r>
          <m:rPr>
            <m:sty m:val="p"/>
          </m:rPr>
          <m:t>=</m:t>
        </m:r>
      </m:oMath>
      <w:r>
        <w:t xml:space="preserve"> </w:t>
      </w:r>
      <w:r>
        <w:t xml:space="preserve">1.374 and the two-sided p-value is 0.1693; statsmodels returns 0.1693. If the intercept is omitted from the matrix the slope standard error becomes</w:t>
      </w:r>
      <w:r>
        <w:t xml:space="preserve"> </w:t>
      </w:r>
      <m:oMath>
        <m:r>
          <m:t>1</m:t>
        </m:r>
        <m:r>
          <m:rPr>
            <m:sty m:val="p"/>
          </m:rPr>
          <m:t>/</m:t>
        </m:r>
        <m:rad>
          <m:radPr>
            <m:degHide m:val="on"/>
          </m:radPr>
          <m:deg/>
          <m:e>
            <m:sSub>
              <m:e>
                <m:r>
                  <m:t>F</m:t>
                </m:r>
              </m:e>
              <m:sub>
                <m:r>
                  <m:t>11</m:t>
                </m:r>
              </m:sub>
            </m:sSub>
          </m:e>
        </m:rad>
        <m:r>
          <m:rPr>
            <m:sty m:val="p"/>
          </m:rPr>
          <m:t>=</m:t>
        </m:r>
      </m:oMath>
      <w:r>
        <w:t xml:space="preserve"> </w:t>
      </w:r>
      <w:r>
        <w:t xml:space="preserve">0.2108 and the p-value falls to 0.0048, turning a non-significant slope into a "significant" one.</w:t>
      </w:r>
    </w:p>
    <w:bookmarkEnd w:id="54"/>
    <w:bookmarkStart w:id="55" w:name="X5be84e6a95ea128568b0798bdfd8381d25522cf"/>
    <w:p>
      <w:pPr>
        <w:pStyle w:val="Heading2"/>
      </w:pPr>
      <w:r>
        <w:rPr>
          <w:rStyle w:val="SectionNumber"/>
        </w:rPr>
        <w:t xml:space="preserve">8.4</w:t>
      </w:r>
      <w:r>
        <w:tab/>
      </w:r>
      <w:r>
        <w:t xml:space="preserve">The as-built defect and the corrected class</w:t>
      </w:r>
    </w:p>
    <w:p>
      <w:pPr>
        <w:pStyle w:val="FirstParagraph"/>
      </w:pPr>
      <w:r>
        <w:t xml:space="preserve">The original</w:t>
      </w:r>
      <w:r>
        <w:t xml:space="preserve"> </w:t>
      </w:r>
      <w:r>
        <w:rPr>
          <w:rStyle w:val="VerbatimChar"/>
        </w:rPr>
        <w:t xml:space="preserve">LogisticRegression_with_p_values</w:t>
      </w:r>
      <w:r>
        <w:t xml:space="preserve"> </w:t>
      </w:r>
      <w:r>
        <w:t xml:space="preserve">built its Fisher matrix without an intercept column and wrapped scikit-learn's</w:t>
      </w:r>
      <w:r>
        <w:t xml:space="preserve"> </w:t>
      </w:r>
      <w:r>
        <w:rPr>
          <w:rStyle w:val="VerbatimChar"/>
        </w:rPr>
        <w:t xml:space="preserve">LogisticRegression</w:t>
      </w:r>
      <w:r>
        <w:t xml:space="preserve"> </w:t>
      </w:r>
      <w:r>
        <w:t xml:space="preserve">with its default L2 penalty (</w:t>
      </w:r>
      <w:r>
        <w:rPr>
          <w:rStyle w:val="VerbatimChar"/>
        </w:rPr>
        <w:t xml:space="preserve">C=1</w:t>
      </w:r>
      <w:r>
        <w:t xml:space="preserve">), so the coefficients were not the maximum-likelihood estimates at which the formula above is valid. Both effects invalidate the p-values (finding F-06). The corrected</w:t>
      </w:r>
      <w:r>
        <w:t xml:space="preserve"> </w:t>
      </w:r>
      <w:r>
        <w:rPr>
          <w:rStyle w:val="VerbatimChar"/>
        </w:rPr>
        <w:t xml:space="preserve">stats_models.LogisticRegressionWithPValues</w:t>
      </w:r>
      <w:r>
        <w:t xml:space="preserve"> </w:t>
      </w:r>
      <w:r>
        <w:t xml:space="preserve">fits with</w:t>
      </w:r>
      <w:r>
        <w:t xml:space="preserve"> </w:t>
      </w:r>
      <w:r>
        <w:rPr>
          <w:rStyle w:val="VerbatimChar"/>
        </w:rPr>
        <w:t xml:space="preserve">C=inf</w:t>
      </w:r>
      <w:r>
        <w:t xml:space="preserve"> </w:t>
      </w:r>
      <w:r>
        <w:t xml:space="preserve">(no penalty), carries the intercept in</w:t>
      </w:r>
      <w:r>
        <w:t xml:space="preserve"> </w:t>
      </w:r>
      <m:oMath>
        <m:sSup>
          <m:e>
            <m:r>
              <m:t>X</m:t>
            </m:r>
          </m:e>
          <m:sup>
            <m:r>
              <m:rPr>
                <m:sty m:val="p"/>
              </m:rPr>
              <m:t>⊤</m:t>
            </m:r>
          </m:sup>
        </m:sSup>
        <m:r>
          <m:t>V</m:t>
        </m:r>
        <m:r>
          <m:t>X</m:t>
        </m:r>
      </m:oMath>
      <w:r>
        <w:t xml:space="preserve"> </w:t>
      </w:r>
      <w:r>
        <w:t xml:space="preserve">and agrees with statsmodels to</w:t>
      </w:r>
      <w:r>
        <w:t xml:space="preserve"> </w:t>
      </w:r>
      <m:oMath>
        <m:sSup>
          <m:e>
            <m:r>
              <m:t>10</m:t>
            </m:r>
          </m:e>
          <m:sup>
            <m:r>
              <m:rPr>
                <m:sty m:val="p"/>
              </m:rPr>
              <m:t>−</m:t>
            </m:r>
            <m:r>
              <m:t>5</m:t>
            </m:r>
          </m:sup>
        </m:sSup>
      </m:oMath>
      <w:r>
        <w:t xml:space="preserve"> </w:t>
      </w:r>
      <w:r>
        <w:t xml:space="preserve">in the unit tests;</w:t>
      </w:r>
      <w:r>
        <w:t xml:space="preserve"> </w:t>
      </w:r>
      <w:r>
        <w:rPr>
          <w:rStyle w:val="VerbatimChar"/>
        </w:rPr>
        <w:t xml:space="preserve">LinearRegressionWithPValues</w:t>
      </w:r>
      <w:r>
        <w:t xml:space="preserve"> </w:t>
      </w:r>
      <w:r>
        <w:t xml:space="preserve">does the same for OLS with</w:t>
      </w:r>
      <w:r>
        <w:t xml:space="preserve"> </w:t>
      </w:r>
      <m:oMath>
        <m:r>
          <m:t>n</m:t>
        </m:r>
        <m:r>
          <m:rPr>
            <m:sty m:val="p"/>
          </m:rPr>
          <m:t>−</m:t>
        </m:r>
        <m:r>
          <m:t>p</m:t>
        </m:r>
        <m:r>
          <m:rPr>
            <m:sty m:val="p"/>
          </m:rPr>
          <m:t>−</m:t>
        </m:r>
        <m:r>
          <m:t>1</m:t>
        </m:r>
      </m:oMath>
      <w:r>
        <w:t xml:space="preserve"> </w:t>
      </w:r>
      <w:r>
        <w:t xml:space="preserve">degrees of freedom. The scorecard itself uses statsmodels directly.</w:t>
      </w:r>
    </w:p>
    <w:p>
      <w:pPr>
        <w:pStyle w:val="BodyText"/>
      </w:pPr>
      <w:r>
        <w:t xml:space="preserve">To see how much the defect matters on real data, the as-built logic was re-created on the LGD stage 1 design (a penalized fit, no intercept in the Fisher matrix) and compared with the corrected class. Over 31 terms, 11 are significant at 5% with the corrected class and 12 with the as-built logic; the verdict differs for 1 term(s), and the median ratio of as-built to corrected standard errors is 1.00. The practical impact on this design is small because the inputs are standardized (nearly orthogonal to the constant) and the penalty is mild with 14 thousand observations. The defect is still a real correctness problem, because it would matter more for unstandardized inputs such as the dummy design of the PD model, and variable selection built on it is unsupported. It is mentioned honestly as a low-impact, high-principle finding.</w:t>
      </w:r>
    </w:p>
    <w:bookmarkEnd w:id="55"/>
    <w:bookmarkEnd w:id="56"/>
    <w:bookmarkStart w:id="63" w:name="reproduction-of-the-original-model"/>
    <w:p>
      <w:pPr>
        <w:pStyle w:val="Heading1"/>
      </w:pPr>
      <w:r>
        <w:rPr>
          <w:rStyle w:val="SectionNumber"/>
        </w:rPr>
        <w:t xml:space="preserve">9</w:t>
      </w:r>
      <w:r>
        <w:tab/>
      </w:r>
      <w:r>
        <w:t xml:space="preserve">Reproduction of the original model</w:t>
      </w:r>
    </w:p>
    <w:bookmarkStart w:id="57" w:name="what-was-reproduced"/>
    <w:p>
      <w:pPr>
        <w:pStyle w:val="Heading2"/>
      </w:pPr>
      <w:r>
        <w:rPr>
          <w:rStyle w:val="SectionNumber"/>
        </w:rPr>
        <w:t xml:space="preserve">9.1</w:t>
      </w:r>
      <w:r>
        <w:tab/>
      </w:r>
      <w:r>
        <w:t xml:space="preserve">What was reproduced</w:t>
      </w:r>
    </w:p>
    <w:p>
      <w:pPr>
        <w:pStyle w:val="FirstParagraph"/>
      </w:pPr>
      <w:r>
        <w:t xml:space="preserve">The original PD model is a logistic regression on a dummy design of coarse classes (84 columns including a loan-age ladder). The cut points were transcribed from the original notebooks (</w:t>
      </w:r>
      <w:r>
        <w:rPr>
          <w:rStyle w:val="VerbatimChar"/>
        </w:rPr>
        <w:t xml:space="preserve">repro_original.ORIGINAL_COARSE_CLASSES</w:t>
      </w:r>
      <w:r>
        <w:t xml:space="preserve">), reference categories dropped as in the original, the lifetime default flag used as target and a random 80/20 split on all loans applied. The original pickled model (</w:t>
      </w:r>
      <w:r>
        <w:rPr>
          <w:rStyle w:val="VerbatimChar"/>
        </w:rPr>
        <w:t xml:space="preserve">pd_model.sav</w:t>
      </w:r>
      <w:r>
        <w:t xml:space="preserve">) is not available and the Final notebook contains no fitting cell for it (finding F-10), so the model was re-fit here with the same specification. The goal is not to match a number but to check whether the</w:t>
      </w:r>
      <w:r>
        <w:t xml:space="preserve"> </w:t>
      </w:r>
      <w:r>
        <w:rPr>
          <w:i/>
          <w:iCs/>
        </w:rPr>
        <w:t xml:space="preserve">design</w:t>
      </w:r>
      <w:r>
        <w:t xml:space="preserve"> </w:t>
      </w:r>
      <w:r>
        <w:t xml:space="preserve">behaves as claimed.</w:t>
      </w:r>
    </w:p>
    <w:bookmarkEnd w:id="57"/>
    <w:bookmarkStart w:id="58" w:name="result-on-its-own-random-test"/>
    <w:p>
      <w:pPr>
        <w:pStyle w:val="Heading2"/>
      </w:pPr>
      <w:r>
        <w:rPr>
          <w:rStyle w:val="SectionNumber"/>
        </w:rPr>
        <w:t xml:space="preserve">9.2</w:t>
      </w:r>
      <w:r>
        <w:tab/>
      </w:r>
      <w:r>
        <w:t xml:space="preserve">Result on its own random test</w:t>
      </w:r>
    </w:p>
    <w:p>
      <w:pPr>
        <w:pStyle w:val="TableCaption"/>
      </w:pPr>
      <w:r>
        <w:t xml:space="preserve">Reproduction on the random 20% test (93,257 loans; training 373,028 loans, lifetime bad rate 10.93%). The loan-age proxy mths_since_issue_d is the variable of concern.</w:t>
      </w:r>
    </w:p>
    <w:tbl>
      <w:tblPr>
        <w:tblStyle w:val="Table"/>
        <w:tblW w:type="auto" w:w="0"/>
        <w:tblLook w:firstRow="1" w:lastRow="0" w:firstColumn="0" w:lastColumn="0" w:noHBand="0" w:noVBand="0" w:val="0020"/>
        <w:tblCaption w:val="Reproduction on the random 20% test (93,257 loans; training 373,028 loans, lifetime bad rate 10.93%). The loan-age proxy mths_since_issue_d is the variable of concer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Specification</w:t>
            </w:r>
          </w:p>
        </w:tc>
        <w:tc>
          <w:tcPr/>
          <w:p>
            <w:pPr>
              <w:pStyle w:val="Compact"/>
              <w:jc w:val="right"/>
            </w:pPr>
            <w:r>
              <w:rPr>
                <w:sz w:val="17"/>
              </w:rPr>
              <w:t xml:space="preserve">Dummy columns</w:t>
            </w:r>
          </w:p>
        </w:tc>
        <w:tc>
          <w:tcPr/>
          <w:p>
            <w:pPr>
              <w:pStyle w:val="Compact"/>
              <w:jc w:val="right"/>
            </w:pPr>
            <w:r>
              <w:rPr>
                <w:sz w:val="17"/>
              </w:rPr>
              <w:t xml:space="preserve">Test AUC</w:t>
            </w:r>
          </w:p>
        </w:tc>
        <w:tc>
          <w:tcPr/>
          <w:p>
            <w:pPr>
              <w:pStyle w:val="Compact"/>
              <w:jc w:val="right"/>
            </w:pPr>
            <w:r>
              <w:rPr>
                <w:sz w:val="17"/>
              </w:rPr>
              <w:t xml:space="preserve">Test Gini</w:t>
            </w:r>
          </w:p>
        </w:tc>
        <w:tc>
          <w:tcPr/>
          <w:p>
            <w:pPr>
              <w:pStyle w:val="Compact"/>
              <w:jc w:val="right"/>
            </w:pPr>
            <w:r>
              <w:rPr>
                <w:sz w:val="17"/>
              </w:rPr>
              <w:t xml:space="preserve">Test KS</w:t>
            </w:r>
          </w:p>
        </w:tc>
      </w:tr>
      <w:tr>
        <w:tc>
          <w:tcPr/>
          <w:p>
            <w:pPr>
              <w:pStyle w:val="Compact"/>
              <w:jc w:val="left"/>
            </w:pPr>
            <w:r>
              <w:rPr>
                <w:sz w:val="17"/>
              </w:rPr>
              <w:t xml:space="preserve">With mths_since_issue_d</w:t>
            </w:r>
          </w:p>
        </w:tc>
        <w:tc>
          <w:tcPr/>
          <w:p>
            <w:pPr>
              <w:pStyle w:val="Compact"/>
              <w:jc w:val="right"/>
            </w:pPr>
            <w:r>
              <w:rPr>
                <w:sz w:val="17"/>
              </w:rPr>
              <w:t xml:space="preserve">84</w:t>
            </w:r>
          </w:p>
        </w:tc>
        <w:tc>
          <w:tcPr/>
          <w:p>
            <w:pPr>
              <w:pStyle w:val="Compact"/>
              <w:jc w:val="right"/>
            </w:pPr>
            <w:r>
              <w:rPr>
                <w:sz w:val="17"/>
              </w:rPr>
              <w:t xml:space="preserve">0.7018</w:t>
            </w:r>
          </w:p>
        </w:tc>
        <w:tc>
          <w:tcPr/>
          <w:p>
            <w:pPr>
              <w:pStyle w:val="Compact"/>
              <w:jc w:val="right"/>
            </w:pPr>
            <w:r>
              <w:rPr>
                <w:sz w:val="17"/>
              </w:rPr>
              <w:t xml:space="preserve">0.4035</w:t>
            </w:r>
          </w:p>
        </w:tc>
        <w:tc>
          <w:tcPr/>
          <w:p>
            <w:pPr>
              <w:pStyle w:val="Compact"/>
              <w:jc w:val="right"/>
            </w:pPr>
            <w:r>
              <w:rPr>
                <w:sz w:val="17"/>
              </w:rPr>
              <w:t xml:space="preserve">0.2966</w:t>
            </w:r>
          </w:p>
        </w:tc>
      </w:tr>
      <w:tr>
        <w:tc>
          <w:tcPr/>
          <w:p>
            <w:pPr>
              <w:pStyle w:val="Compact"/>
              <w:jc w:val="left"/>
            </w:pPr>
            <w:r>
              <w:rPr>
                <w:sz w:val="17"/>
              </w:rPr>
              <w:t xml:space="preserve">Without it</w:t>
            </w:r>
          </w:p>
        </w:tc>
        <w:tc>
          <w:tcPr/>
          <w:p>
            <w:pPr>
              <w:pStyle w:val="Compact"/>
              <w:jc w:val="right"/>
            </w:pPr>
            <w:r>
              <w:rPr>
                <w:sz w:val="17"/>
              </w:rPr>
              <w:t xml:space="preserve">77</w:t>
            </w:r>
          </w:p>
        </w:tc>
        <w:tc>
          <w:tcPr/>
          <w:p>
            <w:pPr>
              <w:pStyle w:val="Compact"/>
              <w:jc w:val="right"/>
            </w:pPr>
            <w:r>
              <w:rPr>
                <w:sz w:val="17"/>
              </w:rPr>
              <w:t xml:space="preserve">0.6881</w:t>
            </w:r>
          </w:p>
        </w:tc>
        <w:tc>
          <w:tcPr/>
          <w:p>
            <w:pPr>
              <w:pStyle w:val="Compact"/>
              <w:jc w:val="right"/>
            </w:pPr>
            <w:r>
              <w:rPr>
                <w:sz w:val="17"/>
              </w:rPr>
              <w:t xml:space="preserve">0.3762</w:t>
            </w:r>
          </w:p>
        </w:tc>
        <w:tc>
          <w:tcPr/>
          <w:p>
            <w:pPr>
              <w:pStyle w:val="Compact"/>
              <w:jc w:val="right"/>
            </w:pPr>
            <w:r>
              <w:rPr>
                <w:sz w:val="17"/>
              </w:rPr>
              <w:t xml:space="preserve">0.2782</w:t>
            </w:r>
          </w:p>
        </w:tc>
      </w:tr>
    </w:tbl>
    <w:p>
      <w:pPr>
        <w:pStyle w:val="BodyText"/>
      </w:pPr>
      <w:r>
        <w:t xml:space="preserve">The reproduced model has Gini 0.404 on its own random test, in line with a model of this kind. Removing the loan-age ladder lowers Gini by 0.0273, so the proxy contributes some ranking power on that test. That is the problem: loan age to a fixed reference date identifies the issue month, issue month determines how long a loan was observed, and a lifetime flag depends on how long a loan was observed. The feature can therefore learn the censoring pattern rather than borrower quality, and its gain on a random split does not carry to genuinely later loans.</w:t>
      </w:r>
    </w:p>
    <w:bookmarkEnd w:id="58"/>
    <w:bookmarkStart w:id="62" w:name="out-of-time-behaviour"/>
    <w:p>
      <w:pPr>
        <w:pStyle w:val="Heading2"/>
      </w:pPr>
      <w:r>
        <w:rPr>
          <w:rStyle w:val="SectionNumber"/>
        </w:rPr>
        <w:t xml:space="preserve">9.3</w:t>
      </w:r>
      <w:r>
        <w:tab/>
      </w:r>
      <w:r>
        <w:t xml:space="preserve">Out-of-time behaviour</w:t>
      </w:r>
    </w:p>
    <w:p>
      <w:pPr>
        <w:pStyle w:val="FirstParagraph"/>
      </w:pPr>
      <w:r>
        <w:t xml:space="preserve">Scored on the 12-month target, the reproduced model has Gini 0.375 on 2013 and 0.370 on 2014 loans, comparable to or higher than SC_FULL, so ranking alone does not expose the problem. What exposes it is stability. The score distribution drifts because loan age falls steadily for later issues: score PSI is 0.082 for 2013 and 0.912 for 2014 (Red), the mean predicted PD slides from 0.132 in early 2010 to 0.066 in the last quarter of 2014, and the quarterly PSI reaches 1.808. Its calibration against the 12-month target is meaningless by construction because it predicts a lifetime outcome, which is why only its random-test calibration is reported. No amount of recalibration fixes a drift that comes from a mechanical feature.</w:t>
      </w:r>
    </w:p>
    <w:p>
      <w:pPr>
        <w:pStyle w:val="CaptionedFigure"/>
      </w:pPr>
      <w:r>
        <w:drawing>
          <wp:inline>
            <wp:extent cx="4800600" cy="2160270"/>
            <wp:effectExtent b="0" l="0" r="0" t="0"/>
            <wp:docPr descr="Quarterly population stability index of the score. The reproduced original model (dashed) breaks the 0.25 threshold from late 2013." title="" id="60" name="Picture"/>
            <a:graphic>
              <a:graphicData uri="http://schemas.openxmlformats.org/drawingml/2006/picture">
                <pic:pic>
                  <pic:nvPicPr>
                    <pic:cNvPr descr="../python/outputs/charts/psi_by_quarter.png" id="61" name="Picture"/>
                    <pic:cNvPicPr>
                      <a:picLocks noChangeArrowheads="1" noChangeAspect="1"/>
                    </pic:cNvPicPr>
                  </pic:nvPicPr>
                  <pic:blipFill>
                    <a:blip r:embed="rId59"/>
                    <a:stretch>
                      <a:fillRect/>
                    </a:stretch>
                  </pic:blipFill>
                  <pic:spPr bwMode="auto">
                    <a:xfrm>
                      <a:off x="0" y="0"/>
                      <a:ext cx="4800600" cy="2160270"/>
                    </a:xfrm>
                    <a:prstGeom prst="rect">
                      <a:avLst/>
                    </a:prstGeom>
                    <a:noFill/>
                    <a:ln w="9525">
                      <a:noFill/>
                      <a:headEnd/>
                      <a:tailEnd/>
                    </a:ln>
                  </pic:spPr>
                </pic:pic>
              </a:graphicData>
            </a:graphic>
          </wp:inline>
        </w:drawing>
      </w:r>
    </w:p>
    <w:p>
      <w:pPr>
        <w:pStyle w:val="ImageCaption"/>
      </w:pPr>
      <w:r>
        <w:t xml:space="preserve">Quarterly population stability index of the score. The reproduced original model (dashed) breaks the 0.25 threshold from late 2013.</w:t>
      </w:r>
    </w:p>
    <w:p>
      <w:pPr>
        <w:pStyle w:val="BodyText"/>
      </w:pPr>
      <w:r>
        <w:t xml:space="preserve">This is the validation conclusion on the loan-age feature: it adds measurable apparent power in a random test, it drifts mechanically out of time, and it should be removed (finding F-01). The rebuilt scorecards do not contain it.</w:t>
      </w:r>
    </w:p>
    <w:bookmarkEnd w:id="62"/>
    <w:bookmarkEnd w:id="63"/>
    <w:bookmarkStart w:id="66" w:name="validation-framework-and-thresholds"/>
    <w:p>
      <w:pPr>
        <w:pStyle w:val="Heading1"/>
      </w:pPr>
      <w:r>
        <w:rPr>
          <w:rStyle w:val="SectionNumber"/>
        </w:rPr>
        <w:t xml:space="preserve">10</w:t>
      </w:r>
      <w:r>
        <w:tab/>
      </w:r>
      <w:r>
        <w:t xml:space="preserve">Validation framework and thresholds</w:t>
      </w:r>
    </w:p>
    <w:bookmarkStart w:id="64" w:name="structure"/>
    <w:p>
      <w:pPr>
        <w:pStyle w:val="Heading2"/>
      </w:pPr>
      <w:r>
        <w:rPr>
          <w:rStyle w:val="SectionNumber"/>
        </w:rPr>
        <w:t xml:space="preserve">10.1</w:t>
      </w:r>
      <w:r>
        <w:tab/>
      </w:r>
      <w:r>
        <w:t xml:space="preserve">Structure</w:t>
      </w:r>
    </w:p>
    <w:p>
      <w:pPr>
        <w:pStyle w:val="FirstParagraph"/>
      </w:pPr>
      <w:r>
        <w:t xml:space="preserve">Every test is run through one function layer (</w:t>
      </w:r>
      <w:r>
        <w:rPr>
          <w:rStyle w:val="VerbatimChar"/>
        </w:rPr>
        <w:t xml:space="preserve">validation.py</w:t>
      </w:r>
      <w:r>
        <w:t xml:space="preserve">,</w:t>
      </w:r>
      <w:r>
        <w:t xml:space="preserve"> </w:t>
      </w:r>
      <w:r>
        <w:rPr>
          <w:rStyle w:val="VerbatimChar"/>
        </w:rPr>
        <w:t xml:space="preserve">stability.py</w:t>
      </w:r>
      <w:r>
        <w:t xml:space="preserve">,</w:t>
      </w:r>
      <w:r>
        <w:t xml:space="preserve"> </w:t>
      </w:r>
      <w:r>
        <w:rPr>
          <w:rStyle w:val="VerbatimChar"/>
        </w:rPr>
        <w:t xml:space="preserve">benchmark.py</w:t>
      </w:r>
      <w:r>
        <w:t xml:space="preserve">) that returns a row with the test name, model, sample, value, threshold text and a traffic light.</w:t>
      </w:r>
      <w:r>
        <w:t xml:space="preserve"> </w:t>
      </w:r>
      <w:r>
        <w:rPr>
          <w:rStyle w:val="VerbatimChar"/>
        </w:rPr>
        <w:t xml:space="preserve">validation.run_battery</w:t>
      </w:r>
      <w:r>
        <w:t xml:space="preserve"> </w:t>
      </w:r>
      <w:r>
        <w:t xml:space="preserve">runs the full battery for every model on every applicable sample and writes</w:t>
      </w:r>
      <w:r>
        <w:t xml:space="preserve"> </w:t>
      </w:r>
      <w:r>
        <w:rPr>
          <w:rStyle w:val="VerbatimChar"/>
        </w:rPr>
        <w:t xml:space="preserve">validation_results.csv</w:t>
      </w:r>
      <w:r>
        <w:t xml:space="preserve">, so the tables in this document are views of that file. The tests fall into five families: discrimination (Gini, KS, deciles), calibration (central tendency, slope and intercept, Hosmer-Lemeshow, binomial by grade), stability (PSI, CSI), benchmarking (against sub_grade and between models) and outcomes (expected loss versus realized loss).</w:t>
      </w:r>
    </w:p>
    <w:bookmarkEnd w:id="64"/>
    <w:bookmarkStart w:id="65" w:name="thresholds"/>
    <w:p>
      <w:pPr>
        <w:pStyle w:val="Heading2"/>
      </w:pPr>
      <w:r>
        <w:rPr>
          <w:rStyle w:val="SectionNumber"/>
        </w:rPr>
        <w:t xml:space="preserve">10.2</w:t>
      </w:r>
      <w:r>
        <w:tab/>
      </w:r>
      <w:r>
        <w:t xml:space="preserve">Thresholds</w:t>
      </w:r>
    </w:p>
    <w:p>
      <w:pPr>
        <w:pStyle w:val="TableCaption"/>
      </w:pPr>
      <w:r>
        <w:t xml:space="preserve">Traffic-light thresholds (</w:t>
      </w:r>
      <w:r>
        <w:rPr>
          <w:rStyle w:val="VerbatimChar"/>
        </w:rPr>
        <w:t xml:space="preserve">config.THRESHOLDS</w:t>
      </w:r>
      <w:r>
        <w:t xml:space="preserve">).</w:t>
      </w:r>
    </w:p>
    <w:tbl>
      <w:tblPr>
        <w:tblStyle w:val="Table"/>
        <w:tblW w:type="pct" w:w="5000"/>
        <w:tblLayout w:type="fixed"/>
        <w:tblLook w:firstRow="1" w:lastRow="0" w:firstColumn="0" w:lastColumn="0" w:noHBand="0" w:noVBand="0" w:val="0020"/>
        <w:tblCaption w:val="Traffic-light thresholds (config.THRESHOLD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00"/>
        <w:gridCol w:w="2217"/>
        <w:gridCol w:w="2217"/>
        <w:gridCol w:w="1584"/>
      </w:tblGrid>
      <w:tr>
        <w:trPr>
          <w:tblHeader w:val="on"/>
        </w:trPr>
        <w:tc>
          <w:tcPr/>
          <w:p>
            <w:pPr>
              <w:pStyle w:val="Compact"/>
              <w:jc w:val="left"/>
            </w:pPr>
            <w:r>
              <w:rPr>
                <w:sz w:val="17"/>
              </w:rPr>
              <w:t xml:space="preserve">Test</w:t>
            </w:r>
          </w:p>
        </w:tc>
        <w:tc>
          <w:tcPr/>
          <w:p>
            <w:pPr>
              <w:pStyle w:val="Compact"/>
              <w:jc w:val="right"/>
            </w:pPr>
            <w:r>
              <w:rPr>
                <w:sz w:val="17"/>
              </w:rPr>
              <w:t xml:space="preserve">Green</w:t>
            </w:r>
          </w:p>
        </w:tc>
        <w:tc>
          <w:tcPr/>
          <w:p>
            <w:pPr>
              <w:pStyle w:val="Compact"/>
              <w:jc w:val="right"/>
            </w:pPr>
            <w:r>
              <w:rPr>
                <w:sz w:val="17"/>
              </w:rPr>
              <w:t xml:space="preserve">Amber</w:t>
            </w:r>
          </w:p>
        </w:tc>
        <w:tc>
          <w:tcPr/>
          <w:p>
            <w:pPr>
              <w:pStyle w:val="Compact"/>
              <w:jc w:val="right"/>
            </w:pPr>
            <w:r>
              <w:rPr>
                <w:sz w:val="17"/>
              </w:rPr>
              <w:t xml:space="preserve">Red</w:t>
            </w:r>
          </w:p>
        </w:tc>
      </w:tr>
      <w:tr>
        <w:tc>
          <w:tcPr/>
          <w:p>
            <w:pPr>
              <w:pStyle w:val="Compact"/>
              <w:jc w:val="left"/>
            </w:pPr>
            <w:r>
              <w:rPr>
                <w:sz w:val="17"/>
              </w:rPr>
              <w:t xml:space="preserve">Gini</w:t>
            </w:r>
          </w:p>
        </w:tc>
        <w:tc>
          <w:tcPr/>
          <w:p>
            <w:pPr>
              <w:pStyle w:val="Compact"/>
              <w:jc w:val="right"/>
            </w:pPr>
            <w:r>
              <w:rPr>
                <w:sz w:val="17"/>
              </w:rPr>
              <w:t xml:space="preserve">at least 0.40</w:t>
            </w:r>
          </w:p>
        </w:tc>
        <w:tc>
          <w:tcPr/>
          <w:p>
            <w:pPr>
              <w:pStyle w:val="Compact"/>
              <w:jc w:val="right"/>
            </w:pPr>
            <w:r>
              <w:rPr>
                <w:sz w:val="17"/>
              </w:rPr>
              <w:t xml:space="preserve">at least 0.30</w:t>
            </w:r>
          </w:p>
        </w:tc>
        <w:tc>
          <w:tcPr/>
          <w:p>
            <w:pPr>
              <w:pStyle w:val="Compact"/>
              <w:jc w:val="right"/>
            </w:pPr>
            <w:r>
              <w:rPr>
                <w:sz w:val="17"/>
              </w:rPr>
              <w:t xml:space="preserve">below 0.30</w:t>
            </w:r>
          </w:p>
        </w:tc>
      </w:tr>
      <w:tr>
        <w:tc>
          <w:tcPr/>
          <w:p>
            <w:pPr>
              <w:pStyle w:val="Compact"/>
              <w:jc w:val="left"/>
            </w:pPr>
            <w:r>
              <w:rPr>
                <w:sz w:val="17"/>
              </w:rPr>
              <w:t xml:space="preserve">KS</w:t>
            </w:r>
          </w:p>
        </w:tc>
        <w:tc>
          <w:tcPr/>
          <w:p>
            <w:pPr>
              <w:pStyle w:val="Compact"/>
              <w:jc w:val="right"/>
            </w:pPr>
            <w:r>
              <w:rPr>
                <w:sz w:val="17"/>
              </w:rPr>
              <w:t xml:space="preserve">at least 0.30</w:t>
            </w:r>
          </w:p>
        </w:tc>
        <w:tc>
          <w:tcPr/>
          <w:p>
            <w:pPr>
              <w:pStyle w:val="Compact"/>
              <w:jc w:val="right"/>
            </w:pPr>
            <w:r>
              <w:rPr>
                <w:sz w:val="17"/>
              </w:rPr>
              <w:t xml:space="preserve">at least 0.20</w:t>
            </w:r>
          </w:p>
        </w:tc>
        <w:tc>
          <w:tcPr/>
          <w:p>
            <w:pPr>
              <w:pStyle w:val="Compact"/>
              <w:jc w:val="right"/>
            </w:pPr>
            <w:r>
              <w:rPr>
                <w:sz w:val="17"/>
              </w:rPr>
              <w:t xml:space="preserve">below 0.20</w:t>
            </w:r>
          </w:p>
        </w:tc>
      </w:tr>
      <w:tr>
        <w:tc>
          <w:tcPr/>
          <w:p>
            <w:pPr>
              <w:pStyle w:val="Compact"/>
              <w:jc w:val="left"/>
            </w:pPr>
            <w:r>
              <w:rPr>
                <w:sz w:val="17"/>
              </w:rPr>
              <w:t xml:space="preserve">Gini decay, holdout to out-of-time</w:t>
            </w:r>
          </w:p>
        </w:tc>
        <w:tc>
          <w:tcPr/>
          <w:p>
            <w:pPr>
              <w:pStyle w:val="Compact"/>
              <w:jc w:val="right"/>
            </w:pPr>
            <w:r>
              <w:rPr>
                <w:sz w:val="17"/>
              </w:rPr>
              <w:t xml:space="preserve">at most 10%</w:t>
            </w:r>
          </w:p>
        </w:tc>
        <w:tc>
          <w:tcPr/>
          <w:p>
            <w:pPr>
              <w:pStyle w:val="Compact"/>
              <w:jc w:val="right"/>
            </w:pPr>
            <w:r>
              <w:rPr>
                <w:sz w:val="17"/>
              </w:rPr>
              <w:t xml:space="preserve">at most 20%</w:t>
            </w:r>
          </w:p>
        </w:tc>
        <w:tc>
          <w:tcPr/>
          <w:p>
            <w:pPr>
              <w:pStyle w:val="Compact"/>
              <w:jc w:val="right"/>
            </w:pPr>
            <w:r>
              <w:rPr>
                <w:sz w:val="17"/>
              </w:rPr>
              <w:t xml:space="preserve">above 20%</w:t>
            </w:r>
          </w:p>
        </w:tc>
      </w:tr>
      <w:tr>
        <w:tc>
          <w:tcPr/>
          <w:p>
            <w:pPr>
              <w:pStyle w:val="Compact"/>
              <w:jc w:val="left"/>
            </w:pPr>
            <w:r>
              <w:rPr>
                <w:sz w:val="17"/>
              </w:rPr>
              <w:t xml:space="preserve">Score or feature PSI</w:t>
            </w:r>
          </w:p>
        </w:tc>
        <w:tc>
          <w:tcPr/>
          <w:p>
            <w:pPr>
              <w:pStyle w:val="Compact"/>
              <w:jc w:val="right"/>
            </w:pPr>
            <w:r>
              <w:rPr>
                <w:sz w:val="17"/>
              </w:rPr>
              <w:t xml:space="preserve">at most 0.10</w:t>
            </w:r>
          </w:p>
        </w:tc>
        <w:tc>
          <w:tcPr/>
          <w:p>
            <w:pPr>
              <w:pStyle w:val="Compact"/>
              <w:jc w:val="right"/>
            </w:pPr>
            <w:r>
              <w:rPr>
                <w:sz w:val="17"/>
              </w:rPr>
              <w:t xml:space="preserve">at most 0.25</w:t>
            </w:r>
          </w:p>
        </w:tc>
        <w:tc>
          <w:tcPr/>
          <w:p>
            <w:pPr>
              <w:pStyle w:val="Compact"/>
              <w:jc w:val="right"/>
            </w:pPr>
            <w:r>
              <w:rPr>
                <w:sz w:val="17"/>
              </w:rPr>
              <w:t xml:space="preserve">above 0.25</w:t>
            </w:r>
          </w:p>
        </w:tc>
      </w:tr>
      <w:tr>
        <w:tc>
          <w:tcPr/>
          <w:p>
            <w:pPr>
              <w:pStyle w:val="Compact"/>
              <w:jc w:val="left"/>
            </w:pPr>
            <w:r>
              <w:rPr>
                <w:sz w:val="17"/>
              </w:rPr>
              <w:t xml:space="preserve">Hosmer-Lemeshow p-value</w:t>
            </w:r>
          </w:p>
        </w:tc>
        <w:tc>
          <w:tcPr/>
          <w:p>
            <w:pPr>
              <w:pStyle w:val="Compact"/>
              <w:jc w:val="right"/>
            </w:pPr>
            <w:r>
              <w:rPr>
                <w:sz w:val="17"/>
              </w:rPr>
              <w:t xml:space="preserve">at least 0.05</w:t>
            </w:r>
          </w:p>
        </w:tc>
        <w:tc>
          <w:tcPr/>
          <w:p>
            <w:pPr>
              <w:pStyle w:val="Compact"/>
              <w:jc w:val="right"/>
            </w:pPr>
            <w:r>
              <w:rPr>
                <w:sz w:val="17"/>
              </w:rPr>
              <w:t xml:space="preserve">at least 0.01</w:t>
            </w:r>
          </w:p>
        </w:tc>
        <w:tc>
          <w:tcPr/>
          <w:p>
            <w:pPr>
              <w:pStyle w:val="Compact"/>
              <w:jc w:val="right"/>
            </w:pPr>
            <w:r>
              <w:rPr>
                <w:sz w:val="17"/>
              </w:rPr>
              <w:t xml:space="preserve">below 0.01</w:t>
            </w:r>
          </w:p>
        </w:tc>
      </w:tr>
      <w:tr>
        <w:tc>
          <w:tcPr/>
          <w:p>
            <w:pPr>
              <w:pStyle w:val="Compact"/>
              <w:jc w:val="left"/>
            </w:pPr>
            <w:r>
              <w:rPr>
                <w:sz w:val="17"/>
              </w:rPr>
              <w:t xml:space="preserve">Grade binomial p-value (Jeffreys)</w:t>
            </w:r>
          </w:p>
        </w:tc>
        <w:tc>
          <w:tcPr/>
          <w:p>
            <w:pPr>
              <w:pStyle w:val="Compact"/>
              <w:jc w:val="right"/>
            </w:pPr>
            <w:r>
              <w:rPr>
                <w:sz w:val="17"/>
              </w:rPr>
              <w:t xml:space="preserve">at least 0.05</w:t>
            </w:r>
          </w:p>
        </w:tc>
        <w:tc>
          <w:tcPr/>
          <w:p>
            <w:pPr>
              <w:pStyle w:val="Compact"/>
              <w:jc w:val="right"/>
            </w:pPr>
            <w:r>
              <w:rPr>
                <w:sz w:val="17"/>
              </w:rPr>
              <w:t xml:space="preserve">at least 0.0001</w:t>
            </w:r>
          </w:p>
        </w:tc>
        <w:tc>
          <w:tcPr/>
          <w:p>
            <w:pPr>
              <w:pStyle w:val="Compact"/>
              <w:jc w:val="right"/>
            </w:pPr>
            <w:r>
              <w:rPr>
                <w:sz w:val="17"/>
              </w:rPr>
              <w:t xml:space="preserve">below 0.0001</w:t>
            </w:r>
          </w:p>
        </w:tc>
      </w:tr>
      <w:tr>
        <w:tc>
          <w:tcPr/>
          <w:p>
            <w:pPr>
              <w:pStyle w:val="Compact"/>
              <w:jc w:val="left"/>
            </w:pPr>
            <w:r>
              <w:rPr>
                <w:sz w:val="17"/>
              </w:rPr>
              <w:t xml:space="preserve">Central tendency, relative deviation</w:t>
            </w:r>
          </w:p>
        </w:tc>
        <w:tc>
          <w:tcPr/>
          <w:p>
            <w:pPr>
              <w:pStyle w:val="Compact"/>
              <w:jc w:val="right"/>
            </w:pPr>
            <w:r>
              <w:rPr>
                <w:sz w:val="17"/>
              </w:rPr>
              <w:t xml:space="preserve">at most 10%</w:t>
            </w:r>
          </w:p>
        </w:tc>
        <w:tc>
          <w:tcPr/>
          <w:p>
            <w:pPr>
              <w:pStyle w:val="Compact"/>
              <w:jc w:val="right"/>
            </w:pPr>
            <w:r>
              <w:rPr>
                <w:sz w:val="17"/>
              </w:rPr>
              <w:t xml:space="preserve">at most 25%</w:t>
            </w:r>
          </w:p>
        </w:tc>
        <w:tc>
          <w:tcPr/>
          <w:p>
            <w:pPr>
              <w:pStyle w:val="Compact"/>
              <w:jc w:val="right"/>
            </w:pPr>
            <w:r>
              <w:rPr>
                <w:sz w:val="17"/>
              </w:rPr>
              <w:t xml:space="preserve">above 25%</w:t>
            </w:r>
          </w:p>
        </w:tc>
      </w:tr>
      <w:tr>
        <w:tc>
          <w:tcPr/>
          <w:p>
            <w:pPr>
              <w:pStyle w:val="Compact"/>
              <w:jc w:val="left"/>
            </w:pPr>
            <w:r>
              <w:rPr>
                <w:sz w:val="17"/>
              </w:rPr>
              <w:t xml:space="preserve">Calibration slope</w:t>
            </w:r>
          </w:p>
        </w:tc>
        <w:tc>
          <w:tcPr/>
          <w:p>
            <w:pPr>
              <w:pStyle w:val="Compact"/>
              <w:jc w:val="right"/>
            </w:pPr>
            <w:r>
              <w:rPr>
                <w:sz w:val="17"/>
              </w:rPr>
              <w:t xml:space="preserve">0.9 to 1.1</w:t>
            </w:r>
          </w:p>
        </w:tc>
        <w:tc>
          <w:tcPr/>
          <w:p>
            <w:pPr>
              <w:pStyle w:val="Compact"/>
              <w:jc w:val="right"/>
            </w:pPr>
            <w:r>
              <w:rPr>
                <w:sz w:val="17"/>
              </w:rPr>
              <w:t xml:space="preserve">0.8 to 1.2</w:t>
            </w:r>
          </w:p>
        </w:tc>
        <w:tc>
          <w:tcPr/>
          <w:p>
            <w:pPr>
              <w:pStyle w:val="Compact"/>
              <w:jc w:val="right"/>
            </w:pPr>
            <w:r>
              <w:rPr>
                <w:sz w:val="17"/>
              </w:rPr>
              <w:t xml:space="preserve">outside</w:t>
            </w:r>
          </w:p>
        </w:tc>
      </w:tr>
      <w:tr>
        <w:tc>
          <w:tcPr/>
          <w:p>
            <w:pPr>
              <w:pStyle w:val="Compact"/>
              <w:jc w:val="left"/>
            </w:pPr>
            <w:r>
              <w:rPr>
                <w:sz w:val="17"/>
              </w:rPr>
              <w:t xml:space="preserve">Decile rank-order inversions</w:t>
            </w:r>
          </w:p>
        </w:tc>
        <w:tc>
          <w:tcPr/>
          <w:p>
            <w:pPr>
              <w:pStyle w:val="Compact"/>
              <w:jc w:val="right"/>
            </w:pPr>
            <w:r>
              <w:rPr>
                <w:sz w:val="17"/>
              </w:rPr>
              <w:t xml:space="preserve">0</w:t>
            </w:r>
          </w:p>
        </w:tc>
        <w:tc>
          <w:tcPr/>
          <w:p>
            <w:pPr>
              <w:pStyle w:val="Compact"/>
              <w:jc w:val="right"/>
            </w:pPr>
            <w:r>
              <w:rPr>
                <w:sz w:val="17"/>
              </w:rPr>
              <w:t xml:space="preserve">at most 2</w:t>
            </w:r>
          </w:p>
        </w:tc>
        <w:tc>
          <w:tcPr/>
          <w:p>
            <w:pPr>
              <w:pStyle w:val="Compact"/>
              <w:jc w:val="right"/>
            </w:pPr>
            <w:r>
              <w:rPr>
                <w:sz w:val="17"/>
              </w:rPr>
              <w:t xml:space="preserve">more than 2</w:t>
            </w:r>
          </w:p>
        </w:tc>
      </w:tr>
    </w:tbl>
    <w:p>
      <w:pPr>
        <w:pStyle w:val="BodyText"/>
      </w:pPr>
      <w:r>
        <w:t xml:space="preserve">These thresholds are common practitioner conventions chosen for this project. The PSI bands of 0.10 and 0.25 are the usual industry rule of thumb. The Gini and KS levels are generic and not tuned to unsecured consumer lending, where a Gini of 0.35 may be reasonable for a platform whose applicants were already screened, so Amber on discrimination should be read as "below a generic target" rather than "defective". The binomial traffic light is used by analogy with the Basel backtesting traffic light, which assigns green, yellow and red zones to the number of exceptions of a value-at-risk model (Basel Committee, 1996); the zone cut-offs here are this project's own p-value limits, not Basel's.</w:t>
      </w:r>
    </w:p>
    <w:p>
      <w:pPr>
        <w:pStyle w:val="BodyText"/>
      </w:pPr>
      <w:r>
        <w:t xml:space="preserve">Benchmark rule: a model is Green against sub_grade if its AUC is higher and the DeLong test is significant at 5%, Amber if higher but not significant, and Red if it does not beat the benchmark. Expected-loss back-tests are rated by the ratio of expected to realized loss: Green within 10%, Amber within 25%, Red beyond.</w:t>
      </w:r>
    </w:p>
    <w:bookmarkEnd w:id="65"/>
    <w:bookmarkEnd w:id="66"/>
    <w:bookmarkStart w:id="87" w:name="X4f54e1d7b393bb5548ea4c379438bdc9626e0a3"/>
    <w:p>
      <w:pPr>
        <w:pStyle w:val="Heading1"/>
      </w:pPr>
      <w:r>
        <w:rPr>
          <w:rStyle w:val="SectionNumber"/>
        </w:rPr>
        <w:t xml:space="preserve">11</w:t>
      </w:r>
      <w:r>
        <w:tab/>
      </w:r>
      <w:r>
        <w:t xml:space="preserve">Tests: formulas, worked examples and results</w:t>
      </w:r>
    </w:p>
    <w:bookmarkStart w:id="76" w:name="discrimination-auc-gini-and-ks"/>
    <w:p>
      <w:pPr>
        <w:pStyle w:val="Heading2"/>
      </w:pPr>
      <w:r>
        <w:rPr>
          <w:rStyle w:val="SectionNumber"/>
        </w:rPr>
        <w:t xml:space="preserve">11.1</w:t>
      </w:r>
      <w:r>
        <w:tab/>
      </w:r>
      <w:r>
        <w:t xml:space="preserve">Discrimination: AUC, Gini and KS</w:t>
      </w:r>
    </w:p>
    <w:p>
      <w:pPr>
        <w:pStyle w:val="FirstParagraph"/>
      </w:pPr>
      <w:r>
        <w:rPr>
          <w:b/>
          <w:bCs/>
        </w:rPr>
        <w:t xml:space="preserve">Intuition.</w:t>
      </w:r>
      <w:r>
        <w:t xml:space="preserve"> </w:t>
      </w:r>
      <w:r>
        <w:t xml:space="preserve">A good PD model gives bad loans higher PDs than good loans. The</w:t>
      </w:r>
      <w:r>
        <w:t xml:space="preserve"> </w:t>
      </w:r>
      <w:r>
        <w:rPr>
          <w:b/>
          <w:bCs/>
        </w:rPr>
        <w:t xml:space="preserve">AUC</w:t>
      </w:r>
      <w:r>
        <w:t xml:space="preserve"> </w:t>
      </w:r>
      <w:r>
        <w:t xml:space="preserve">is the probability that a randomly chosen bad loan has a higher predicted PD than a randomly chosen good loan (ties count half). The</w:t>
      </w:r>
      <w:r>
        <w:t xml:space="preserve"> </w:t>
      </w:r>
      <w:r>
        <w:rPr>
          <w:b/>
          <w:bCs/>
        </w:rPr>
        <w:t xml:space="preserve">Gini</w:t>
      </w:r>
      <w:r>
        <w:t xml:space="preserve"> </w:t>
      </w:r>
      <w:r>
        <w:t xml:space="preserve">(accuracy ratio) rescales it so that 0 is a random model and 1 a perfect one, and the</w:t>
      </w:r>
      <w:r>
        <w:t xml:space="preserve"> </w:t>
      </w:r>
      <w:r>
        <w:rPr>
          <w:b/>
          <w:bCs/>
        </w:rPr>
        <w:t xml:space="preserve">KS</w:t>
      </w:r>
      <w:r>
        <w:t xml:space="preserve"> </w:t>
      </w:r>
      <w:r>
        <w:t xml:space="preserve">statistic is the largest gap between the cumulative share of bads and the cumulative share of goods when loans are sorted from riskiest to safest.</w:t>
      </w:r>
    </w:p>
    <w:p>
      <w:pPr>
        <w:pStyle w:val="BodyText"/>
      </w:pPr>
      <m:oMathPara>
        <m:oMathParaPr>
          <m:jc m:val="center"/>
        </m:oMathParaPr>
        <m:oMath>
          <m:r>
            <m:rPr>
              <m:sty m:val="p"/>
            </m:rPr>
            <m:t>A</m:t>
          </m:r>
          <m:r>
            <m:rPr>
              <m:sty m:val="p"/>
            </m:rPr>
            <m:t>U</m:t>
          </m:r>
          <m:r>
            <m:rPr>
              <m:sty m:val="p"/>
            </m:rPr>
            <m:t>C</m:t>
          </m:r>
          <m:r>
            <m:rPr>
              <m:sty m:val="p"/>
            </m:rPr>
            <m:t>=</m:t>
          </m:r>
          <m:f>
            <m:fPr>
              <m:type m:val="bar"/>
            </m:fPr>
            <m:num>
              <m:r>
                <m:t>1</m:t>
              </m:r>
            </m:num>
            <m:den>
              <m:sSub>
                <m:e>
                  <m:r>
                    <m:t>n</m:t>
                  </m:r>
                </m:e>
                <m:sub>
                  <m:r>
                    <m:t>1</m:t>
                  </m:r>
                </m:sub>
              </m:sSub>
              <m:sSub>
                <m:e>
                  <m:r>
                    <m:t>n</m:t>
                  </m:r>
                </m:e>
                <m:sub>
                  <m:r>
                    <m:t>0</m:t>
                  </m:r>
                </m:sub>
              </m:sSub>
            </m:den>
          </m:f>
          <m:nary>
            <m:naryPr>
              <m:chr m:val="∑"/>
              <m:limLoc m:val="undOvr"/>
              <m:subHide m:val="off"/>
              <m:supHide m:val="on"/>
            </m:naryPr>
            <m:sub>
              <m:r>
                <m:t>i</m:t>
              </m:r>
              <m:r>
                <m:rPr>
                  <m:sty m:val="p"/>
                </m:rPr>
                <m:t>:</m:t>
              </m:r>
              <m:r>
                <m:t> </m:t>
              </m:r>
              <m:sSub>
                <m:e>
                  <m:r>
                    <m:t>y</m:t>
                  </m:r>
                </m:e>
                <m:sub>
                  <m:r>
                    <m:t>i</m:t>
                  </m:r>
                </m:sub>
              </m:sSub>
              <m:r>
                <m:rPr>
                  <m:sty m:val="p"/>
                </m:rPr>
                <m:t>=</m:t>
              </m:r>
              <m:r>
                <m:t>1</m:t>
              </m:r>
            </m:sub>
            <m:sup>
              <m:r>
                <m:t>​</m:t>
              </m:r>
            </m:sup>
            <m:e>
              <m:r>
                <m:t> </m:t>
              </m:r>
            </m:e>
          </m:nary>
          <m:nary>
            <m:naryPr>
              <m:chr m:val="∑"/>
              <m:limLoc m:val="undOvr"/>
              <m:subHide m:val="off"/>
              <m:supHide m:val="on"/>
            </m:naryPr>
            <m:sub>
              <m:r>
                <m:t>j</m:t>
              </m:r>
              <m:r>
                <m:rPr>
                  <m:sty m:val="p"/>
                </m:rPr>
                <m:t>:</m:t>
              </m:r>
              <m:r>
                <m:t> </m:t>
              </m:r>
              <m:sSub>
                <m:e>
                  <m:r>
                    <m:t>y</m:t>
                  </m:r>
                </m:e>
                <m:sub>
                  <m:r>
                    <m:t>j</m:t>
                  </m:r>
                </m:sub>
              </m:sSub>
              <m:r>
                <m:rPr>
                  <m:sty m:val="p"/>
                </m:rPr>
                <m:t>=</m:t>
              </m:r>
              <m:r>
                <m:t>0</m:t>
              </m:r>
            </m:sub>
            <m:sup>
              <m:r>
                <m:t>​</m:t>
              </m:r>
            </m:sup>
            <m:e>
              <m:d>
                <m:dPr>
                  <m:begChr m:val="["/>
                  <m:sepChr m:val=""/>
                  <m:endChr m:val="]"/>
                  <m:grow/>
                </m:dPr>
                <m:e>
                  <m:r>
                    <m:rPr>
                      <m:scr m:val="double-struck"/>
                      <m:sty m:val="p"/>
                    </m:rPr>
                    <m:t>1</m:t>
                  </m:r>
                  <m:r>
                    <m:rPr>
                      <m:sty m:val="p"/>
                    </m:rPr>
                    <m:t>(</m:t>
                  </m:r>
                  <m:sSub>
                    <m:e>
                      <m:r>
                        <m:t>p</m:t>
                      </m:r>
                    </m:e>
                    <m:sub>
                      <m:r>
                        <m:t>i</m:t>
                      </m:r>
                    </m:sub>
                  </m:sSub>
                  <m:r>
                    <m:rPr>
                      <m:sty m:val="p"/>
                    </m:rPr>
                    <m:t>&gt;</m:t>
                  </m:r>
                  <m:sSub>
                    <m:e>
                      <m:r>
                        <m:t>p</m:t>
                      </m:r>
                    </m:e>
                    <m:sub>
                      <m:r>
                        <m:t>j</m:t>
                      </m:r>
                    </m:sub>
                  </m:sSub>
                  <m:r>
                    <m:rPr>
                      <m:sty m:val="p"/>
                    </m:rPr>
                    <m:t>)</m:t>
                  </m:r>
                  <m:r>
                    <m:rPr>
                      <m:sty m:val="p"/>
                    </m:rPr>
                    <m:t>+</m:t>
                  </m:r>
                  <m:f>
                    <m:fPr>
                      <m:type m:val="lin"/>
                    </m:fPr>
                    <m:num>
                      <m:r>
                        <m:t>1</m:t>
                      </m:r>
                    </m:num>
                    <m:den>
                      <m:r>
                        <m:t>2</m:t>
                      </m:r>
                    </m:den>
                  </m:f>
                  <m:r>
                    <m:t> </m:t>
                  </m:r>
                  <m:r>
                    <m:rPr>
                      <m:scr m:val="double-struck"/>
                      <m:sty m:val="p"/>
                    </m:rPr>
                    <m:t>1</m:t>
                  </m:r>
                  <m:r>
                    <m:rPr>
                      <m:sty m:val="p"/>
                    </m:rPr>
                    <m:t>(</m:t>
                  </m:r>
                  <m:sSub>
                    <m:e>
                      <m:r>
                        <m:t>p</m:t>
                      </m:r>
                    </m:e>
                    <m:sub>
                      <m:r>
                        <m:t>i</m:t>
                      </m:r>
                    </m:sub>
                  </m:sSub>
                  <m:r>
                    <m:rPr>
                      <m:sty m:val="p"/>
                    </m:rPr>
                    <m:t>=</m:t>
                  </m:r>
                  <m:sSub>
                    <m:e>
                      <m:r>
                        <m:t>p</m:t>
                      </m:r>
                    </m:e>
                    <m:sub>
                      <m:r>
                        <m:t>j</m:t>
                      </m:r>
                    </m:sub>
                  </m:sSub>
                  <m:r>
                    <m:rPr>
                      <m:sty m:val="p"/>
                    </m:rPr>
                    <m:t>)</m:t>
                  </m:r>
                </m:e>
              </m:d>
            </m:e>
          </m:nary>
          <m:r>
            <m:rPr>
              <m:sty m:val="p"/>
            </m:rPr>
            <m:t>,</m:t>
          </m:r>
          <m:r>
            <m:t>  </m:t>
          </m:r>
          <m:r>
            <m:rPr>
              <m:sty m:val="p"/>
            </m:rPr>
            <m:t>G</m:t>
          </m:r>
          <m:r>
            <m:rPr>
              <m:sty m:val="p"/>
            </m:rPr>
            <m:t>i</m:t>
          </m:r>
          <m:r>
            <m:rPr>
              <m:sty m:val="p"/>
            </m:rPr>
            <m:t>n</m:t>
          </m:r>
          <m:r>
            <m:rPr>
              <m:sty m:val="p"/>
            </m:rPr>
            <m:t>i</m:t>
          </m:r>
          <m:r>
            <m:rPr>
              <m:sty m:val="p"/>
            </m:rPr>
            <m:t>=</m:t>
          </m:r>
          <m:r>
            <m:t>2</m:t>
          </m:r>
          <m:r>
            <m:t> </m:t>
          </m:r>
          <m:r>
            <m:rPr>
              <m:sty m:val="p"/>
            </m:rPr>
            <m:t>A</m:t>
          </m:r>
          <m:r>
            <m:rPr>
              <m:sty m:val="p"/>
            </m:rPr>
            <m:t>U</m:t>
          </m:r>
          <m:r>
            <m:rPr>
              <m:sty m:val="p"/>
            </m:rPr>
            <m:t>C</m:t>
          </m:r>
          <m:r>
            <m:rPr>
              <m:sty m:val="p"/>
            </m:rPr>
            <m:t>−</m:t>
          </m:r>
          <m:r>
            <m:t>1</m:t>
          </m:r>
          <m:r>
            <m:rPr>
              <m:sty m:val="p"/>
            </m:rPr>
            <m:t>,</m:t>
          </m:r>
          <m:r>
            <m:t>  </m:t>
          </m:r>
          <m:r>
            <m:rPr>
              <m:sty m:val="p"/>
            </m:rPr>
            <m:t>K</m:t>
          </m:r>
          <m:r>
            <m:rPr>
              <m:sty m:val="p"/>
            </m:rPr>
            <m:t>S</m:t>
          </m:r>
          <m:r>
            <m:rPr>
              <m:sty m:val="p"/>
            </m:rPr>
            <m:t>=</m:t>
          </m:r>
          <m:limLow>
            <m:e>
              <m:r>
                <m:rPr>
                  <m:sty m:val="p"/>
                </m:rPr>
                <m:t>max</m:t>
              </m:r>
            </m:e>
            <m:lim>
              <m:r>
                <m:t>t</m:t>
              </m:r>
            </m:lim>
          </m:limLow>
          <m:r>
            <m:rPr>
              <m:sty m:val="p"/>
            </m:rPr>
            <m:t>|</m:t>
          </m:r>
          <m:sSub>
            <m:e>
              <m:r>
                <m:t>F</m:t>
              </m:r>
            </m:e>
            <m:sub>
              <m:r>
                <m:t>1</m:t>
              </m:r>
            </m:sub>
          </m:sSub>
          <m:r>
            <m:rPr>
              <m:sty m:val="p"/>
            </m:rPr>
            <m:t>(</m:t>
          </m:r>
          <m:r>
            <m:t>t</m:t>
          </m:r>
          <m:r>
            <m:rPr>
              <m:sty m:val="p"/>
            </m:rPr>
            <m:t>)</m:t>
          </m:r>
          <m:r>
            <m:rPr>
              <m:sty m:val="p"/>
            </m:rPr>
            <m:t>−</m:t>
          </m:r>
          <m:sSub>
            <m:e>
              <m:r>
                <m:t>F</m:t>
              </m:r>
            </m:e>
            <m:sub>
              <m:r>
                <m:t>0</m:t>
              </m:r>
            </m:sub>
          </m:sSub>
          <m:r>
            <m:rPr>
              <m:sty m:val="p"/>
            </m:rPr>
            <m:t>(</m:t>
          </m:r>
          <m:r>
            <m:t>t</m:t>
          </m:r>
          <m:r>
            <m:rPr>
              <m:sty m:val="p"/>
            </m:rPr>
            <m:t>)</m:t>
          </m:r>
          <m:r>
            <m:rPr>
              <m:sty m:val="p"/>
            </m:rPr>
            <m:t>|</m:t>
          </m:r>
          <m:r>
            <m:rPr>
              <m:sty m:val="p"/>
            </m:rPr>
            <m:t>.</m:t>
          </m:r>
        </m:oMath>
      </m:oMathPara>
    </w:p>
    <w:p>
      <w:pPr>
        <w:pStyle w:val="FirstParagraph"/>
      </w:pPr>
      <w:r>
        <w:rPr>
          <w:b/>
          <w:bCs/>
        </w:rPr>
        <w:t xml:space="preserve">Worked toy example.</w:t>
      </w:r>
      <w:r>
        <w:t xml:space="preserve"> </w:t>
      </w:r>
      <w:r>
        <w:t xml:space="preserve">Six loans have predicted PDs 0.95, 0.85, 0.70, 0.55, 0.40, 0.20 and the first, second and fourth defaulted. There are</w:t>
      </w:r>
      <w:r>
        <w:t xml:space="preserve"> </w:t>
      </w:r>
      <m:oMath>
        <m:sSub>
          <m:e>
            <m:r>
              <m:t>n</m:t>
            </m:r>
          </m:e>
          <m:sub>
            <m:r>
              <m:t>1</m:t>
            </m:r>
          </m:sub>
        </m:sSub>
        <m:r>
          <m:rPr>
            <m:sty m:val="p"/>
          </m:rPr>
          <m:t>×</m:t>
        </m:r>
        <m:sSub>
          <m:e>
            <m:r>
              <m:t>n</m:t>
            </m:r>
          </m:e>
          <m:sub>
            <m:r>
              <m:t>0</m:t>
            </m:r>
          </m:sub>
        </m:sSub>
        <m:r>
          <m:rPr>
            <m:sty m:val="p"/>
          </m:rPr>
          <m:t>=</m:t>
        </m:r>
        <m:r>
          <m:t>3</m:t>
        </m:r>
        <m:r>
          <m:rPr>
            <m:sty m:val="p"/>
          </m:rPr>
          <m:t>×</m:t>
        </m:r>
        <m:r>
          <m:t>3</m:t>
        </m:r>
        <m:r>
          <m:rPr>
            <m:sty m:val="p"/>
          </m:rPr>
          <m:t>=</m:t>
        </m:r>
      </m:oMath>
      <w:r>
        <w:t xml:space="preserve"> </w:t>
      </w:r>
      <w:r>
        <w:t xml:space="preserve">9 bad-good pairs and 8 of them rank the bad loan higher, so AUC = 0.889 and Gini = 0.778. Sorting riskiest first and accumulating:</w:t>
      </w:r>
    </w:p>
    <w:p>
      <w:pPr>
        <w:pStyle w:val="TableCaption"/>
      </w:pPr>
      <w:r>
        <w:t xml:space="preserve">KS on the six-loan toy. The largest gap is the KS, 0.667.</w:t>
      </w:r>
    </w:p>
    <w:tbl>
      <w:tblPr>
        <w:tblStyle w:val="Table"/>
        <w:tblW w:type="pct" w:w="5000"/>
        <w:tblLayout w:type="fixed"/>
        <w:tblLook w:firstRow="1" w:lastRow="0" w:firstColumn="0" w:lastColumn="0" w:noHBand="0" w:noVBand="0" w:val="0020"/>
        <w:tblCaption w:val="KS on the six-loan toy. The largest gap is the KS, 0.667."/>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32"/>
        <w:gridCol w:w="1218"/>
        <w:gridCol w:w="304"/>
        <w:gridCol w:w="1827"/>
        <w:gridCol w:w="1929"/>
        <w:gridCol w:w="507"/>
      </w:tblGrid>
      <w:tr>
        <w:trPr>
          <w:tblHeader w:val="on"/>
        </w:trPr>
        <w:tc>
          <w:tcPr/>
          <w:p>
            <w:pPr>
              <w:pStyle w:val="Compact"/>
              <w:jc w:val="left"/>
            </w:pPr>
            <w:r>
              <w:rPr>
                <w:sz w:val="17"/>
              </w:rPr>
              <w:t xml:space="preserve">Rank (riskiest first)</w:t>
            </w:r>
          </w:p>
        </w:tc>
        <w:tc>
          <w:tcPr/>
          <w:p>
            <w:pPr>
              <w:pStyle w:val="Compact"/>
              <w:jc w:val="right"/>
            </w:pPr>
            <w:r>
              <w:rPr>
                <w:sz w:val="17"/>
              </w:rPr>
              <w:t xml:space="preserve">Predicted PD</w:t>
            </w:r>
          </w:p>
        </w:tc>
        <w:tc>
          <w:tcPr/>
          <w:p>
            <w:pPr>
              <w:pStyle w:val="Compact"/>
              <w:jc w:val="right"/>
            </w:pPr>
            <w:r>
              <w:rPr>
                <w:sz w:val="17"/>
              </w:rPr>
              <w:t xml:space="preserve">Bad</w:t>
            </w:r>
          </w:p>
        </w:tc>
        <w:tc>
          <w:tcPr/>
          <w:p>
            <w:pPr>
              <w:pStyle w:val="Compact"/>
              <w:jc w:val="right"/>
            </w:pPr>
            <w:r>
              <w:rPr>
                <w:sz w:val="17"/>
              </w:rPr>
              <w:t xml:space="preserve">Cum. share of bads</w:t>
            </w:r>
          </w:p>
        </w:tc>
        <w:tc>
          <w:tcPr/>
          <w:p>
            <w:pPr>
              <w:pStyle w:val="Compact"/>
              <w:jc w:val="right"/>
            </w:pPr>
            <w:r>
              <w:rPr>
                <w:sz w:val="17"/>
              </w:rPr>
              <w:t xml:space="preserve">Cum. share of goods</w:t>
            </w:r>
          </w:p>
        </w:tc>
        <w:tc>
          <w:tcPr/>
          <w:p>
            <w:pPr>
              <w:pStyle w:val="Compact"/>
              <w:jc w:val="right"/>
            </w:pPr>
            <w:r>
              <w:rPr>
                <w:sz w:val="17"/>
              </w:rPr>
              <w:t xml:space="preserve">Gap</w:t>
            </w:r>
          </w:p>
        </w:tc>
      </w:tr>
      <w:tr>
        <w:tc>
          <w:tcPr/>
          <w:p>
            <w:pPr>
              <w:pStyle w:val="Compact"/>
              <w:jc w:val="left"/>
            </w:pPr>
            <w:r>
              <w:rPr>
                <w:sz w:val="17"/>
              </w:rPr>
              <w:t xml:space="preserve">1</w:t>
            </w:r>
          </w:p>
        </w:tc>
        <w:tc>
          <w:tcPr/>
          <w:p>
            <w:pPr>
              <w:pStyle w:val="Compact"/>
              <w:jc w:val="right"/>
            </w:pPr>
            <w:r>
              <w:rPr>
                <w:sz w:val="17"/>
              </w:rPr>
              <w:t xml:space="preserve">0.95</w:t>
            </w:r>
          </w:p>
        </w:tc>
        <w:tc>
          <w:tcPr/>
          <w:p>
            <w:pPr>
              <w:pStyle w:val="Compact"/>
              <w:jc w:val="right"/>
            </w:pPr>
            <w:r>
              <w:rPr>
                <w:sz w:val="17"/>
              </w:rPr>
              <w:t xml:space="preserve">1</w:t>
            </w:r>
          </w:p>
        </w:tc>
        <w:tc>
          <w:tcPr/>
          <w:p>
            <w:pPr>
              <w:pStyle w:val="Compact"/>
              <w:jc w:val="right"/>
            </w:pPr>
            <w:r>
              <w:rPr>
                <w:sz w:val="17"/>
              </w:rPr>
              <w:t xml:space="preserve">0.333</w:t>
            </w:r>
          </w:p>
        </w:tc>
        <w:tc>
          <w:tcPr/>
          <w:p>
            <w:pPr>
              <w:pStyle w:val="Compact"/>
              <w:jc w:val="right"/>
            </w:pPr>
            <w:r>
              <w:rPr>
                <w:sz w:val="17"/>
              </w:rPr>
              <w:t xml:space="preserve">0.000</w:t>
            </w:r>
          </w:p>
        </w:tc>
        <w:tc>
          <w:tcPr/>
          <w:p>
            <w:pPr>
              <w:pStyle w:val="Compact"/>
              <w:jc w:val="right"/>
            </w:pPr>
            <w:r>
              <w:rPr>
                <w:sz w:val="17"/>
              </w:rPr>
              <w:t xml:space="preserve">0.333</w:t>
            </w:r>
          </w:p>
        </w:tc>
      </w:tr>
      <w:tr>
        <w:tc>
          <w:tcPr/>
          <w:p>
            <w:pPr>
              <w:pStyle w:val="Compact"/>
              <w:jc w:val="left"/>
            </w:pPr>
            <w:r>
              <w:rPr>
                <w:sz w:val="17"/>
              </w:rPr>
              <w:t xml:space="preserve">2</w:t>
            </w:r>
          </w:p>
        </w:tc>
        <w:tc>
          <w:tcPr/>
          <w:p>
            <w:pPr>
              <w:pStyle w:val="Compact"/>
              <w:jc w:val="right"/>
            </w:pPr>
            <w:r>
              <w:rPr>
                <w:sz w:val="17"/>
              </w:rPr>
              <w:t xml:space="preserve">0.85</w:t>
            </w:r>
          </w:p>
        </w:tc>
        <w:tc>
          <w:tcPr/>
          <w:p>
            <w:pPr>
              <w:pStyle w:val="Compact"/>
              <w:jc w:val="right"/>
            </w:pPr>
            <w:r>
              <w:rPr>
                <w:sz w:val="17"/>
              </w:rPr>
              <w:t xml:space="preserve">1</w:t>
            </w:r>
          </w:p>
        </w:tc>
        <w:tc>
          <w:tcPr/>
          <w:p>
            <w:pPr>
              <w:pStyle w:val="Compact"/>
              <w:jc w:val="right"/>
            </w:pPr>
            <w:r>
              <w:rPr>
                <w:sz w:val="17"/>
              </w:rPr>
              <w:t xml:space="preserve">0.667</w:t>
            </w:r>
          </w:p>
        </w:tc>
        <w:tc>
          <w:tcPr/>
          <w:p>
            <w:pPr>
              <w:pStyle w:val="Compact"/>
              <w:jc w:val="right"/>
            </w:pPr>
            <w:r>
              <w:rPr>
                <w:sz w:val="17"/>
              </w:rPr>
              <w:t xml:space="preserve">0.000</w:t>
            </w:r>
          </w:p>
        </w:tc>
        <w:tc>
          <w:tcPr/>
          <w:p>
            <w:pPr>
              <w:pStyle w:val="Compact"/>
              <w:jc w:val="right"/>
            </w:pPr>
            <w:r>
              <w:rPr>
                <w:sz w:val="17"/>
              </w:rPr>
              <w:t xml:space="preserve">0.667</w:t>
            </w:r>
          </w:p>
        </w:tc>
      </w:tr>
      <w:tr>
        <w:tc>
          <w:tcPr/>
          <w:p>
            <w:pPr>
              <w:pStyle w:val="Compact"/>
              <w:jc w:val="left"/>
            </w:pPr>
            <w:r>
              <w:rPr>
                <w:sz w:val="17"/>
              </w:rPr>
              <w:t xml:space="preserve">3</w:t>
            </w:r>
          </w:p>
        </w:tc>
        <w:tc>
          <w:tcPr/>
          <w:p>
            <w:pPr>
              <w:pStyle w:val="Compact"/>
              <w:jc w:val="right"/>
            </w:pPr>
            <w:r>
              <w:rPr>
                <w:sz w:val="17"/>
              </w:rPr>
              <w:t xml:space="preserve">0.70</w:t>
            </w:r>
          </w:p>
        </w:tc>
        <w:tc>
          <w:tcPr/>
          <w:p>
            <w:pPr>
              <w:pStyle w:val="Compact"/>
              <w:jc w:val="right"/>
            </w:pPr>
            <w:r>
              <w:rPr>
                <w:sz w:val="17"/>
              </w:rPr>
              <w:t xml:space="preserve">0</w:t>
            </w:r>
          </w:p>
        </w:tc>
        <w:tc>
          <w:tcPr/>
          <w:p>
            <w:pPr>
              <w:pStyle w:val="Compact"/>
              <w:jc w:val="right"/>
            </w:pPr>
            <w:r>
              <w:rPr>
                <w:sz w:val="17"/>
              </w:rPr>
              <w:t xml:space="preserve">0.667</w:t>
            </w:r>
          </w:p>
        </w:tc>
        <w:tc>
          <w:tcPr/>
          <w:p>
            <w:pPr>
              <w:pStyle w:val="Compact"/>
              <w:jc w:val="right"/>
            </w:pPr>
            <w:r>
              <w:rPr>
                <w:sz w:val="17"/>
              </w:rPr>
              <w:t xml:space="preserve">0.333</w:t>
            </w:r>
          </w:p>
        </w:tc>
        <w:tc>
          <w:tcPr/>
          <w:p>
            <w:pPr>
              <w:pStyle w:val="Compact"/>
              <w:jc w:val="right"/>
            </w:pPr>
            <w:r>
              <w:rPr>
                <w:sz w:val="17"/>
              </w:rPr>
              <w:t xml:space="preserve">0.333</w:t>
            </w:r>
          </w:p>
        </w:tc>
      </w:tr>
      <w:tr>
        <w:tc>
          <w:tcPr/>
          <w:p>
            <w:pPr>
              <w:pStyle w:val="Compact"/>
              <w:jc w:val="left"/>
            </w:pPr>
            <w:r>
              <w:rPr>
                <w:sz w:val="17"/>
              </w:rPr>
              <w:t xml:space="preserve">4</w:t>
            </w:r>
          </w:p>
        </w:tc>
        <w:tc>
          <w:tcPr/>
          <w:p>
            <w:pPr>
              <w:pStyle w:val="Compact"/>
              <w:jc w:val="right"/>
            </w:pPr>
            <w:r>
              <w:rPr>
                <w:sz w:val="17"/>
              </w:rPr>
              <w:t xml:space="preserve">0.55</w:t>
            </w:r>
          </w:p>
        </w:tc>
        <w:tc>
          <w:tcPr/>
          <w:p>
            <w:pPr>
              <w:pStyle w:val="Compact"/>
              <w:jc w:val="right"/>
            </w:pPr>
            <w:r>
              <w:rPr>
                <w:sz w:val="17"/>
              </w:rPr>
              <w:t xml:space="preserve">1</w:t>
            </w:r>
          </w:p>
        </w:tc>
        <w:tc>
          <w:tcPr/>
          <w:p>
            <w:pPr>
              <w:pStyle w:val="Compact"/>
              <w:jc w:val="right"/>
            </w:pPr>
            <w:r>
              <w:rPr>
                <w:sz w:val="17"/>
              </w:rPr>
              <w:t xml:space="preserve">1.000</w:t>
            </w:r>
          </w:p>
        </w:tc>
        <w:tc>
          <w:tcPr/>
          <w:p>
            <w:pPr>
              <w:pStyle w:val="Compact"/>
              <w:jc w:val="right"/>
            </w:pPr>
            <w:r>
              <w:rPr>
                <w:sz w:val="17"/>
              </w:rPr>
              <w:t xml:space="preserve">0.333</w:t>
            </w:r>
          </w:p>
        </w:tc>
        <w:tc>
          <w:tcPr/>
          <w:p>
            <w:pPr>
              <w:pStyle w:val="Compact"/>
              <w:jc w:val="right"/>
            </w:pPr>
            <w:r>
              <w:rPr>
                <w:sz w:val="17"/>
              </w:rPr>
              <w:t xml:space="preserve">0.667</w:t>
            </w:r>
          </w:p>
        </w:tc>
      </w:tr>
      <w:tr>
        <w:tc>
          <w:tcPr/>
          <w:p>
            <w:pPr>
              <w:pStyle w:val="Compact"/>
              <w:jc w:val="left"/>
            </w:pPr>
            <w:r>
              <w:rPr>
                <w:sz w:val="17"/>
              </w:rPr>
              <w:t xml:space="preserve">5</w:t>
            </w:r>
          </w:p>
        </w:tc>
        <w:tc>
          <w:tcPr/>
          <w:p>
            <w:pPr>
              <w:pStyle w:val="Compact"/>
              <w:jc w:val="right"/>
            </w:pPr>
            <w:r>
              <w:rPr>
                <w:sz w:val="17"/>
              </w:rPr>
              <w:t xml:space="preserve">0.40</w:t>
            </w:r>
          </w:p>
        </w:tc>
        <w:tc>
          <w:tcPr/>
          <w:p>
            <w:pPr>
              <w:pStyle w:val="Compact"/>
              <w:jc w:val="right"/>
            </w:pPr>
            <w:r>
              <w:rPr>
                <w:sz w:val="17"/>
              </w:rPr>
              <w:t xml:space="preserve">0</w:t>
            </w:r>
          </w:p>
        </w:tc>
        <w:tc>
          <w:tcPr/>
          <w:p>
            <w:pPr>
              <w:pStyle w:val="Compact"/>
              <w:jc w:val="right"/>
            </w:pPr>
            <w:r>
              <w:rPr>
                <w:sz w:val="17"/>
              </w:rPr>
              <w:t xml:space="preserve">1.000</w:t>
            </w:r>
          </w:p>
        </w:tc>
        <w:tc>
          <w:tcPr/>
          <w:p>
            <w:pPr>
              <w:pStyle w:val="Compact"/>
              <w:jc w:val="right"/>
            </w:pPr>
            <w:r>
              <w:rPr>
                <w:sz w:val="17"/>
              </w:rPr>
              <w:t xml:space="preserve">0.667</w:t>
            </w:r>
          </w:p>
        </w:tc>
        <w:tc>
          <w:tcPr/>
          <w:p>
            <w:pPr>
              <w:pStyle w:val="Compact"/>
              <w:jc w:val="right"/>
            </w:pPr>
            <w:r>
              <w:rPr>
                <w:sz w:val="17"/>
              </w:rPr>
              <w:t xml:space="preserve">0.333</w:t>
            </w:r>
          </w:p>
        </w:tc>
      </w:tr>
      <w:tr>
        <w:tc>
          <w:tcPr/>
          <w:p>
            <w:pPr>
              <w:pStyle w:val="Compact"/>
              <w:jc w:val="left"/>
            </w:pPr>
            <w:r>
              <w:rPr>
                <w:sz w:val="17"/>
              </w:rPr>
              <w:t xml:space="preserve">6</w:t>
            </w:r>
          </w:p>
        </w:tc>
        <w:tc>
          <w:tcPr/>
          <w:p>
            <w:pPr>
              <w:pStyle w:val="Compact"/>
              <w:jc w:val="right"/>
            </w:pPr>
            <w:r>
              <w:rPr>
                <w:sz w:val="17"/>
              </w:rPr>
              <w:t xml:space="preserve">0.20</w:t>
            </w:r>
          </w:p>
        </w:tc>
        <w:tc>
          <w:tcPr/>
          <w:p>
            <w:pPr>
              <w:pStyle w:val="Compact"/>
              <w:jc w:val="right"/>
            </w:pPr>
            <w:r>
              <w:rPr>
                <w:sz w:val="17"/>
              </w:rPr>
              <w:t xml:space="preserve">0</w:t>
            </w:r>
          </w:p>
        </w:tc>
        <w:tc>
          <w:tcPr/>
          <w:p>
            <w:pPr>
              <w:pStyle w:val="Compact"/>
              <w:jc w:val="right"/>
            </w:pPr>
            <w:r>
              <w:rPr>
                <w:sz w:val="17"/>
              </w:rPr>
              <w:t xml:space="preserve">1.000</w:t>
            </w:r>
          </w:p>
        </w:tc>
        <w:tc>
          <w:tcPr/>
          <w:p>
            <w:pPr>
              <w:pStyle w:val="Compact"/>
              <w:jc w:val="right"/>
            </w:pPr>
            <w:r>
              <w:rPr>
                <w:sz w:val="17"/>
              </w:rPr>
              <w:t xml:space="preserve">1.000</w:t>
            </w:r>
          </w:p>
        </w:tc>
        <w:tc>
          <w:tcPr/>
          <w:p>
            <w:pPr>
              <w:pStyle w:val="Compact"/>
              <w:jc w:val="right"/>
            </w:pPr>
            <w:r>
              <w:rPr>
                <w:sz w:val="17"/>
              </w:rPr>
              <w:t xml:space="preserve">0.000</w:t>
            </w:r>
          </w:p>
        </w:tc>
      </w:tr>
    </w:tbl>
    <w:p>
      <w:pPr>
        <w:pStyle w:val="BodyText"/>
      </w:pPr>
      <w:r>
        <w:rPr>
          <w:b/>
          <w:bCs/>
        </w:rPr>
        <w:t xml:space="preserve">Implementation.</w:t>
      </w:r>
      <w:r>
        <w:t xml:space="preserve"> </w:t>
      </w:r>
      <w:r>
        <w:rPr>
          <w:rStyle w:val="VerbatimChar"/>
        </w:rPr>
        <w:t xml:space="preserve">validation.auc</w:t>
      </w:r>
      <w:r>
        <w:t xml:space="preserve"> </w:t>
      </w:r>
      <w:r>
        <w:t xml:space="preserve">computes AUC from average ranks (the Mann-Whitney identity, exact with ties),</w:t>
      </w:r>
      <w:r>
        <w:t xml:space="preserve"> </w:t>
      </w:r>
      <w:r>
        <w:rPr>
          <w:rStyle w:val="VerbatimChar"/>
        </w:rPr>
        <w:t xml:space="preserve">validation.ks</w:t>
      </w:r>
      <w:r>
        <w:t xml:space="preserve"> </w:t>
      </w:r>
      <w:r>
        <w:t xml:space="preserve">evaluates the gap only after the last tied score, and</w:t>
      </w:r>
      <w:r>
        <w:t xml:space="preserve"> </w:t>
      </w:r>
      <w:r>
        <w:rPr>
          <w:rStyle w:val="VerbatimChar"/>
        </w:rPr>
        <w:t xml:space="preserve">validation.cap_table</w:t>
      </w:r>
      <w:r>
        <w:t xml:space="preserve"> </w:t>
      </w:r>
      <w:r>
        <w:t xml:space="preserve">builds the cumulative accuracy profile.</w:t>
      </w:r>
    </w:p>
    <w:p>
      <w:pPr>
        <w:pStyle w:val="BodyText"/>
      </w:pPr>
      <w:r>
        <w:rPr>
          <w:b/>
          <w:bCs/>
        </w:rPr>
        <w:t xml:space="preserve">Result.</w:t>
      </w:r>
    </w:p>
    <w:p>
      <w:pPr>
        <w:pStyle w:val="TableCaption"/>
      </w:pPr>
      <w:r>
        <w:t xml:space="preserve">Discrimination by model and sample (all models, development holdout and out of time).</w:t>
      </w:r>
    </w:p>
    <w:tbl>
      <w:tblPr>
        <w:tblStyle w:val="Table"/>
        <w:tblW w:type="pct" w:w="5000"/>
        <w:tblLayout w:type="fixed"/>
        <w:tblLook w:firstRow="1" w:lastRow="0" w:firstColumn="0" w:lastColumn="0" w:noHBand="0" w:noVBand="0" w:val="0020"/>
        <w:tblCaption w:val="Discrimination by model and sample (all models, development holdout and out of tim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79"/>
        <w:gridCol w:w="1319"/>
        <w:gridCol w:w="719"/>
        <w:gridCol w:w="719"/>
        <w:gridCol w:w="719"/>
        <w:gridCol w:w="839"/>
        <w:gridCol w:w="1319"/>
      </w:tblGrid>
      <w:tr>
        <w:trPr>
          <w:tblHeader w:val="on"/>
        </w:trPr>
        <w:tc>
          <w:tcPr/>
          <w:p>
            <w:pPr>
              <w:pStyle w:val="Compact"/>
              <w:jc w:val="left"/>
            </w:pPr>
            <w:r>
              <w:rPr>
                <w:sz w:val="17"/>
              </w:rPr>
              <w:t xml:space="preserve">Model</w:t>
            </w:r>
          </w:p>
        </w:tc>
        <w:tc>
          <w:tcPr/>
          <w:p>
            <w:pPr>
              <w:pStyle w:val="Compact"/>
              <w:jc w:val="right"/>
            </w:pPr>
            <w:r>
              <w:rPr>
                <w:sz w:val="17"/>
              </w:rPr>
              <w:t xml:space="preserve">Sample</w:t>
            </w:r>
          </w:p>
        </w:tc>
        <w:tc>
          <w:tcPr/>
          <w:p>
            <w:pPr>
              <w:pStyle w:val="Compact"/>
              <w:jc w:val="right"/>
            </w:pPr>
            <w:r>
              <w:rPr>
                <w:sz w:val="17"/>
              </w:rPr>
              <w:t xml:space="preserve">AUC</w:t>
            </w:r>
          </w:p>
        </w:tc>
        <w:tc>
          <w:tcPr/>
          <w:p>
            <w:pPr>
              <w:pStyle w:val="Compact"/>
              <w:jc w:val="right"/>
            </w:pPr>
            <w:r>
              <w:rPr>
                <w:sz w:val="17"/>
              </w:rPr>
              <w:t xml:space="preserve">Gini</w:t>
            </w:r>
          </w:p>
        </w:tc>
        <w:tc>
          <w:tcPr/>
          <w:p>
            <w:pPr>
              <w:pStyle w:val="Compact"/>
              <w:jc w:val="right"/>
            </w:pPr>
            <w:r>
              <w:rPr>
                <w:sz w:val="17"/>
              </w:rPr>
              <w:t xml:space="preserve">KS</w:t>
            </w:r>
          </w:p>
        </w:tc>
        <w:tc>
          <w:tcPr/>
          <w:p>
            <w:pPr>
              <w:pStyle w:val="Compact"/>
              <w:jc w:val="right"/>
            </w:pPr>
            <w:r>
              <w:rPr>
                <w:sz w:val="17"/>
              </w:rPr>
              <w:t xml:space="preserve">Brier</w:t>
            </w:r>
          </w:p>
        </w:tc>
        <w:tc>
          <w:tcPr/>
          <w:p>
            <w:pPr>
              <w:pStyle w:val="Compact"/>
              <w:jc w:val="right"/>
            </w:pPr>
            <w:r>
              <w:rPr>
                <w:sz w:val="17"/>
              </w:rPr>
              <w:t xml:space="preserve">Brier skill</w:t>
            </w:r>
          </w:p>
        </w:tc>
      </w:tr>
      <w:tr>
        <w:tc>
          <w:tcPr/>
          <w:p>
            <w:pPr>
              <w:pStyle w:val="Compact"/>
              <w:jc w:val="left"/>
            </w:pPr>
            <w:r>
              <w:rPr>
                <w:sz w:val="17"/>
              </w:rPr>
              <w:t xml:space="preserve">SC_FULL scorecard</w:t>
            </w:r>
          </w:p>
        </w:tc>
        <w:tc>
          <w:tcPr/>
          <w:p>
            <w:pPr>
              <w:pStyle w:val="Compact"/>
              <w:jc w:val="right"/>
            </w:pPr>
            <w:r>
              <w:rPr>
                <w:sz w:val="17"/>
              </w:rPr>
              <w:t xml:space="preserve">dev_holdout</w:t>
            </w:r>
          </w:p>
        </w:tc>
        <w:tc>
          <w:tcPr/>
          <w:p>
            <w:pPr>
              <w:pStyle w:val="Compact"/>
              <w:jc w:val="right"/>
            </w:pPr>
            <w:r>
              <w:rPr>
                <w:sz w:val="17"/>
              </w:rPr>
              <w:t xml:space="preserve">0.6859</w:t>
            </w:r>
          </w:p>
        </w:tc>
        <w:tc>
          <w:tcPr/>
          <w:p>
            <w:pPr>
              <w:pStyle w:val="Compact"/>
              <w:jc w:val="right"/>
            </w:pPr>
            <w:r>
              <w:rPr>
                <w:sz w:val="17"/>
              </w:rPr>
              <w:t xml:space="preserve">0.3719</w:t>
            </w:r>
          </w:p>
        </w:tc>
        <w:tc>
          <w:tcPr/>
          <w:p>
            <w:pPr>
              <w:pStyle w:val="Compact"/>
              <w:jc w:val="right"/>
            </w:pPr>
            <w:r>
              <w:rPr>
                <w:sz w:val="17"/>
              </w:rPr>
              <w:t xml:space="preserve">0.2807</w:t>
            </w:r>
          </w:p>
        </w:tc>
        <w:tc>
          <w:tcPr/>
          <w:p>
            <w:pPr>
              <w:pStyle w:val="Compact"/>
              <w:jc w:val="right"/>
            </w:pPr>
            <w:r>
              <w:rPr>
                <w:sz w:val="17"/>
              </w:rPr>
              <w:t xml:space="preserve">0.04457</w:t>
            </w:r>
          </w:p>
        </w:tc>
        <w:tc>
          <w:tcPr/>
          <w:p>
            <w:pPr>
              <w:pStyle w:val="Compact"/>
              <w:jc w:val="right"/>
            </w:pPr>
            <w:r>
              <w:rPr>
                <w:sz w:val="17"/>
              </w:rPr>
              <w:t xml:space="preserve">0.0191</w:t>
            </w:r>
          </w:p>
        </w:tc>
      </w:tr>
      <w:tr>
        <w:tc>
          <w:tcPr/>
          <w:p>
            <w:pPr>
              <w:pStyle w:val="Compact"/>
              <w:jc w:val="left"/>
            </w:pPr>
            <w:r>
              <w:rPr>
                <w:sz w:val="17"/>
              </w:rPr>
              <w:t xml:space="preserve">SC_FULL scorecard</w:t>
            </w:r>
          </w:p>
        </w:tc>
        <w:tc>
          <w:tcPr/>
          <w:p>
            <w:pPr>
              <w:pStyle w:val="Compact"/>
              <w:jc w:val="right"/>
            </w:pPr>
            <w:r>
              <w:rPr>
                <w:sz w:val="17"/>
              </w:rPr>
              <w:t xml:space="preserve">oot1</w:t>
            </w:r>
          </w:p>
        </w:tc>
        <w:tc>
          <w:tcPr/>
          <w:p>
            <w:pPr>
              <w:pStyle w:val="Compact"/>
              <w:jc w:val="right"/>
            </w:pPr>
            <w:r>
              <w:rPr>
                <w:sz w:val="17"/>
              </w:rPr>
              <w:t xml:space="preserve">0.6765</w:t>
            </w:r>
          </w:p>
        </w:tc>
        <w:tc>
          <w:tcPr/>
          <w:p>
            <w:pPr>
              <w:pStyle w:val="Compact"/>
              <w:jc w:val="right"/>
            </w:pPr>
            <w:r>
              <w:rPr>
                <w:sz w:val="17"/>
              </w:rPr>
              <w:t xml:space="preserve">0.3530</w:t>
            </w:r>
          </w:p>
        </w:tc>
        <w:tc>
          <w:tcPr/>
          <w:p>
            <w:pPr>
              <w:pStyle w:val="Compact"/>
              <w:jc w:val="right"/>
            </w:pPr>
            <w:r>
              <w:rPr>
                <w:sz w:val="17"/>
              </w:rPr>
              <w:t xml:space="preserve">0.2544</w:t>
            </w:r>
          </w:p>
        </w:tc>
        <w:tc>
          <w:tcPr/>
          <w:p>
            <w:pPr>
              <w:pStyle w:val="Compact"/>
              <w:jc w:val="right"/>
            </w:pPr>
            <w:r>
              <w:rPr>
                <w:sz w:val="17"/>
              </w:rPr>
              <w:t xml:space="preserve">0.04007</w:t>
            </w:r>
          </w:p>
        </w:tc>
        <w:tc>
          <w:tcPr/>
          <w:p>
            <w:pPr>
              <w:pStyle w:val="Compact"/>
              <w:jc w:val="right"/>
            </w:pPr>
            <w:r>
              <w:rPr>
                <w:sz w:val="17"/>
              </w:rPr>
              <w:t xml:space="preserve">0.0149</w:t>
            </w:r>
          </w:p>
        </w:tc>
      </w:tr>
      <w:tr>
        <w:tc>
          <w:tcPr/>
          <w:p>
            <w:pPr>
              <w:pStyle w:val="Compact"/>
              <w:jc w:val="left"/>
            </w:pPr>
            <w:r>
              <w:rPr>
                <w:sz w:val="17"/>
              </w:rPr>
              <w:t xml:space="preserve">SC_FULL scorecard</w:t>
            </w:r>
          </w:p>
        </w:tc>
        <w:tc>
          <w:tcPr/>
          <w:p>
            <w:pPr>
              <w:pStyle w:val="Compact"/>
              <w:jc w:val="right"/>
            </w:pPr>
            <w:r>
              <w:rPr>
                <w:sz w:val="17"/>
              </w:rPr>
              <w:t xml:space="preserve">oot2</w:t>
            </w:r>
          </w:p>
        </w:tc>
        <w:tc>
          <w:tcPr/>
          <w:p>
            <w:pPr>
              <w:pStyle w:val="Compact"/>
              <w:jc w:val="right"/>
            </w:pPr>
            <w:r>
              <w:rPr>
                <w:sz w:val="17"/>
              </w:rPr>
              <w:t xml:space="preserve">0.6728</w:t>
            </w:r>
          </w:p>
        </w:tc>
        <w:tc>
          <w:tcPr/>
          <w:p>
            <w:pPr>
              <w:pStyle w:val="Compact"/>
              <w:jc w:val="right"/>
            </w:pPr>
            <w:r>
              <w:rPr>
                <w:sz w:val="17"/>
              </w:rPr>
              <w:t xml:space="preserve">0.3456</w:t>
            </w:r>
          </w:p>
        </w:tc>
        <w:tc>
          <w:tcPr/>
          <w:p>
            <w:pPr>
              <w:pStyle w:val="Compact"/>
              <w:jc w:val="right"/>
            </w:pPr>
            <w:r>
              <w:rPr>
                <w:sz w:val="17"/>
              </w:rPr>
              <w:t xml:space="preserve">0.2493</w:t>
            </w:r>
          </w:p>
        </w:tc>
        <w:tc>
          <w:tcPr/>
          <w:p>
            <w:pPr>
              <w:pStyle w:val="Compact"/>
              <w:jc w:val="right"/>
            </w:pPr>
            <w:r>
              <w:rPr>
                <w:sz w:val="17"/>
              </w:rPr>
              <w:t xml:space="preserve">0.04366</w:t>
            </w:r>
          </w:p>
        </w:tc>
        <w:tc>
          <w:tcPr/>
          <w:p>
            <w:pPr>
              <w:pStyle w:val="Compact"/>
              <w:jc w:val="right"/>
            </w:pPr>
            <w:r>
              <w:rPr>
                <w:sz w:val="17"/>
              </w:rPr>
              <w:t xml:space="preserve">0.0164</w:t>
            </w:r>
          </w:p>
        </w:tc>
      </w:tr>
      <w:tr>
        <w:tc>
          <w:tcPr/>
          <w:p>
            <w:pPr>
              <w:pStyle w:val="Compact"/>
              <w:jc w:val="left"/>
            </w:pPr>
            <w:r>
              <w:rPr>
                <w:sz w:val="17"/>
              </w:rPr>
              <w:t xml:space="preserve">SC_INDEP scorecard</w:t>
            </w:r>
          </w:p>
        </w:tc>
        <w:tc>
          <w:tcPr/>
          <w:p>
            <w:pPr>
              <w:pStyle w:val="Compact"/>
              <w:jc w:val="right"/>
            </w:pPr>
            <w:r>
              <w:rPr>
                <w:sz w:val="17"/>
              </w:rPr>
              <w:t xml:space="preserve">dev_holdout</w:t>
            </w:r>
          </w:p>
        </w:tc>
        <w:tc>
          <w:tcPr/>
          <w:p>
            <w:pPr>
              <w:pStyle w:val="Compact"/>
              <w:jc w:val="right"/>
            </w:pPr>
            <w:r>
              <w:rPr>
                <w:sz w:val="17"/>
              </w:rPr>
              <w:t xml:space="preserve">0.6610</w:t>
            </w:r>
          </w:p>
        </w:tc>
        <w:tc>
          <w:tcPr/>
          <w:p>
            <w:pPr>
              <w:pStyle w:val="Compact"/>
              <w:jc w:val="right"/>
            </w:pPr>
            <w:r>
              <w:rPr>
                <w:sz w:val="17"/>
              </w:rPr>
              <w:t xml:space="preserve">0.3221</w:t>
            </w:r>
          </w:p>
        </w:tc>
        <w:tc>
          <w:tcPr/>
          <w:p>
            <w:pPr>
              <w:pStyle w:val="Compact"/>
              <w:jc w:val="right"/>
            </w:pPr>
            <w:r>
              <w:rPr>
                <w:sz w:val="17"/>
              </w:rPr>
              <w:t xml:space="preserve">0.2405</w:t>
            </w:r>
          </w:p>
        </w:tc>
        <w:tc>
          <w:tcPr/>
          <w:p>
            <w:pPr>
              <w:pStyle w:val="Compact"/>
              <w:jc w:val="right"/>
            </w:pPr>
            <w:r>
              <w:rPr>
                <w:sz w:val="17"/>
              </w:rPr>
              <w:t xml:space="preserve">0.04481</w:t>
            </w:r>
          </w:p>
        </w:tc>
        <w:tc>
          <w:tcPr/>
          <w:p>
            <w:pPr>
              <w:pStyle w:val="Compact"/>
              <w:jc w:val="right"/>
            </w:pPr>
            <w:r>
              <w:rPr>
                <w:sz w:val="17"/>
              </w:rPr>
              <w:t xml:space="preserve">0.0138</w:t>
            </w:r>
          </w:p>
        </w:tc>
      </w:tr>
      <w:tr>
        <w:tc>
          <w:tcPr/>
          <w:p>
            <w:pPr>
              <w:pStyle w:val="Compact"/>
              <w:jc w:val="left"/>
            </w:pPr>
            <w:r>
              <w:rPr>
                <w:sz w:val="17"/>
              </w:rPr>
              <w:t xml:space="preserve">SC_INDEP scorecard</w:t>
            </w:r>
          </w:p>
        </w:tc>
        <w:tc>
          <w:tcPr/>
          <w:p>
            <w:pPr>
              <w:pStyle w:val="Compact"/>
              <w:jc w:val="right"/>
            </w:pPr>
            <w:r>
              <w:rPr>
                <w:sz w:val="17"/>
              </w:rPr>
              <w:t xml:space="preserve">oot1</w:t>
            </w:r>
          </w:p>
        </w:tc>
        <w:tc>
          <w:tcPr/>
          <w:p>
            <w:pPr>
              <w:pStyle w:val="Compact"/>
              <w:jc w:val="right"/>
            </w:pPr>
            <w:r>
              <w:rPr>
                <w:sz w:val="17"/>
              </w:rPr>
              <w:t xml:space="preserve">0.6473</w:t>
            </w:r>
          </w:p>
        </w:tc>
        <w:tc>
          <w:tcPr/>
          <w:p>
            <w:pPr>
              <w:pStyle w:val="Compact"/>
              <w:jc w:val="right"/>
            </w:pPr>
            <w:r>
              <w:rPr>
                <w:sz w:val="17"/>
              </w:rPr>
              <w:t xml:space="preserve">0.2945</w:t>
            </w:r>
          </w:p>
        </w:tc>
        <w:tc>
          <w:tcPr/>
          <w:p>
            <w:pPr>
              <w:pStyle w:val="Compact"/>
              <w:jc w:val="right"/>
            </w:pPr>
            <w:r>
              <w:rPr>
                <w:sz w:val="17"/>
              </w:rPr>
              <w:t xml:space="preserve">0.2084</w:t>
            </w:r>
          </w:p>
        </w:tc>
        <w:tc>
          <w:tcPr/>
          <w:p>
            <w:pPr>
              <w:pStyle w:val="Compact"/>
              <w:jc w:val="right"/>
            </w:pPr>
            <w:r>
              <w:rPr>
                <w:sz w:val="17"/>
              </w:rPr>
              <w:t xml:space="preserve">0.04021</w:t>
            </w:r>
          </w:p>
        </w:tc>
        <w:tc>
          <w:tcPr/>
          <w:p>
            <w:pPr>
              <w:pStyle w:val="Compact"/>
              <w:jc w:val="right"/>
            </w:pPr>
            <w:r>
              <w:rPr>
                <w:sz w:val="17"/>
              </w:rPr>
              <w:t xml:space="preserve">0.0115</w:t>
            </w:r>
          </w:p>
        </w:tc>
      </w:tr>
      <w:tr>
        <w:tc>
          <w:tcPr/>
          <w:p>
            <w:pPr>
              <w:pStyle w:val="Compact"/>
              <w:jc w:val="left"/>
            </w:pPr>
            <w:r>
              <w:rPr>
                <w:sz w:val="17"/>
              </w:rPr>
              <w:t xml:space="preserve">SC_INDEP scorecard</w:t>
            </w:r>
          </w:p>
        </w:tc>
        <w:tc>
          <w:tcPr/>
          <w:p>
            <w:pPr>
              <w:pStyle w:val="Compact"/>
              <w:jc w:val="right"/>
            </w:pPr>
            <w:r>
              <w:rPr>
                <w:sz w:val="17"/>
              </w:rPr>
              <w:t xml:space="preserve">oot2</w:t>
            </w:r>
          </w:p>
        </w:tc>
        <w:tc>
          <w:tcPr/>
          <w:p>
            <w:pPr>
              <w:pStyle w:val="Compact"/>
              <w:jc w:val="right"/>
            </w:pPr>
            <w:r>
              <w:rPr>
                <w:sz w:val="17"/>
              </w:rPr>
              <w:t xml:space="preserve">0.6329</w:t>
            </w:r>
          </w:p>
        </w:tc>
        <w:tc>
          <w:tcPr/>
          <w:p>
            <w:pPr>
              <w:pStyle w:val="Compact"/>
              <w:jc w:val="right"/>
            </w:pPr>
            <w:r>
              <w:rPr>
                <w:sz w:val="17"/>
              </w:rPr>
              <w:t xml:space="preserve">0.2658</w:t>
            </w:r>
          </w:p>
        </w:tc>
        <w:tc>
          <w:tcPr/>
          <w:p>
            <w:pPr>
              <w:pStyle w:val="Compact"/>
              <w:jc w:val="right"/>
            </w:pPr>
            <w:r>
              <w:rPr>
                <w:sz w:val="17"/>
              </w:rPr>
              <w:t xml:space="preserve">0.1916</w:t>
            </w:r>
          </w:p>
        </w:tc>
        <w:tc>
          <w:tcPr/>
          <w:p>
            <w:pPr>
              <w:pStyle w:val="Compact"/>
              <w:jc w:val="right"/>
            </w:pPr>
            <w:r>
              <w:rPr>
                <w:sz w:val="17"/>
              </w:rPr>
              <w:t xml:space="preserve">0.04397</w:t>
            </w:r>
          </w:p>
        </w:tc>
        <w:tc>
          <w:tcPr/>
          <w:p>
            <w:pPr>
              <w:pStyle w:val="Compact"/>
              <w:jc w:val="right"/>
            </w:pPr>
            <w:r>
              <w:rPr>
                <w:sz w:val="17"/>
              </w:rPr>
              <w:t xml:space="preserve">0.0094</w:t>
            </w:r>
          </w:p>
        </w:tc>
      </w:tr>
      <w:tr>
        <w:tc>
          <w:tcPr/>
          <w:p>
            <w:pPr>
              <w:pStyle w:val="Compact"/>
              <w:jc w:val="left"/>
            </w:pPr>
            <w:r>
              <w:rPr>
                <w:sz w:val="17"/>
              </w:rPr>
              <w:t xml:space="preserve">XGBoost</w:t>
            </w:r>
          </w:p>
        </w:tc>
        <w:tc>
          <w:tcPr/>
          <w:p>
            <w:pPr>
              <w:pStyle w:val="Compact"/>
              <w:jc w:val="right"/>
            </w:pPr>
            <w:r>
              <w:rPr>
                <w:sz w:val="17"/>
              </w:rPr>
              <w:t xml:space="preserve">dev_holdout</w:t>
            </w:r>
          </w:p>
        </w:tc>
        <w:tc>
          <w:tcPr/>
          <w:p>
            <w:pPr>
              <w:pStyle w:val="Compact"/>
              <w:jc w:val="right"/>
            </w:pPr>
            <w:r>
              <w:rPr>
                <w:sz w:val="17"/>
              </w:rPr>
              <w:t xml:space="preserve">0.6984</w:t>
            </w:r>
          </w:p>
        </w:tc>
        <w:tc>
          <w:tcPr/>
          <w:p>
            <w:pPr>
              <w:pStyle w:val="Compact"/>
              <w:jc w:val="right"/>
            </w:pPr>
            <w:r>
              <w:rPr>
                <w:sz w:val="17"/>
              </w:rPr>
              <w:t xml:space="preserve">0.3967</w:t>
            </w:r>
          </w:p>
        </w:tc>
        <w:tc>
          <w:tcPr/>
          <w:p>
            <w:pPr>
              <w:pStyle w:val="Compact"/>
              <w:jc w:val="right"/>
            </w:pPr>
            <w:r>
              <w:rPr>
                <w:sz w:val="17"/>
              </w:rPr>
              <w:t xml:space="preserve">0.3064</w:t>
            </w:r>
          </w:p>
        </w:tc>
        <w:tc>
          <w:tcPr/>
          <w:p>
            <w:pPr>
              <w:pStyle w:val="Compact"/>
              <w:jc w:val="right"/>
            </w:pPr>
            <w:r>
              <w:rPr>
                <w:sz w:val="17"/>
              </w:rPr>
              <w:t xml:space="preserve">0.04442</w:t>
            </w:r>
          </w:p>
        </w:tc>
        <w:tc>
          <w:tcPr/>
          <w:p>
            <w:pPr>
              <w:pStyle w:val="Compact"/>
              <w:jc w:val="right"/>
            </w:pPr>
            <w:r>
              <w:rPr>
                <w:sz w:val="17"/>
              </w:rPr>
              <w:t xml:space="preserve">0.0224</w:t>
            </w:r>
          </w:p>
        </w:tc>
      </w:tr>
      <w:tr>
        <w:tc>
          <w:tcPr/>
          <w:p>
            <w:pPr>
              <w:pStyle w:val="Compact"/>
              <w:jc w:val="left"/>
            </w:pPr>
            <w:r>
              <w:rPr>
                <w:sz w:val="17"/>
              </w:rPr>
              <w:t xml:space="preserve">XGBoost</w:t>
            </w:r>
          </w:p>
        </w:tc>
        <w:tc>
          <w:tcPr/>
          <w:p>
            <w:pPr>
              <w:pStyle w:val="Compact"/>
              <w:jc w:val="right"/>
            </w:pPr>
            <w:r>
              <w:rPr>
                <w:sz w:val="17"/>
              </w:rPr>
              <w:t xml:space="preserve">oot1</w:t>
            </w:r>
          </w:p>
        </w:tc>
        <w:tc>
          <w:tcPr/>
          <w:p>
            <w:pPr>
              <w:pStyle w:val="Compact"/>
              <w:jc w:val="right"/>
            </w:pPr>
            <w:r>
              <w:rPr>
                <w:sz w:val="17"/>
              </w:rPr>
              <w:t xml:space="preserve">0.6876</w:t>
            </w:r>
          </w:p>
        </w:tc>
        <w:tc>
          <w:tcPr/>
          <w:p>
            <w:pPr>
              <w:pStyle w:val="Compact"/>
              <w:jc w:val="right"/>
            </w:pPr>
            <w:r>
              <w:rPr>
                <w:sz w:val="17"/>
              </w:rPr>
              <w:t xml:space="preserve">0.3752</w:t>
            </w:r>
          </w:p>
        </w:tc>
        <w:tc>
          <w:tcPr/>
          <w:p>
            <w:pPr>
              <w:pStyle w:val="Compact"/>
              <w:jc w:val="right"/>
            </w:pPr>
            <w:r>
              <w:rPr>
                <w:sz w:val="17"/>
              </w:rPr>
              <w:t xml:space="preserve">0.2795</w:t>
            </w:r>
          </w:p>
        </w:tc>
        <w:tc>
          <w:tcPr/>
          <w:p>
            <w:pPr>
              <w:pStyle w:val="Compact"/>
              <w:jc w:val="right"/>
            </w:pPr>
            <w:r>
              <w:rPr>
                <w:sz w:val="17"/>
              </w:rPr>
              <w:t xml:space="preserve">0.04011</w:t>
            </w:r>
          </w:p>
        </w:tc>
        <w:tc>
          <w:tcPr/>
          <w:p>
            <w:pPr>
              <w:pStyle w:val="Compact"/>
              <w:jc w:val="right"/>
            </w:pPr>
            <w:r>
              <w:rPr>
                <w:sz w:val="17"/>
              </w:rPr>
              <w:t xml:space="preserve">0.0140</w:t>
            </w:r>
          </w:p>
        </w:tc>
      </w:tr>
      <w:tr>
        <w:tc>
          <w:tcPr/>
          <w:p>
            <w:pPr>
              <w:pStyle w:val="Compact"/>
              <w:jc w:val="left"/>
            </w:pPr>
            <w:r>
              <w:rPr>
                <w:sz w:val="17"/>
              </w:rPr>
              <w:t xml:space="preserve">XGBoost</w:t>
            </w:r>
          </w:p>
        </w:tc>
        <w:tc>
          <w:tcPr/>
          <w:p>
            <w:pPr>
              <w:pStyle w:val="Compact"/>
              <w:jc w:val="right"/>
            </w:pPr>
            <w:r>
              <w:rPr>
                <w:sz w:val="17"/>
              </w:rPr>
              <w:t xml:space="preserve">oot2</w:t>
            </w:r>
          </w:p>
        </w:tc>
        <w:tc>
          <w:tcPr/>
          <w:p>
            <w:pPr>
              <w:pStyle w:val="Compact"/>
              <w:jc w:val="right"/>
            </w:pPr>
            <w:r>
              <w:rPr>
                <w:sz w:val="17"/>
              </w:rPr>
              <w:t xml:space="preserve">0.6869</w:t>
            </w:r>
          </w:p>
        </w:tc>
        <w:tc>
          <w:tcPr/>
          <w:p>
            <w:pPr>
              <w:pStyle w:val="Compact"/>
              <w:jc w:val="right"/>
            </w:pPr>
            <w:r>
              <w:rPr>
                <w:sz w:val="17"/>
              </w:rPr>
              <w:t xml:space="preserve">0.3738</w:t>
            </w:r>
          </w:p>
        </w:tc>
        <w:tc>
          <w:tcPr/>
          <w:p>
            <w:pPr>
              <w:pStyle w:val="Compact"/>
              <w:jc w:val="right"/>
            </w:pPr>
            <w:r>
              <w:rPr>
                <w:sz w:val="17"/>
              </w:rPr>
              <w:t xml:space="preserve">0.2738</w:t>
            </w:r>
          </w:p>
        </w:tc>
        <w:tc>
          <w:tcPr/>
          <w:p>
            <w:pPr>
              <w:pStyle w:val="Compact"/>
              <w:jc w:val="right"/>
            </w:pPr>
            <w:r>
              <w:rPr>
                <w:sz w:val="17"/>
              </w:rPr>
              <w:t xml:space="preserve">0.04356</w:t>
            </w:r>
          </w:p>
        </w:tc>
        <w:tc>
          <w:tcPr/>
          <w:p>
            <w:pPr>
              <w:pStyle w:val="Compact"/>
              <w:jc w:val="right"/>
            </w:pPr>
            <w:r>
              <w:rPr>
                <w:sz w:val="17"/>
              </w:rPr>
              <w:t xml:space="preserve">0.0186</w:t>
            </w:r>
          </w:p>
        </w:tc>
      </w:tr>
      <w:tr>
        <w:tc>
          <w:tcPr/>
          <w:p>
            <w:pPr>
              <w:pStyle w:val="Compact"/>
              <w:jc w:val="left"/>
            </w:pPr>
            <w:r>
              <w:rPr>
                <w:sz w:val="17"/>
              </w:rPr>
              <w:t xml:space="preserve">LightGBM</w:t>
            </w:r>
          </w:p>
        </w:tc>
        <w:tc>
          <w:tcPr/>
          <w:p>
            <w:pPr>
              <w:pStyle w:val="Compact"/>
              <w:jc w:val="right"/>
            </w:pPr>
            <w:r>
              <w:rPr>
                <w:sz w:val="17"/>
              </w:rPr>
              <w:t xml:space="preserve">dev_holdout</w:t>
            </w:r>
          </w:p>
        </w:tc>
        <w:tc>
          <w:tcPr/>
          <w:p>
            <w:pPr>
              <w:pStyle w:val="Compact"/>
              <w:jc w:val="right"/>
            </w:pPr>
            <w:r>
              <w:rPr>
                <w:sz w:val="17"/>
              </w:rPr>
              <w:t xml:space="preserve">0.6922</w:t>
            </w:r>
          </w:p>
        </w:tc>
        <w:tc>
          <w:tcPr/>
          <w:p>
            <w:pPr>
              <w:pStyle w:val="Compact"/>
              <w:jc w:val="right"/>
            </w:pPr>
            <w:r>
              <w:rPr>
                <w:sz w:val="17"/>
              </w:rPr>
              <w:t xml:space="preserve">0.3844</w:t>
            </w:r>
          </w:p>
        </w:tc>
        <w:tc>
          <w:tcPr/>
          <w:p>
            <w:pPr>
              <w:pStyle w:val="Compact"/>
              <w:jc w:val="right"/>
            </w:pPr>
            <w:r>
              <w:rPr>
                <w:sz w:val="17"/>
              </w:rPr>
              <w:t xml:space="preserve">0.2821</w:t>
            </w:r>
          </w:p>
        </w:tc>
        <w:tc>
          <w:tcPr/>
          <w:p>
            <w:pPr>
              <w:pStyle w:val="Compact"/>
              <w:jc w:val="right"/>
            </w:pPr>
            <w:r>
              <w:rPr>
                <w:sz w:val="17"/>
              </w:rPr>
              <w:t xml:space="preserve">0.04449</w:t>
            </w:r>
          </w:p>
        </w:tc>
        <w:tc>
          <w:tcPr/>
          <w:p>
            <w:pPr>
              <w:pStyle w:val="Compact"/>
              <w:jc w:val="right"/>
            </w:pPr>
            <w:r>
              <w:rPr>
                <w:sz w:val="17"/>
              </w:rPr>
              <w:t xml:space="preserve">0.0208</w:t>
            </w:r>
          </w:p>
        </w:tc>
      </w:tr>
      <w:tr>
        <w:tc>
          <w:tcPr/>
          <w:p>
            <w:pPr>
              <w:pStyle w:val="Compact"/>
              <w:jc w:val="left"/>
            </w:pPr>
            <w:r>
              <w:rPr>
                <w:sz w:val="17"/>
              </w:rPr>
              <w:t xml:space="preserve">LightGBM</w:t>
            </w:r>
          </w:p>
        </w:tc>
        <w:tc>
          <w:tcPr/>
          <w:p>
            <w:pPr>
              <w:pStyle w:val="Compact"/>
              <w:jc w:val="right"/>
            </w:pPr>
            <w:r>
              <w:rPr>
                <w:sz w:val="17"/>
              </w:rPr>
              <w:t xml:space="preserve">oot1</w:t>
            </w:r>
          </w:p>
        </w:tc>
        <w:tc>
          <w:tcPr/>
          <w:p>
            <w:pPr>
              <w:pStyle w:val="Compact"/>
              <w:jc w:val="right"/>
            </w:pPr>
            <w:r>
              <w:rPr>
                <w:sz w:val="17"/>
              </w:rPr>
              <w:t xml:space="preserve">0.6832</w:t>
            </w:r>
          </w:p>
        </w:tc>
        <w:tc>
          <w:tcPr/>
          <w:p>
            <w:pPr>
              <w:pStyle w:val="Compact"/>
              <w:jc w:val="right"/>
            </w:pPr>
            <w:r>
              <w:rPr>
                <w:sz w:val="17"/>
              </w:rPr>
              <w:t xml:space="preserve">0.3664</w:t>
            </w:r>
          </w:p>
        </w:tc>
        <w:tc>
          <w:tcPr/>
          <w:p>
            <w:pPr>
              <w:pStyle w:val="Compact"/>
              <w:jc w:val="right"/>
            </w:pPr>
            <w:r>
              <w:rPr>
                <w:sz w:val="17"/>
              </w:rPr>
              <w:t xml:space="preserve">0.2655</w:t>
            </w:r>
          </w:p>
        </w:tc>
        <w:tc>
          <w:tcPr/>
          <w:p>
            <w:pPr>
              <w:pStyle w:val="Compact"/>
              <w:jc w:val="right"/>
            </w:pPr>
            <w:r>
              <w:rPr>
                <w:sz w:val="17"/>
              </w:rPr>
              <w:t xml:space="preserve">0.04007</w:t>
            </w:r>
          </w:p>
        </w:tc>
        <w:tc>
          <w:tcPr/>
          <w:p>
            <w:pPr>
              <w:pStyle w:val="Compact"/>
              <w:jc w:val="right"/>
            </w:pPr>
            <w:r>
              <w:rPr>
                <w:sz w:val="17"/>
              </w:rPr>
              <w:t xml:space="preserve">0.0149</w:t>
            </w:r>
          </w:p>
        </w:tc>
      </w:tr>
      <w:tr>
        <w:tc>
          <w:tcPr/>
          <w:p>
            <w:pPr>
              <w:pStyle w:val="Compact"/>
              <w:jc w:val="left"/>
            </w:pPr>
            <w:r>
              <w:rPr>
                <w:sz w:val="17"/>
              </w:rPr>
              <w:t xml:space="preserve">LightGBM</w:t>
            </w:r>
          </w:p>
        </w:tc>
        <w:tc>
          <w:tcPr/>
          <w:p>
            <w:pPr>
              <w:pStyle w:val="Compact"/>
              <w:jc w:val="right"/>
            </w:pPr>
            <w:r>
              <w:rPr>
                <w:sz w:val="17"/>
              </w:rPr>
              <w:t xml:space="preserve">oot2</w:t>
            </w:r>
          </w:p>
        </w:tc>
        <w:tc>
          <w:tcPr/>
          <w:p>
            <w:pPr>
              <w:pStyle w:val="Compact"/>
              <w:jc w:val="right"/>
            </w:pPr>
            <w:r>
              <w:rPr>
                <w:sz w:val="17"/>
              </w:rPr>
              <w:t xml:space="preserve">0.6833</w:t>
            </w:r>
          </w:p>
        </w:tc>
        <w:tc>
          <w:tcPr/>
          <w:p>
            <w:pPr>
              <w:pStyle w:val="Compact"/>
              <w:jc w:val="right"/>
            </w:pPr>
            <w:r>
              <w:rPr>
                <w:sz w:val="17"/>
              </w:rPr>
              <w:t xml:space="preserve">0.3665</w:t>
            </w:r>
          </w:p>
        </w:tc>
        <w:tc>
          <w:tcPr/>
          <w:p>
            <w:pPr>
              <w:pStyle w:val="Compact"/>
              <w:jc w:val="right"/>
            </w:pPr>
            <w:r>
              <w:rPr>
                <w:sz w:val="17"/>
              </w:rPr>
              <w:t xml:space="preserve">0.2693</w:t>
            </w:r>
          </w:p>
        </w:tc>
        <w:tc>
          <w:tcPr/>
          <w:p>
            <w:pPr>
              <w:pStyle w:val="Compact"/>
              <w:jc w:val="right"/>
            </w:pPr>
            <w:r>
              <w:rPr>
                <w:sz w:val="17"/>
              </w:rPr>
              <w:t xml:space="preserve">0.04357</w:t>
            </w:r>
          </w:p>
        </w:tc>
        <w:tc>
          <w:tcPr/>
          <w:p>
            <w:pPr>
              <w:pStyle w:val="Compact"/>
              <w:jc w:val="right"/>
            </w:pPr>
            <w:r>
              <w:rPr>
                <w:sz w:val="17"/>
              </w:rPr>
              <w:t xml:space="preserve">0.0183</w:t>
            </w:r>
          </w:p>
        </w:tc>
      </w:tr>
      <w:tr>
        <w:tc>
          <w:tcPr/>
          <w:p>
            <w:pPr>
              <w:pStyle w:val="Compact"/>
              <w:jc w:val="left"/>
            </w:pPr>
            <w:r>
              <w:rPr>
                <w:sz w:val="17"/>
              </w:rPr>
              <w:t xml:space="preserve">Reproduced original</w:t>
            </w:r>
          </w:p>
        </w:tc>
        <w:tc>
          <w:tcPr/>
          <w:p>
            <w:pPr>
              <w:pStyle w:val="Compact"/>
              <w:jc w:val="right"/>
            </w:pPr>
            <w:r>
              <w:rPr>
                <w:sz w:val="17"/>
              </w:rPr>
              <w:t xml:space="preserve">dev_holdout</w:t>
            </w:r>
          </w:p>
        </w:tc>
        <w:tc>
          <w:tcPr/>
          <w:p>
            <w:pPr>
              <w:pStyle w:val="Compact"/>
              <w:jc w:val="right"/>
            </w:pPr>
            <w:r>
              <w:rPr>
                <w:sz w:val="17"/>
              </w:rPr>
              <w:t xml:space="preserve">0.6767</w:t>
            </w:r>
          </w:p>
        </w:tc>
        <w:tc>
          <w:tcPr/>
          <w:p>
            <w:pPr>
              <w:pStyle w:val="Compact"/>
              <w:jc w:val="right"/>
            </w:pPr>
            <w:r>
              <w:rPr>
                <w:sz w:val="17"/>
              </w:rPr>
              <w:t xml:space="preserve">0.3534</w:t>
            </w:r>
          </w:p>
        </w:tc>
        <w:tc>
          <w:tcPr/>
          <w:p>
            <w:pPr>
              <w:pStyle w:val="Compact"/>
              <w:jc w:val="right"/>
            </w:pPr>
            <w:r>
              <w:rPr>
                <w:sz w:val="17"/>
              </w:rPr>
              <w:t xml:space="preserve">0.2720</w:t>
            </w:r>
          </w:p>
        </w:tc>
        <w:tc>
          <w:tcPr/>
          <w:p>
            <w:pPr>
              <w:pStyle w:val="Compact"/>
              <w:jc w:val="right"/>
            </w:pPr>
            <w:r>
              <w:rPr>
                <w:sz w:val="17"/>
              </w:rPr>
              <w:t xml:space="preserve">0.05715</w:t>
            </w:r>
          </w:p>
        </w:tc>
        <w:tc>
          <w:tcPr/>
          <w:p>
            <w:pPr>
              <w:pStyle w:val="Compact"/>
              <w:jc w:val="right"/>
            </w:pPr>
            <w:r>
              <w:rPr>
                <w:sz w:val="17"/>
              </w:rPr>
              <w:t xml:space="preserve">-0.2577</w:t>
            </w:r>
          </w:p>
        </w:tc>
      </w:tr>
      <w:tr>
        <w:tc>
          <w:tcPr/>
          <w:p>
            <w:pPr>
              <w:pStyle w:val="Compact"/>
              <w:jc w:val="left"/>
            </w:pPr>
            <w:r>
              <w:rPr>
                <w:sz w:val="17"/>
              </w:rPr>
              <w:t xml:space="preserve">Reproduced original</w:t>
            </w:r>
          </w:p>
        </w:tc>
        <w:tc>
          <w:tcPr/>
          <w:p>
            <w:pPr>
              <w:pStyle w:val="Compact"/>
              <w:jc w:val="right"/>
            </w:pPr>
            <w:r>
              <w:rPr>
                <w:sz w:val="17"/>
              </w:rPr>
              <w:t xml:space="preserve">oot1</w:t>
            </w:r>
          </w:p>
        </w:tc>
        <w:tc>
          <w:tcPr/>
          <w:p>
            <w:pPr>
              <w:pStyle w:val="Compact"/>
              <w:jc w:val="right"/>
            </w:pPr>
            <w:r>
              <w:rPr>
                <w:sz w:val="17"/>
              </w:rPr>
              <w:t xml:space="preserve">0.6877</w:t>
            </w:r>
          </w:p>
        </w:tc>
        <w:tc>
          <w:tcPr/>
          <w:p>
            <w:pPr>
              <w:pStyle w:val="Compact"/>
              <w:jc w:val="right"/>
            </w:pPr>
            <w:r>
              <w:rPr>
                <w:sz w:val="17"/>
              </w:rPr>
              <w:t xml:space="preserve">0.3755</w:t>
            </w:r>
          </w:p>
        </w:tc>
        <w:tc>
          <w:tcPr/>
          <w:p>
            <w:pPr>
              <w:pStyle w:val="Compact"/>
              <w:jc w:val="right"/>
            </w:pPr>
            <w:r>
              <w:rPr>
                <w:sz w:val="17"/>
              </w:rPr>
              <w:t xml:space="preserve">0.2756</w:t>
            </w:r>
          </w:p>
        </w:tc>
        <w:tc>
          <w:tcPr/>
          <w:p>
            <w:pPr>
              <w:pStyle w:val="Compact"/>
              <w:jc w:val="right"/>
            </w:pPr>
            <w:r>
              <w:rPr>
                <w:sz w:val="17"/>
              </w:rPr>
              <w:t xml:space="preserve">0.04892</w:t>
            </w:r>
          </w:p>
        </w:tc>
        <w:tc>
          <w:tcPr/>
          <w:p>
            <w:pPr>
              <w:pStyle w:val="Compact"/>
              <w:jc w:val="right"/>
            </w:pPr>
            <w:r>
              <w:rPr>
                <w:sz w:val="17"/>
              </w:rPr>
              <w:t xml:space="preserve">-0.2025</w:t>
            </w:r>
          </w:p>
        </w:tc>
      </w:tr>
      <w:tr>
        <w:tc>
          <w:tcPr/>
          <w:p>
            <w:pPr>
              <w:pStyle w:val="Compact"/>
              <w:jc w:val="left"/>
            </w:pPr>
            <w:r>
              <w:rPr>
                <w:sz w:val="17"/>
              </w:rPr>
              <w:t xml:space="preserve">Reproduced original</w:t>
            </w:r>
          </w:p>
        </w:tc>
        <w:tc>
          <w:tcPr/>
          <w:p>
            <w:pPr>
              <w:pStyle w:val="Compact"/>
              <w:jc w:val="right"/>
            </w:pPr>
            <w:r>
              <w:rPr>
                <w:sz w:val="17"/>
              </w:rPr>
              <w:t xml:space="preserve">oot2</w:t>
            </w:r>
          </w:p>
        </w:tc>
        <w:tc>
          <w:tcPr/>
          <w:p>
            <w:pPr>
              <w:pStyle w:val="Compact"/>
              <w:jc w:val="right"/>
            </w:pPr>
            <w:r>
              <w:rPr>
                <w:sz w:val="17"/>
              </w:rPr>
              <w:t xml:space="preserve">0.6851</w:t>
            </w:r>
          </w:p>
        </w:tc>
        <w:tc>
          <w:tcPr/>
          <w:p>
            <w:pPr>
              <w:pStyle w:val="Compact"/>
              <w:jc w:val="right"/>
            </w:pPr>
            <w:r>
              <w:rPr>
                <w:sz w:val="17"/>
              </w:rPr>
              <w:t xml:space="preserve">0.3702</w:t>
            </w:r>
          </w:p>
        </w:tc>
        <w:tc>
          <w:tcPr/>
          <w:p>
            <w:pPr>
              <w:pStyle w:val="Compact"/>
              <w:jc w:val="right"/>
            </w:pPr>
            <w:r>
              <w:rPr>
                <w:sz w:val="17"/>
              </w:rPr>
              <w:t xml:space="preserve">0.2700</w:t>
            </w:r>
          </w:p>
        </w:tc>
        <w:tc>
          <w:tcPr/>
          <w:p>
            <w:pPr>
              <w:pStyle w:val="Compact"/>
              <w:jc w:val="right"/>
            </w:pPr>
            <w:r>
              <w:rPr>
                <w:sz w:val="17"/>
              </w:rPr>
              <w:t xml:space="preserve">0.04536</w:t>
            </w:r>
          </w:p>
        </w:tc>
        <w:tc>
          <w:tcPr/>
          <w:p>
            <w:pPr>
              <w:pStyle w:val="Compact"/>
              <w:jc w:val="right"/>
            </w:pPr>
            <w:r>
              <w:rPr>
                <w:sz w:val="17"/>
              </w:rPr>
              <w:t xml:space="preserve">-0.0219</w:t>
            </w:r>
          </w:p>
        </w:tc>
      </w:tr>
    </w:tbl>
    <w:p>
      <w:pPr>
        <w:pStyle w:val="BodyText"/>
      </w:pPr>
      <w:r>
        <w:t xml:space="preserve">For SC_FULL the Gini is 0.372, 0.353 and 0.346 and KS is 0.281, 0.254 and 0.249, all Amber. SC_INDEP is Red out of time (Gini 0.295 and 0.266). The 95% bootstrap interval for the SC_FULL Gini on 2013 loans is 0.331 to 0.375 (loan-level percentile bootstrap, section 12). On the 2013 sample the largest KS gap occurs at decile 4.</w:t>
      </w:r>
    </w:p>
    <w:p>
      <w:pPr>
        <w:pStyle w:val="CaptionedFigure"/>
      </w:pPr>
      <w:r>
        <w:drawing>
          <wp:inline>
            <wp:extent cx="3733800" cy="3159369"/>
            <wp:effectExtent b="0" l="0" r="0" t="0"/>
            <wp:docPr descr="ROC curves on 2013 loans." title="" id="68" name="Picture"/>
            <a:graphic>
              <a:graphicData uri="http://schemas.openxmlformats.org/drawingml/2006/picture">
                <pic:pic>
                  <pic:nvPicPr>
                    <pic:cNvPr descr="../python/outputs/charts/roc_oot1.png" id="69" name="Picture"/>
                    <pic:cNvPicPr>
                      <a:picLocks noChangeArrowheads="1" noChangeAspect="1"/>
                    </pic:cNvPicPr>
                  </pic:nvPicPr>
                  <pic:blipFill>
                    <a:blip r:embed="rId67"/>
                    <a:stretch>
                      <a:fillRect/>
                    </a:stretch>
                  </pic:blipFill>
                  <pic:spPr bwMode="auto">
                    <a:xfrm>
                      <a:off x="0" y="0"/>
                      <a:ext cx="3733800" cy="3159369"/>
                    </a:xfrm>
                    <a:prstGeom prst="rect">
                      <a:avLst/>
                    </a:prstGeom>
                    <a:noFill/>
                    <a:ln w="9525">
                      <a:noFill/>
                      <a:headEnd/>
                      <a:tailEnd/>
                    </a:ln>
                  </pic:spPr>
                </pic:pic>
              </a:graphicData>
            </a:graphic>
          </wp:inline>
        </w:drawing>
      </w:r>
    </w:p>
    <w:p>
      <w:pPr>
        <w:pStyle w:val="ImageCaption"/>
      </w:pPr>
      <w:r>
        <w:t xml:space="preserve">ROC curves on 2013 loans.</w:t>
      </w:r>
    </w:p>
    <w:p>
      <w:pPr>
        <w:pStyle w:val="CaptionedFigure"/>
      </w:pPr>
      <w:r>
        <w:drawing>
          <wp:inline>
            <wp:extent cx="3733800" cy="3159369"/>
            <wp:effectExtent b="0" l="0" r="0" t="0"/>
            <wp:docPr descr="KS plot for SC_FULL on 2013 loans." title="" id="71" name="Picture"/>
            <a:graphic>
              <a:graphicData uri="http://schemas.openxmlformats.org/drawingml/2006/picture">
                <pic:pic>
                  <pic:nvPicPr>
                    <pic:cNvPr descr="../python/outputs/charts/ks_oot1.png" id="72" name="Picture"/>
                    <pic:cNvPicPr>
                      <a:picLocks noChangeArrowheads="1" noChangeAspect="1"/>
                    </pic:cNvPicPr>
                  </pic:nvPicPr>
                  <pic:blipFill>
                    <a:blip r:embed="rId70"/>
                    <a:stretch>
                      <a:fillRect/>
                    </a:stretch>
                  </pic:blipFill>
                  <pic:spPr bwMode="auto">
                    <a:xfrm>
                      <a:off x="0" y="0"/>
                      <a:ext cx="3733800" cy="3159369"/>
                    </a:xfrm>
                    <a:prstGeom prst="rect">
                      <a:avLst/>
                    </a:prstGeom>
                    <a:noFill/>
                    <a:ln w="9525">
                      <a:noFill/>
                      <a:headEnd/>
                      <a:tailEnd/>
                    </a:ln>
                  </pic:spPr>
                </pic:pic>
              </a:graphicData>
            </a:graphic>
          </wp:inline>
        </w:drawing>
      </w:r>
    </w:p>
    <w:p>
      <w:pPr>
        <w:pStyle w:val="ImageCaption"/>
      </w:pPr>
      <w:r>
        <w:t xml:space="preserve">KS plot for SC_FULL on 2013 loans.</w:t>
      </w:r>
    </w:p>
    <w:p>
      <w:pPr>
        <w:pStyle w:val="CaptionedFigure"/>
      </w:pPr>
      <w:r>
        <w:drawing>
          <wp:inline>
            <wp:extent cx="3733800" cy="3159369"/>
            <wp:effectExtent b="0" l="0" r="0" t="0"/>
            <wp:docPr descr="Cumulative accuracy profile on 2013 loans." title="" id="74" name="Picture"/>
            <a:graphic>
              <a:graphicData uri="http://schemas.openxmlformats.org/drawingml/2006/picture">
                <pic:pic>
                  <pic:nvPicPr>
                    <pic:cNvPr descr="../python/outputs/charts/cap_oot1.png" id="75" name="Picture"/>
                    <pic:cNvPicPr>
                      <a:picLocks noChangeArrowheads="1" noChangeAspect="1"/>
                    </pic:cNvPicPr>
                  </pic:nvPicPr>
                  <pic:blipFill>
                    <a:blip r:embed="rId73"/>
                    <a:stretch>
                      <a:fillRect/>
                    </a:stretch>
                  </pic:blipFill>
                  <pic:spPr bwMode="auto">
                    <a:xfrm>
                      <a:off x="0" y="0"/>
                      <a:ext cx="3733800" cy="3159369"/>
                    </a:xfrm>
                    <a:prstGeom prst="rect">
                      <a:avLst/>
                    </a:prstGeom>
                    <a:noFill/>
                    <a:ln w="9525">
                      <a:noFill/>
                      <a:headEnd/>
                      <a:tailEnd/>
                    </a:ln>
                  </pic:spPr>
                </pic:pic>
              </a:graphicData>
            </a:graphic>
          </wp:inline>
        </w:drawing>
      </w:r>
    </w:p>
    <w:p>
      <w:pPr>
        <w:pStyle w:val="ImageCaption"/>
      </w:pPr>
      <w:r>
        <w:t xml:space="preserve">Cumulative accuracy profile on 2013 loans.</w:t>
      </w:r>
    </w:p>
    <w:bookmarkEnd w:id="76"/>
    <w:bookmarkStart w:id="80" w:name="rank-ordering-deciles"/>
    <w:p>
      <w:pPr>
        <w:pStyle w:val="Heading2"/>
      </w:pPr>
      <w:r>
        <w:rPr>
          <w:rStyle w:val="SectionNumber"/>
        </w:rPr>
        <w:t xml:space="preserve">11.2</w:t>
      </w:r>
      <w:r>
        <w:tab/>
      </w:r>
      <w:r>
        <w:t xml:space="preserve">Rank ordering: deciles</w:t>
      </w:r>
    </w:p>
    <w:p>
      <w:pPr>
        <w:pStyle w:val="FirstParagraph"/>
      </w:pPr>
      <w:r>
        <w:t xml:space="preserve">Loans are ranked by predicted PD, riskiest first, and cut into ten equal groups with decile =</w:t>
      </w:r>
      <w:r>
        <w:t xml:space="preserve"> </w:t>
      </w:r>
      <m:oMath>
        <m:r>
          <m:rPr>
            <m:sty m:val="p"/>
          </m:rPr>
          <m:t>⌊</m:t>
        </m:r>
        <m:r>
          <m:t>10</m:t>
        </m:r>
        <m:r>
          <m:rPr>
            <m:sty m:val="p"/>
          </m:rPr>
          <m:t>(</m:t>
        </m:r>
        <m:r>
          <m:rPr>
            <m:nor/>
            <m:sty m:val="p"/>
          </m:rPr>
          <m:t>rank</m:t>
        </m:r>
        <m:r>
          <m:rPr>
            <m:sty m:val="p"/>
          </m:rPr>
          <m:t>−</m:t>
        </m:r>
        <m:r>
          <m:t>1</m:t>
        </m:r>
        <m:r>
          <m:rPr>
            <m:sty m:val="p"/>
          </m:rPr>
          <m:t>)</m:t>
        </m:r>
        <m:r>
          <m:rPr>
            <m:sty m:val="p"/>
          </m:rPr>
          <m:t>/</m:t>
        </m:r>
        <m:r>
          <m:t>n</m:t>
        </m:r>
        <m:r>
          <m:rPr>
            <m:sty m:val="p"/>
          </m:rPr>
          <m:t>⌋</m:t>
        </m:r>
        <m:r>
          <m:rPr>
            <m:sty m:val="p"/>
          </m:rPr>
          <m:t>+</m:t>
        </m:r>
        <m:r>
          <m:t>1</m:t>
        </m:r>
      </m:oMath>
      <w:r>
        <w:t xml:space="preserve">. A sound model has bad rates that fall monotonically down the table; any adjacent pair where the bad rate rises is an</w:t>
      </w:r>
      <w:r>
        <w:t xml:space="preserve"> </w:t>
      </w:r>
      <w:r>
        <w:rPr>
          <w:b/>
          <w:bCs/>
        </w:rPr>
        <w:t xml:space="preserve">inversion</w:t>
      </w:r>
      <w:r>
        <w:t xml:space="preserve">. Lift is the decile bad rate divided by the portfolio bad rate.</w:t>
      </w:r>
    </w:p>
    <w:p>
      <w:pPr>
        <w:pStyle w:val="TableCaption"/>
      </w:pPr>
      <w:r>
        <w:t xml:space="preserve">SC_FULL deciles on 2013 loans (</w:t>
      </w:r>
      <w:r>
        <w:rPr>
          <w:rStyle w:val="VerbatimChar"/>
        </w:rPr>
        <w:t xml:space="preserve">deciles_sc_full_oot1.csv</w:t>
      </w:r>
      <w:r>
        <w:t xml:space="preserve">).</w:t>
      </w:r>
    </w:p>
    <w:tbl>
      <w:tblPr>
        <w:tblStyle w:val="Table"/>
        <w:tblW w:type="pct" w:w="5000"/>
        <w:tblLayout w:type="fixed"/>
        <w:tblLook w:firstRow="1" w:lastRow="0" w:firstColumn="0" w:lastColumn="0" w:noHBand="0" w:noVBand="0" w:val="0020"/>
        <w:tblCaption w:val="SC_FULL deciles on 2013 loans (deciles_sc_full_oot1.csv)."/>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88"/>
        <w:gridCol w:w="625"/>
        <w:gridCol w:w="521"/>
        <w:gridCol w:w="833"/>
        <w:gridCol w:w="729"/>
        <w:gridCol w:w="937"/>
        <w:gridCol w:w="1042"/>
        <w:gridCol w:w="625"/>
        <w:gridCol w:w="416"/>
      </w:tblGrid>
      <w:tr>
        <w:trPr>
          <w:tblHeader w:val="on"/>
        </w:trPr>
        <w:tc>
          <w:tcPr/>
          <w:p>
            <w:pPr>
              <w:pStyle w:val="Compact"/>
              <w:jc w:val="left"/>
            </w:pPr>
            <w:r>
              <w:rPr>
                <w:sz w:val="17"/>
              </w:rPr>
              <w:t xml:space="preserve">Decile (1 = riskiest)</w:t>
            </w:r>
          </w:p>
        </w:tc>
        <w:tc>
          <w:tcPr/>
          <w:p>
            <w:pPr>
              <w:pStyle w:val="Compact"/>
              <w:jc w:val="right"/>
            </w:pPr>
            <w:r>
              <w:rPr>
                <w:sz w:val="17"/>
              </w:rPr>
              <w:t xml:space="preserve">Loans</w:t>
            </w:r>
          </w:p>
        </w:tc>
        <w:tc>
          <w:tcPr/>
          <w:p>
            <w:pPr>
              <w:pStyle w:val="Compact"/>
              <w:jc w:val="right"/>
            </w:pPr>
            <w:r>
              <w:rPr>
                <w:sz w:val="17"/>
              </w:rPr>
              <w:t xml:space="preserve">Bad</w:t>
            </w:r>
          </w:p>
        </w:tc>
        <w:tc>
          <w:tcPr/>
          <w:p>
            <w:pPr>
              <w:pStyle w:val="Compact"/>
              <w:jc w:val="right"/>
            </w:pPr>
            <w:r>
              <w:rPr>
                <w:sz w:val="17"/>
              </w:rPr>
              <w:t xml:space="preserve">Bad rate</w:t>
            </w:r>
          </w:p>
        </w:tc>
        <w:tc>
          <w:tcPr/>
          <w:p>
            <w:pPr>
              <w:pStyle w:val="Compact"/>
              <w:jc w:val="right"/>
            </w:pPr>
            <w:r>
              <w:rPr>
                <w:sz w:val="17"/>
              </w:rPr>
              <w:t xml:space="preserve">Mean PD</w:t>
            </w:r>
          </w:p>
        </w:tc>
        <w:tc>
          <w:tcPr/>
          <w:p>
            <w:pPr>
              <w:pStyle w:val="Compact"/>
              <w:jc w:val="right"/>
            </w:pPr>
            <w:r>
              <w:rPr>
                <w:sz w:val="17"/>
              </w:rPr>
              <w:t xml:space="preserve">Cum. bads</w:t>
            </w:r>
          </w:p>
        </w:tc>
        <w:tc>
          <w:tcPr/>
          <w:p>
            <w:pPr>
              <w:pStyle w:val="Compact"/>
              <w:jc w:val="right"/>
            </w:pPr>
            <w:r>
              <w:rPr>
                <w:sz w:val="17"/>
              </w:rPr>
              <w:t xml:space="preserve">Cum. goods</w:t>
            </w:r>
          </w:p>
        </w:tc>
        <w:tc>
          <w:tcPr/>
          <w:p>
            <w:pPr>
              <w:pStyle w:val="Compact"/>
              <w:jc w:val="right"/>
            </w:pPr>
            <w:r>
              <w:rPr>
                <w:sz w:val="17"/>
              </w:rPr>
              <w:t xml:space="preserve">Gap</w:t>
            </w:r>
          </w:p>
        </w:tc>
        <w:tc>
          <w:tcPr/>
          <w:p>
            <w:pPr>
              <w:pStyle w:val="Compact"/>
              <w:jc w:val="right"/>
            </w:pPr>
            <w:r>
              <w:rPr>
                <w:sz w:val="17"/>
              </w:rPr>
              <w:t xml:space="preserve">Lift</w:t>
            </w:r>
          </w:p>
        </w:tc>
      </w:tr>
      <w:tr>
        <w:tc>
          <w:tcPr/>
          <w:p>
            <w:pPr>
              <w:pStyle w:val="Compact"/>
              <w:jc w:val="left"/>
            </w:pPr>
            <w:r>
              <w:rPr>
                <w:sz w:val="17"/>
              </w:rPr>
              <w:t xml:space="preserve">1</w:t>
            </w:r>
          </w:p>
        </w:tc>
        <w:tc>
          <w:tcPr/>
          <w:p>
            <w:pPr>
              <w:pStyle w:val="Compact"/>
              <w:jc w:val="right"/>
            </w:pPr>
            <w:r>
              <w:rPr>
                <w:sz w:val="17"/>
              </w:rPr>
              <w:t xml:space="preserve">13,476</w:t>
            </w:r>
          </w:p>
        </w:tc>
        <w:tc>
          <w:tcPr/>
          <w:p>
            <w:pPr>
              <w:pStyle w:val="Compact"/>
              <w:jc w:val="right"/>
            </w:pPr>
            <w:r>
              <w:rPr>
                <w:sz w:val="17"/>
              </w:rPr>
              <w:t xml:space="preserve">1,325</w:t>
            </w:r>
          </w:p>
        </w:tc>
        <w:tc>
          <w:tcPr/>
          <w:p>
            <w:pPr>
              <w:pStyle w:val="Compact"/>
              <w:jc w:val="right"/>
            </w:pPr>
            <w:r>
              <w:rPr>
                <w:sz w:val="17"/>
              </w:rPr>
              <w:t xml:space="preserve">9.83%</w:t>
            </w:r>
          </w:p>
        </w:tc>
        <w:tc>
          <w:tcPr/>
          <w:p>
            <w:pPr>
              <w:pStyle w:val="Compact"/>
              <w:jc w:val="right"/>
            </w:pPr>
            <w:r>
              <w:rPr>
                <w:sz w:val="17"/>
              </w:rPr>
              <w:t xml:space="preserve">12.24%</w:t>
            </w:r>
          </w:p>
        </w:tc>
        <w:tc>
          <w:tcPr/>
          <w:p>
            <w:pPr>
              <w:pStyle w:val="Compact"/>
              <w:jc w:val="right"/>
            </w:pPr>
            <w:r>
              <w:rPr>
                <w:sz w:val="17"/>
              </w:rPr>
              <w:t xml:space="preserve">23.14%</w:t>
            </w:r>
          </w:p>
        </w:tc>
        <w:tc>
          <w:tcPr/>
          <w:p>
            <w:pPr>
              <w:pStyle w:val="Compact"/>
              <w:jc w:val="right"/>
            </w:pPr>
            <w:r>
              <w:rPr>
                <w:sz w:val="17"/>
              </w:rPr>
              <w:t xml:space="preserve">9.42%</w:t>
            </w:r>
          </w:p>
        </w:tc>
        <w:tc>
          <w:tcPr/>
          <w:p>
            <w:pPr>
              <w:pStyle w:val="Compact"/>
              <w:jc w:val="right"/>
            </w:pPr>
            <w:r>
              <w:rPr>
                <w:sz w:val="17"/>
              </w:rPr>
              <w:t xml:space="preserve">0.1373</w:t>
            </w:r>
          </w:p>
        </w:tc>
        <w:tc>
          <w:tcPr/>
          <w:p>
            <w:pPr>
              <w:pStyle w:val="Compact"/>
              <w:jc w:val="right"/>
            </w:pPr>
            <w:r>
              <w:rPr>
                <w:sz w:val="17"/>
              </w:rPr>
              <w:t xml:space="preserve">2.31</w:t>
            </w:r>
          </w:p>
        </w:tc>
      </w:tr>
      <w:tr>
        <w:tc>
          <w:tcPr/>
          <w:p>
            <w:pPr>
              <w:pStyle w:val="Compact"/>
              <w:jc w:val="left"/>
            </w:pPr>
            <w:r>
              <w:rPr>
                <w:sz w:val="17"/>
              </w:rPr>
              <w:t xml:space="preserve">2</w:t>
            </w:r>
          </w:p>
        </w:tc>
        <w:tc>
          <w:tcPr/>
          <w:p>
            <w:pPr>
              <w:pStyle w:val="Compact"/>
              <w:jc w:val="right"/>
            </w:pPr>
            <w:r>
              <w:rPr>
                <w:sz w:val="17"/>
              </w:rPr>
              <w:t xml:space="preserve">13,475</w:t>
            </w:r>
          </w:p>
        </w:tc>
        <w:tc>
          <w:tcPr/>
          <w:p>
            <w:pPr>
              <w:pStyle w:val="Compact"/>
              <w:jc w:val="right"/>
            </w:pPr>
            <w:r>
              <w:rPr>
                <w:sz w:val="17"/>
              </w:rPr>
              <w:t xml:space="preserve">954</w:t>
            </w:r>
          </w:p>
        </w:tc>
        <w:tc>
          <w:tcPr/>
          <w:p>
            <w:pPr>
              <w:pStyle w:val="Compact"/>
              <w:jc w:val="right"/>
            </w:pPr>
            <w:r>
              <w:rPr>
                <w:sz w:val="17"/>
              </w:rPr>
              <w:t xml:space="preserve">7.08%</w:t>
            </w:r>
          </w:p>
        </w:tc>
        <w:tc>
          <w:tcPr/>
          <w:p>
            <w:pPr>
              <w:pStyle w:val="Compact"/>
              <w:jc w:val="right"/>
            </w:pPr>
            <w:r>
              <w:rPr>
                <w:sz w:val="17"/>
              </w:rPr>
              <w:t xml:space="preserve">8.19%</w:t>
            </w:r>
          </w:p>
        </w:tc>
        <w:tc>
          <w:tcPr/>
          <w:p>
            <w:pPr>
              <w:pStyle w:val="Compact"/>
              <w:jc w:val="right"/>
            </w:pPr>
            <w:r>
              <w:rPr>
                <w:sz w:val="17"/>
              </w:rPr>
              <w:t xml:space="preserve">39.81%</w:t>
            </w:r>
          </w:p>
        </w:tc>
        <w:tc>
          <w:tcPr/>
          <w:p>
            <w:pPr>
              <w:pStyle w:val="Compact"/>
              <w:jc w:val="right"/>
            </w:pPr>
            <w:r>
              <w:rPr>
                <w:sz w:val="17"/>
              </w:rPr>
              <w:t xml:space="preserve">19.12%</w:t>
            </w:r>
          </w:p>
        </w:tc>
        <w:tc>
          <w:tcPr/>
          <w:p>
            <w:pPr>
              <w:pStyle w:val="Compact"/>
              <w:jc w:val="right"/>
            </w:pPr>
            <w:r>
              <w:rPr>
                <w:sz w:val="17"/>
              </w:rPr>
              <w:t xml:space="preserve">0.2069</w:t>
            </w:r>
          </w:p>
        </w:tc>
        <w:tc>
          <w:tcPr/>
          <w:p>
            <w:pPr>
              <w:pStyle w:val="Compact"/>
              <w:jc w:val="right"/>
            </w:pPr>
            <w:r>
              <w:rPr>
                <w:sz w:val="17"/>
              </w:rPr>
              <w:t xml:space="preserve">1.67</w:t>
            </w:r>
          </w:p>
        </w:tc>
      </w:tr>
      <w:tr>
        <w:tc>
          <w:tcPr/>
          <w:p>
            <w:pPr>
              <w:pStyle w:val="Compact"/>
              <w:jc w:val="left"/>
            </w:pPr>
            <w:r>
              <w:rPr>
                <w:sz w:val="17"/>
              </w:rPr>
              <w:t xml:space="preserve">3</w:t>
            </w:r>
          </w:p>
        </w:tc>
        <w:tc>
          <w:tcPr/>
          <w:p>
            <w:pPr>
              <w:pStyle w:val="Compact"/>
              <w:jc w:val="right"/>
            </w:pPr>
            <w:r>
              <w:rPr>
                <w:sz w:val="17"/>
              </w:rPr>
              <w:t xml:space="preserve">13,476</w:t>
            </w:r>
          </w:p>
        </w:tc>
        <w:tc>
          <w:tcPr/>
          <w:p>
            <w:pPr>
              <w:pStyle w:val="Compact"/>
              <w:jc w:val="right"/>
            </w:pPr>
            <w:r>
              <w:rPr>
                <w:sz w:val="17"/>
              </w:rPr>
              <w:t xml:space="preserve">744</w:t>
            </w:r>
          </w:p>
        </w:tc>
        <w:tc>
          <w:tcPr/>
          <w:p>
            <w:pPr>
              <w:pStyle w:val="Compact"/>
              <w:jc w:val="right"/>
            </w:pPr>
            <w:r>
              <w:rPr>
                <w:sz w:val="17"/>
              </w:rPr>
              <w:t xml:space="preserve">5.52%</w:t>
            </w:r>
          </w:p>
        </w:tc>
        <w:tc>
          <w:tcPr/>
          <w:p>
            <w:pPr>
              <w:pStyle w:val="Compact"/>
              <w:jc w:val="right"/>
            </w:pPr>
            <w:r>
              <w:rPr>
                <w:sz w:val="17"/>
              </w:rPr>
              <w:t xml:space="preserve">6.52%</w:t>
            </w:r>
          </w:p>
        </w:tc>
        <w:tc>
          <w:tcPr/>
          <w:p>
            <w:pPr>
              <w:pStyle w:val="Compact"/>
              <w:jc w:val="right"/>
            </w:pPr>
            <w:r>
              <w:rPr>
                <w:sz w:val="17"/>
              </w:rPr>
              <w:t xml:space="preserve">52.80%</w:t>
            </w:r>
          </w:p>
        </w:tc>
        <w:tc>
          <w:tcPr/>
          <w:p>
            <w:pPr>
              <w:pStyle w:val="Compact"/>
              <w:jc w:val="right"/>
            </w:pPr>
            <w:r>
              <w:rPr>
                <w:sz w:val="17"/>
              </w:rPr>
              <w:t xml:space="preserve">28.99%</w:t>
            </w:r>
          </w:p>
        </w:tc>
        <w:tc>
          <w:tcPr/>
          <w:p>
            <w:pPr>
              <w:pStyle w:val="Compact"/>
              <w:jc w:val="right"/>
            </w:pPr>
            <w:r>
              <w:rPr>
                <w:sz w:val="17"/>
              </w:rPr>
              <w:t xml:space="preserve">0.2381</w:t>
            </w:r>
          </w:p>
        </w:tc>
        <w:tc>
          <w:tcPr/>
          <w:p>
            <w:pPr>
              <w:pStyle w:val="Compact"/>
              <w:jc w:val="right"/>
            </w:pPr>
            <w:r>
              <w:rPr>
                <w:sz w:val="17"/>
              </w:rPr>
              <w:t xml:space="preserve">1.30</w:t>
            </w:r>
          </w:p>
        </w:tc>
      </w:tr>
      <w:tr>
        <w:tc>
          <w:tcPr/>
          <w:p>
            <w:pPr>
              <w:pStyle w:val="Compact"/>
              <w:jc w:val="left"/>
            </w:pPr>
            <w:r>
              <w:rPr>
                <w:sz w:val="17"/>
              </w:rPr>
              <w:t xml:space="preserve">4</w:t>
            </w:r>
          </w:p>
        </w:tc>
        <w:tc>
          <w:tcPr/>
          <w:p>
            <w:pPr>
              <w:pStyle w:val="Compact"/>
              <w:jc w:val="right"/>
            </w:pPr>
            <w:r>
              <w:rPr>
                <w:sz w:val="17"/>
              </w:rPr>
              <w:t xml:space="preserve">13,475</w:t>
            </w:r>
          </w:p>
        </w:tc>
        <w:tc>
          <w:tcPr/>
          <w:p>
            <w:pPr>
              <w:pStyle w:val="Compact"/>
              <w:jc w:val="right"/>
            </w:pPr>
            <w:r>
              <w:rPr>
                <w:sz w:val="17"/>
              </w:rPr>
              <w:t xml:space="preserve">653</w:t>
            </w:r>
          </w:p>
        </w:tc>
        <w:tc>
          <w:tcPr/>
          <w:p>
            <w:pPr>
              <w:pStyle w:val="Compact"/>
              <w:jc w:val="right"/>
            </w:pPr>
            <w:r>
              <w:rPr>
                <w:sz w:val="17"/>
              </w:rPr>
              <w:t xml:space="preserve">4.85%</w:t>
            </w:r>
          </w:p>
        </w:tc>
        <w:tc>
          <w:tcPr/>
          <w:p>
            <w:pPr>
              <w:pStyle w:val="Compact"/>
              <w:jc w:val="right"/>
            </w:pPr>
            <w:r>
              <w:rPr>
                <w:sz w:val="17"/>
              </w:rPr>
              <w:t xml:space="preserve">5.39%</w:t>
            </w:r>
          </w:p>
        </w:tc>
        <w:tc>
          <w:tcPr/>
          <w:p>
            <w:pPr>
              <w:pStyle w:val="Compact"/>
              <w:jc w:val="right"/>
            </w:pPr>
            <w:r>
              <w:rPr>
                <w:sz w:val="17"/>
              </w:rPr>
              <w:t xml:space="preserve">64.21%</w:t>
            </w:r>
          </w:p>
        </w:tc>
        <w:tc>
          <w:tcPr/>
          <w:p>
            <w:pPr>
              <w:pStyle w:val="Compact"/>
              <w:jc w:val="right"/>
            </w:pPr>
            <w:r>
              <w:rPr>
                <w:sz w:val="17"/>
              </w:rPr>
              <w:t xml:space="preserve">38.93%</w:t>
            </w:r>
          </w:p>
        </w:tc>
        <w:tc>
          <w:tcPr/>
          <w:p>
            <w:pPr>
              <w:pStyle w:val="Compact"/>
              <w:jc w:val="right"/>
            </w:pPr>
            <w:r>
              <w:rPr>
                <w:sz w:val="17"/>
              </w:rPr>
              <w:t xml:space="preserve">0.2528</w:t>
            </w:r>
          </w:p>
        </w:tc>
        <w:tc>
          <w:tcPr/>
          <w:p>
            <w:pPr>
              <w:pStyle w:val="Compact"/>
              <w:jc w:val="right"/>
            </w:pPr>
            <w:r>
              <w:rPr>
                <w:sz w:val="17"/>
              </w:rPr>
              <w:t xml:space="preserve">1.14</w:t>
            </w:r>
          </w:p>
        </w:tc>
      </w:tr>
      <w:tr>
        <w:tc>
          <w:tcPr/>
          <w:p>
            <w:pPr>
              <w:pStyle w:val="Compact"/>
              <w:jc w:val="left"/>
            </w:pPr>
            <w:r>
              <w:rPr>
                <w:sz w:val="17"/>
              </w:rPr>
              <w:t xml:space="preserve">5</w:t>
            </w:r>
          </w:p>
        </w:tc>
        <w:tc>
          <w:tcPr/>
          <w:p>
            <w:pPr>
              <w:pStyle w:val="Compact"/>
              <w:jc w:val="right"/>
            </w:pPr>
            <w:r>
              <w:rPr>
                <w:sz w:val="17"/>
              </w:rPr>
              <w:t xml:space="preserve">13,476</w:t>
            </w:r>
          </w:p>
        </w:tc>
        <w:tc>
          <w:tcPr/>
          <w:p>
            <w:pPr>
              <w:pStyle w:val="Compact"/>
              <w:jc w:val="right"/>
            </w:pPr>
            <w:r>
              <w:rPr>
                <w:sz w:val="17"/>
              </w:rPr>
              <w:t xml:space="preserve">555</w:t>
            </w:r>
          </w:p>
        </w:tc>
        <w:tc>
          <w:tcPr/>
          <w:p>
            <w:pPr>
              <w:pStyle w:val="Compact"/>
              <w:jc w:val="right"/>
            </w:pPr>
            <w:r>
              <w:rPr>
                <w:sz w:val="17"/>
              </w:rPr>
              <w:t xml:space="preserve">4.12%</w:t>
            </w:r>
          </w:p>
        </w:tc>
        <w:tc>
          <w:tcPr/>
          <w:p>
            <w:pPr>
              <w:pStyle w:val="Compact"/>
              <w:jc w:val="right"/>
            </w:pPr>
            <w:r>
              <w:rPr>
                <w:sz w:val="17"/>
              </w:rPr>
              <w:t xml:space="preserve">4.49%</w:t>
            </w:r>
          </w:p>
        </w:tc>
        <w:tc>
          <w:tcPr/>
          <w:p>
            <w:pPr>
              <w:pStyle w:val="Compact"/>
              <w:jc w:val="right"/>
            </w:pPr>
            <w:r>
              <w:rPr>
                <w:sz w:val="17"/>
              </w:rPr>
              <w:t xml:space="preserve">73.90%</w:t>
            </w:r>
          </w:p>
        </w:tc>
        <w:tc>
          <w:tcPr/>
          <w:p>
            <w:pPr>
              <w:pStyle w:val="Compact"/>
              <w:jc w:val="right"/>
            </w:pPr>
            <w:r>
              <w:rPr>
                <w:sz w:val="17"/>
              </w:rPr>
              <w:t xml:space="preserve">48.94%</w:t>
            </w:r>
          </w:p>
        </w:tc>
        <w:tc>
          <w:tcPr/>
          <w:p>
            <w:pPr>
              <w:pStyle w:val="Compact"/>
              <w:jc w:val="right"/>
            </w:pPr>
            <w:r>
              <w:rPr>
                <w:sz w:val="17"/>
              </w:rPr>
              <w:t xml:space="preserve">0.2496</w:t>
            </w:r>
          </w:p>
        </w:tc>
        <w:tc>
          <w:tcPr/>
          <w:p>
            <w:pPr>
              <w:pStyle w:val="Compact"/>
              <w:jc w:val="right"/>
            </w:pPr>
            <w:r>
              <w:rPr>
                <w:sz w:val="17"/>
              </w:rPr>
              <w:t xml:space="preserve">0.97</w:t>
            </w:r>
          </w:p>
        </w:tc>
      </w:tr>
      <w:tr>
        <w:tc>
          <w:tcPr/>
          <w:p>
            <w:pPr>
              <w:pStyle w:val="Compact"/>
              <w:jc w:val="left"/>
            </w:pPr>
            <w:r>
              <w:rPr>
                <w:sz w:val="17"/>
              </w:rPr>
              <w:t xml:space="preserve">6</w:t>
            </w:r>
          </w:p>
        </w:tc>
        <w:tc>
          <w:tcPr/>
          <w:p>
            <w:pPr>
              <w:pStyle w:val="Compact"/>
              <w:jc w:val="right"/>
            </w:pPr>
            <w:r>
              <w:rPr>
                <w:sz w:val="17"/>
              </w:rPr>
              <w:t xml:space="preserve">13,475</w:t>
            </w:r>
          </w:p>
        </w:tc>
        <w:tc>
          <w:tcPr/>
          <w:p>
            <w:pPr>
              <w:pStyle w:val="Compact"/>
              <w:jc w:val="right"/>
            </w:pPr>
            <w:r>
              <w:rPr>
                <w:sz w:val="17"/>
              </w:rPr>
              <w:t xml:space="preserve">478</w:t>
            </w:r>
          </w:p>
        </w:tc>
        <w:tc>
          <w:tcPr/>
          <w:p>
            <w:pPr>
              <w:pStyle w:val="Compact"/>
              <w:jc w:val="right"/>
            </w:pPr>
            <w:r>
              <w:rPr>
                <w:sz w:val="17"/>
              </w:rPr>
              <w:t xml:space="preserve">3.55%</w:t>
            </w:r>
          </w:p>
        </w:tc>
        <w:tc>
          <w:tcPr/>
          <w:p>
            <w:pPr>
              <w:pStyle w:val="Compact"/>
              <w:jc w:val="right"/>
            </w:pPr>
            <w:r>
              <w:rPr>
                <w:sz w:val="17"/>
              </w:rPr>
              <w:t xml:space="preserve">3.74%</w:t>
            </w:r>
          </w:p>
        </w:tc>
        <w:tc>
          <w:tcPr/>
          <w:p>
            <w:pPr>
              <w:pStyle w:val="Compact"/>
              <w:jc w:val="right"/>
            </w:pPr>
            <w:r>
              <w:rPr>
                <w:sz w:val="17"/>
              </w:rPr>
              <w:t xml:space="preserve">82.25%</w:t>
            </w:r>
          </w:p>
        </w:tc>
        <w:tc>
          <w:tcPr/>
          <w:p>
            <w:pPr>
              <w:pStyle w:val="Compact"/>
              <w:jc w:val="right"/>
            </w:pPr>
            <w:r>
              <w:rPr>
                <w:sz w:val="17"/>
              </w:rPr>
              <w:t xml:space="preserve">59.01%</w:t>
            </w:r>
          </w:p>
        </w:tc>
        <w:tc>
          <w:tcPr/>
          <w:p>
            <w:pPr>
              <w:pStyle w:val="Compact"/>
              <w:jc w:val="right"/>
            </w:pPr>
            <w:r>
              <w:rPr>
                <w:sz w:val="17"/>
              </w:rPr>
              <w:t xml:space="preserve">0.2324</w:t>
            </w:r>
          </w:p>
        </w:tc>
        <w:tc>
          <w:tcPr/>
          <w:p>
            <w:pPr>
              <w:pStyle w:val="Compact"/>
              <w:jc w:val="right"/>
            </w:pPr>
            <w:r>
              <w:rPr>
                <w:sz w:val="17"/>
              </w:rPr>
              <w:t xml:space="preserve">0.83</w:t>
            </w:r>
          </w:p>
        </w:tc>
      </w:tr>
      <w:tr>
        <w:tc>
          <w:tcPr/>
          <w:p>
            <w:pPr>
              <w:pStyle w:val="Compact"/>
              <w:jc w:val="left"/>
            </w:pPr>
            <w:r>
              <w:rPr>
                <w:sz w:val="17"/>
              </w:rPr>
              <w:t xml:space="preserve">7</w:t>
            </w:r>
          </w:p>
        </w:tc>
        <w:tc>
          <w:tcPr/>
          <w:p>
            <w:pPr>
              <w:pStyle w:val="Compact"/>
              <w:jc w:val="right"/>
            </w:pPr>
            <w:r>
              <w:rPr>
                <w:sz w:val="17"/>
              </w:rPr>
              <w:t xml:space="preserve">13,476</w:t>
            </w:r>
          </w:p>
        </w:tc>
        <w:tc>
          <w:tcPr/>
          <w:p>
            <w:pPr>
              <w:pStyle w:val="Compact"/>
              <w:jc w:val="right"/>
            </w:pPr>
            <w:r>
              <w:rPr>
                <w:sz w:val="17"/>
              </w:rPr>
              <w:t xml:space="preserve">383</w:t>
            </w:r>
          </w:p>
        </w:tc>
        <w:tc>
          <w:tcPr/>
          <w:p>
            <w:pPr>
              <w:pStyle w:val="Compact"/>
              <w:jc w:val="right"/>
            </w:pPr>
            <w:r>
              <w:rPr>
                <w:sz w:val="17"/>
              </w:rPr>
              <w:t xml:space="preserve">2.84%</w:t>
            </w:r>
          </w:p>
        </w:tc>
        <w:tc>
          <w:tcPr/>
          <w:p>
            <w:pPr>
              <w:pStyle w:val="Compact"/>
              <w:jc w:val="right"/>
            </w:pPr>
            <w:r>
              <w:rPr>
                <w:sz w:val="17"/>
              </w:rPr>
              <w:t xml:space="preserve">3.08%</w:t>
            </w:r>
          </w:p>
        </w:tc>
        <w:tc>
          <w:tcPr/>
          <w:p>
            <w:pPr>
              <w:pStyle w:val="Compact"/>
              <w:jc w:val="right"/>
            </w:pPr>
            <w:r>
              <w:rPr>
                <w:sz w:val="17"/>
              </w:rPr>
              <w:t xml:space="preserve">88.94%</w:t>
            </w:r>
          </w:p>
        </w:tc>
        <w:tc>
          <w:tcPr/>
          <w:p>
            <w:pPr>
              <w:pStyle w:val="Compact"/>
              <w:jc w:val="right"/>
            </w:pPr>
            <w:r>
              <w:rPr>
                <w:sz w:val="17"/>
              </w:rPr>
              <w:t xml:space="preserve">69.16%</w:t>
            </w:r>
          </w:p>
        </w:tc>
        <w:tc>
          <w:tcPr/>
          <w:p>
            <w:pPr>
              <w:pStyle w:val="Compact"/>
              <w:jc w:val="right"/>
            </w:pPr>
            <w:r>
              <w:rPr>
                <w:sz w:val="17"/>
              </w:rPr>
              <w:t xml:space="preserve">0.1978</w:t>
            </w:r>
          </w:p>
        </w:tc>
        <w:tc>
          <w:tcPr/>
          <w:p>
            <w:pPr>
              <w:pStyle w:val="Compact"/>
              <w:jc w:val="right"/>
            </w:pPr>
            <w:r>
              <w:rPr>
                <w:sz w:val="17"/>
              </w:rPr>
              <w:t xml:space="preserve">0.67</w:t>
            </w:r>
          </w:p>
        </w:tc>
      </w:tr>
      <w:tr>
        <w:tc>
          <w:tcPr/>
          <w:p>
            <w:pPr>
              <w:pStyle w:val="Compact"/>
              <w:jc w:val="left"/>
            </w:pPr>
            <w:r>
              <w:rPr>
                <w:sz w:val="17"/>
              </w:rPr>
              <w:t xml:space="preserve">8</w:t>
            </w:r>
          </w:p>
        </w:tc>
        <w:tc>
          <w:tcPr/>
          <w:p>
            <w:pPr>
              <w:pStyle w:val="Compact"/>
              <w:jc w:val="right"/>
            </w:pPr>
            <w:r>
              <w:rPr>
                <w:sz w:val="17"/>
              </w:rPr>
              <w:t xml:space="preserve">13,475</w:t>
            </w:r>
          </w:p>
        </w:tc>
        <w:tc>
          <w:tcPr/>
          <w:p>
            <w:pPr>
              <w:pStyle w:val="Compact"/>
              <w:jc w:val="right"/>
            </w:pPr>
            <w:r>
              <w:rPr>
                <w:sz w:val="17"/>
              </w:rPr>
              <w:t xml:space="preserve">289</w:t>
            </w:r>
          </w:p>
        </w:tc>
        <w:tc>
          <w:tcPr/>
          <w:p>
            <w:pPr>
              <w:pStyle w:val="Compact"/>
              <w:jc w:val="right"/>
            </w:pPr>
            <w:r>
              <w:rPr>
                <w:sz w:val="17"/>
              </w:rPr>
              <w:t xml:space="preserve">2.14%</w:t>
            </w:r>
          </w:p>
        </w:tc>
        <w:tc>
          <w:tcPr/>
          <w:p>
            <w:pPr>
              <w:pStyle w:val="Compact"/>
              <w:jc w:val="right"/>
            </w:pPr>
            <w:r>
              <w:rPr>
                <w:sz w:val="17"/>
              </w:rPr>
              <w:t xml:space="preserve">2.47%</w:t>
            </w:r>
          </w:p>
        </w:tc>
        <w:tc>
          <w:tcPr/>
          <w:p>
            <w:pPr>
              <w:pStyle w:val="Compact"/>
              <w:jc w:val="right"/>
            </w:pPr>
            <w:r>
              <w:rPr>
                <w:sz w:val="17"/>
              </w:rPr>
              <w:t xml:space="preserve">93.99%</w:t>
            </w:r>
          </w:p>
        </w:tc>
        <w:tc>
          <w:tcPr/>
          <w:p>
            <w:pPr>
              <w:pStyle w:val="Compact"/>
              <w:jc w:val="right"/>
            </w:pPr>
            <w:r>
              <w:rPr>
                <w:sz w:val="17"/>
              </w:rPr>
              <w:t xml:space="preserve">79.38%</w:t>
            </w:r>
          </w:p>
        </w:tc>
        <w:tc>
          <w:tcPr/>
          <w:p>
            <w:pPr>
              <w:pStyle w:val="Compact"/>
              <w:jc w:val="right"/>
            </w:pPr>
            <w:r>
              <w:rPr>
                <w:sz w:val="17"/>
              </w:rPr>
              <w:t xml:space="preserve">0.1461</w:t>
            </w:r>
          </w:p>
        </w:tc>
        <w:tc>
          <w:tcPr/>
          <w:p>
            <w:pPr>
              <w:pStyle w:val="Compact"/>
              <w:jc w:val="right"/>
            </w:pPr>
            <w:r>
              <w:rPr>
                <w:sz w:val="17"/>
              </w:rPr>
              <w:t xml:space="preserve">0.50</w:t>
            </w:r>
          </w:p>
        </w:tc>
      </w:tr>
      <w:tr>
        <w:tc>
          <w:tcPr/>
          <w:p>
            <w:pPr>
              <w:pStyle w:val="Compact"/>
              <w:jc w:val="left"/>
            </w:pPr>
            <w:r>
              <w:rPr>
                <w:sz w:val="17"/>
              </w:rPr>
              <w:t xml:space="preserve">9</w:t>
            </w:r>
          </w:p>
        </w:tc>
        <w:tc>
          <w:tcPr/>
          <w:p>
            <w:pPr>
              <w:pStyle w:val="Compact"/>
              <w:jc w:val="right"/>
            </w:pPr>
            <w:r>
              <w:rPr>
                <w:sz w:val="17"/>
              </w:rPr>
              <w:t xml:space="preserve">13,476</w:t>
            </w:r>
          </w:p>
        </w:tc>
        <w:tc>
          <w:tcPr/>
          <w:p>
            <w:pPr>
              <w:pStyle w:val="Compact"/>
              <w:jc w:val="right"/>
            </w:pPr>
            <w:r>
              <w:rPr>
                <w:sz w:val="17"/>
              </w:rPr>
              <w:t xml:space="preserve">212</w:t>
            </w:r>
          </w:p>
        </w:tc>
        <w:tc>
          <w:tcPr/>
          <w:p>
            <w:pPr>
              <w:pStyle w:val="Compact"/>
              <w:jc w:val="right"/>
            </w:pPr>
            <w:r>
              <w:rPr>
                <w:sz w:val="17"/>
              </w:rPr>
              <w:t xml:space="preserve">1.57%</w:t>
            </w:r>
          </w:p>
        </w:tc>
        <w:tc>
          <w:tcPr/>
          <w:p>
            <w:pPr>
              <w:pStyle w:val="Compact"/>
              <w:jc w:val="right"/>
            </w:pPr>
            <w:r>
              <w:rPr>
                <w:sz w:val="17"/>
              </w:rPr>
              <w:t xml:space="preserve">1.85%</w:t>
            </w:r>
          </w:p>
        </w:tc>
        <w:tc>
          <w:tcPr/>
          <w:p>
            <w:pPr>
              <w:pStyle w:val="Compact"/>
              <w:jc w:val="right"/>
            </w:pPr>
            <w:r>
              <w:rPr>
                <w:sz w:val="17"/>
              </w:rPr>
              <w:t xml:space="preserve">97.69%</w:t>
            </w:r>
          </w:p>
        </w:tc>
        <w:tc>
          <w:tcPr/>
          <w:p>
            <w:pPr>
              <w:pStyle w:val="Compact"/>
              <w:jc w:val="right"/>
            </w:pPr>
            <w:r>
              <w:rPr>
                <w:sz w:val="17"/>
              </w:rPr>
              <w:t xml:space="preserve">89.66%</w:t>
            </w:r>
          </w:p>
        </w:tc>
        <w:tc>
          <w:tcPr/>
          <w:p>
            <w:pPr>
              <w:pStyle w:val="Compact"/>
              <w:jc w:val="right"/>
            </w:pPr>
            <w:r>
              <w:rPr>
                <w:sz w:val="17"/>
              </w:rPr>
              <w:t xml:space="preserve">0.0804</w:t>
            </w:r>
          </w:p>
        </w:tc>
        <w:tc>
          <w:tcPr/>
          <w:p>
            <w:pPr>
              <w:pStyle w:val="Compact"/>
              <w:jc w:val="right"/>
            </w:pPr>
            <w:r>
              <w:rPr>
                <w:sz w:val="17"/>
              </w:rPr>
              <w:t xml:space="preserve">0.37</w:t>
            </w:r>
          </w:p>
        </w:tc>
      </w:tr>
      <w:tr>
        <w:tc>
          <w:tcPr/>
          <w:p>
            <w:pPr>
              <w:pStyle w:val="Compact"/>
              <w:jc w:val="left"/>
            </w:pPr>
            <w:r>
              <w:rPr>
                <w:sz w:val="17"/>
              </w:rPr>
              <w:t xml:space="preserve">10</w:t>
            </w:r>
          </w:p>
        </w:tc>
        <w:tc>
          <w:tcPr/>
          <w:p>
            <w:pPr>
              <w:pStyle w:val="Compact"/>
              <w:jc w:val="right"/>
            </w:pPr>
            <w:r>
              <w:rPr>
                <w:sz w:val="17"/>
              </w:rPr>
              <w:t xml:space="preserve">13,475</w:t>
            </w:r>
          </w:p>
        </w:tc>
        <w:tc>
          <w:tcPr/>
          <w:p>
            <w:pPr>
              <w:pStyle w:val="Compact"/>
              <w:jc w:val="right"/>
            </w:pPr>
            <w:r>
              <w:rPr>
                <w:sz w:val="17"/>
              </w:rPr>
              <w:t xml:space="preserve">132</w:t>
            </w:r>
          </w:p>
        </w:tc>
        <w:tc>
          <w:tcPr/>
          <w:p>
            <w:pPr>
              <w:pStyle w:val="Compact"/>
              <w:jc w:val="right"/>
            </w:pPr>
            <w:r>
              <w:rPr>
                <w:sz w:val="17"/>
              </w:rPr>
              <w:t xml:space="preserve">0.98%</w:t>
            </w:r>
          </w:p>
        </w:tc>
        <w:tc>
          <w:tcPr/>
          <w:p>
            <w:pPr>
              <w:pStyle w:val="Compact"/>
              <w:jc w:val="right"/>
            </w:pPr>
            <w:r>
              <w:rPr>
                <w:sz w:val="17"/>
              </w:rPr>
              <w:t xml:space="preserve">1.09%</w:t>
            </w:r>
          </w:p>
        </w:tc>
        <w:tc>
          <w:tcPr/>
          <w:p>
            <w:pPr>
              <w:pStyle w:val="Compact"/>
              <w:jc w:val="right"/>
            </w:pPr>
            <w:r>
              <w:rPr>
                <w:sz w:val="17"/>
              </w:rPr>
              <w:t xml:space="preserve">100.00%</w:t>
            </w:r>
          </w:p>
        </w:tc>
        <w:tc>
          <w:tcPr/>
          <w:p>
            <w:pPr>
              <w:pStyle w:val="Compact"/>
              <w:jc w:val="right"/>
            </w:pPr>
            <w:r>
              <w:rPr>
                <w:sz w:val="17"/>
              </w:rPr>
              <w:t xml:space="preserve">100.00%</w:t>
            </w:r>
          </w:p>
        </w:tc>
        <w:tc>
          <w:tcPr/>
          <w:p>
            <w:pPr>
              <w:pStyle w:val="Compact"/>
              <w:jc w:val="right"/>
            </w:pPr>
            <w:r>
              <w:rPr>
                <w:sz w:val="17"/>
              </w:rPr>
              <w:t xml:space="preserve">0.0000</w:t>
            </w:r>
          </w:p>
        </w:tc>
        <w:tc>
          <w:tcPr/>
          <w:p>
            <w:pPr>
              <w:pStyle w:val="Compact"/>
              <w:jc w:val="right"/>
            </w:pPr>
            <w:r>
              <w:rPr>
                <w:sz w:val="17"/>
              </w:rPr>
              <w:t xml:space="preserve">0.23</w:t>
            </w:r>
          </w:p>
        </w:tc>
      </w:tr>
    </w:tbl>
    <w:p>
      <w:pPr>
        <w:pStyle w:val="BodyText"/>
      </w:pPr>
      <w:r>
        <w:t xml:space="preserve">The riskiest decile has an observed bad rate of 9.83% (lift 2.31) and holds 23.1% of all bads; the safest decile has a bad rate of 0.98%. There are 0 inversions on 2013 loans (Green). The model is also run at sub-grade level (33 to 35 groups with at least 100 loans): SC_FULL has 11 adjacent inversions on 2013 loans when sub-grades are ordered by their mean predicted PD, which is expected for small groups with noisy observed rates.</w:t>
      </w:r>
    </w:p>
    <w:p>
      <w:pPr>
        <w:pStyle w:val="CaptionedFigure"/>
      </w:pPr>
      <w:r>
        <w:drawing>
          <wp:inline>
            <wp:extent cx="4267200" cy="1920240"/>
            <wp:effectExtent b="0" l="0" r="0" t="0"/>
            <wp:docPr descr="Observed bad rate against predicted PD by decile, 2013 loans." title="" id="78" name="Picture"/>
            <a:graphic>
              <a:graphicData uri="http://schemas.openxmlformats.org/drawingml/2006/picture">
                <pic:pic>
                  <pic:nvPicPr>
                    <pic:cNvPr descr="../python/outputs/charts/decile_bad_rate_oot1.png" id="79" name="Picture"/>
                    <pic:cNvPicPr>
                      <a:picLocks noChangeArrowheads="1" noChangeAspect="1"/>
                    </pic:cNvPicPr>
                  </pic:nvPicPr>
                  <pic:blipFill>
                    <a:blip r:embed="rId77"/>
                    <a:stretch>
                      <a:fillRect/>
                    </a:stretch>
                  </pic:blipFill>
                  <pic:spPr bwMode="auto">
                    <a:xfrm>
                      <a:off x="0" y="0"/>
                      <a:ext cx="4267200" cy="1920240"/>
                    </a:xfrm>
                    <a:prstGeom prst="rect">
                      <a:avLst/>
                    </a:prstGeom>
                    <a:noFill/>
                    <a:ln w="9525">
                      <a:noFill/>
                      <a:headEnd/>
                      <a:tailEnd/>
                    </a:ln>
                  </pic:spPr>
                </pic:pic>
              </a:graphicData>
            </a:graphic>
          </wp:inline>
        </w:drawing>
      </w:r>
    </w:p>
    <w:p>
      <w:pPr>
        <w:pStyle w:val="ImageCaption"/>
      </w:pPr>
      <w:r>
        <w:t xml:space="preserve">Observed bad rate against predicted PD by decile, 2013 loans.</w:t>
      </w:r>
    </w:p>
    <w:bookmarkEnd w:id="80"/>
    <w:bookmarkStart w:id="84" w:name="X9a8a4a9f0c7bfb23ececde9b28d388d04b2672b"/>
    <w:p>
      <w:pPr>
        <w:pStyle w:val="Heading2"/>
      </w:pPr>
      <w:r>
        <w:rPr>
          <w:rStyle w:val="SectionNumber"/>
        </w:rPr>
        <w:t xml:space="preserve">11.3</w:t>
      </w:r>
      <w:r>
        <w:tab/>
      </w:r>
      <w:r>
        <w:t xml:space="preserve">Calibration: central tendency, slope and intercept</w:t>
      </w:r>
    </w:p>
    <w:p>
      <w:pPr>
        <w:pStyle w:val="FirstParagraph"/>
      </w:pPr>
      <w:r>
        <w:rPr>
          <w:b/>
          <w:bCs/>
        </w:rPr>
        <w:t xml:space="preserve">Central tendency</w:t>
      </w:r>
      <w:r>
        <w:t xml:space="preserve"> </w:t>
      </w:r>
      <w:r>
        <w:t xml:space="preserve">compares the average predicted PD with the observed bad rate, as a relative deviation</w:t>
      </w:r>
      <w:r>
        <w:t xml:space="preserve"> </w:t>
      </w:r>
      <m:oMath>
        <m:r>
          <m:rPr>
            <m:sty m:val="p"/>
          </m:rPr>
          <m:t>|</m:t>
        </m:r>
        <m:acc>
          <m:accPr>
            <m:chr m:val="‾"/>
          </m:accPr>
          <m:e>
            <m:r>
              <m:t>p</m:t>
            </m:r>
          </m:e>
        </m:acc>
        <m:r>
          <m:rPr>
            <m:sty m:val="p"/>
          </m:rPr>
          <m:t>−</m:t>
        </m:r>
        <m:acc>
          <m:accPr>
            <m:chr m:val="‾"/>
          </m:accPr>
          <m:e>
            <m:r>
              <m:t>y</m:t>
            </m:r>
          </m:e>
        </m:acc>
        <m:r>
          <m:rPr>
            <m:sty m:val="p"/>
          </m:rPr>
          <m:t>|</m:t>
        </m:r>
        <m:r>
          <m:rPr>
            <m:sty m:val="p"/>
          </m:rPr>
          <m:t>/</m:t>
        </m:r>
        <m:acc>
          <m:accPr>
            <m:chr m:val="‾"/>
          </m:accPr>
          <m:e>
            <m:r>
              <m:t>y</m:t>
            </m:r>
          </m:e>
        </m:acc>
      </m:oMath>
      <w:r>
        <w:t xml:space="preserve">.</w:t>
      </w:r>
      <w:r>
        <w:t xml:space="preserve"> </w:t>
      </w:r>
      <w:r>
        <w:rPr>
          <w:b/>
          <w:bCs/>
        </w:rPr>
        <w:t xml:space="preserve">Calibration slope and intercept</w:t>
      </w:r>
      <w:r>
        <w:t xml:space="preserve"> </w:t>
      </w:r>
      <w:r>
        <w:t xml:space="preserve">come from a logistic recalibration</w:t>
      </w:r>
      <w:r>
        <w:t xml:space="preserve"> </w:t>
      </w:r>
      <m:oMath>
        <m:r>
          <m:rPr>
            <m:sty m:val="p"/>
          </m:rPr>
          <m:t>l</m:t>
        </m:r>
        <m:r>
          <m:rPr>
            <m:sty m:val="p"/>
          </m:rPr>
          <m:t>o</m:t>
        </m:r>
        <m:r>
          <m:rPr>
            <m:sty m:val="p"/>
          </m:rPr>
          <m:t>g</m:t>
        </m:r>
        <m:r>
          <m:rPr>
            <m:sty m:val="p"/>
          </m:rPr>
          <m:t>i</m:t>
        </m:r>
        <m:r>
          <m:rPr>
            <m:sty m:val="p"/>
          </m:rPr>
          <m:t>t</m:t>
        </m:r>
        <m:r>
          <m:rPr>
            <m:sty m:val="p"/>
          </m:rPr>
          <m:t>(</m:t>
        </m:r>
        <m:r>
          <m:t>P</m:t>
        </m:r>
        <m:r>
          <m:rPr>
            <m:sty m:val="p"/>
          </m:rPr>
          <m:t>(</m:t>
        </m:r>
        <m:r>
          <m:t>y</m:t>
        </m:r>
        <m:r>
          <m:rPr>
            <m:sty m:val="p"/>
          </m:rPr>
          <m:t>=</m:t>
        </m:r>
        <m:r>
          <m:t>1</m:t>
        </m:r>
        <m:r>
          <m:rPr>
            <m:sty m:val="p"/>
          </m:rPr>
          <m:t>)</m:t>
        </m:r>
        <m:r>
          <m:rPr>
            <m:sty m:val="p"/>
          </m:rPr>
          <m:t>)</m:t>
        </m:r>
        <m:r>
          <m:rPr>
            <m:sty m:val="p"/>
          </m:rPr>
          <m:t>=</m:t>
        </m:r>
        <m:r>
          <m:t>a</m:t>
        </m:r>
        <m:r>
          <m:rPr>
            <m:sty m:val="p"/>
          </m:rPr>
          <m:t>+</m:t>
        </m:r>
        <m:r>
          <m:t>b</m:t>
        </m:r>
        <m:r>
          <m:t> </m:t>
        </m:r>
        <m:r>
          <m:rPr>
            <m:sty m:val="p"/>
          </m:rPr>
          <m:t>l</m:t>
        </m:r>
        <m:r>
          <m:rPr>
            <m:sty m:val="p"/>
          </m:rPr>
          <m:t>o</m:t>
        </m:r>
        <m:r>
          <m:rPr>
            <m:sty m:val="p"/>
          </m:rPr>
          <m:t>g</m:t>
        </m:r>
        <m:r>
          <m:rPr>
            <m:sty m:val="p"/>
          </m:rPr>
          <m:t>i</m:t>
        </m:r>
        <m:r>
          <m:rPr>
            <m:sty m:val="p"/>
          </m:rPr>
          <m:t>t</m:t>
        </m:r>
        <m:r>
          <m:rPr>
            <m:sty m:val="p"/>
          </m:rPr>
          <m:t>(</m:t>
        </m:r>
        <m:r>
          <m:t>p</m:t>
        </m:r>
        <m:r>
          <m:rPr>
            <m:sty m:val="p"/>
          </m:rPr>
          <m:t>)</m:t>
        </m:r>
      </m:oMath>
      <w:r>
        <w:t xml:space="preserve"> </w:t>
      </w:r>
      <w:r>
        <w:t xml:space="preserve">on the out-of-time data. A perfectly calibrated model has</w:t>
      </w:r>
      <w:r>
        <w:t xml:space="preserve"> </w:t>
      </w:r>
      <m:oMath>
        <m:r>
          <m:t>a</m:t>
        </m:r>
        <m:r>
          <m:rPr>
            <m:sty m:val="p"/>
          </m:rPr>
          <m:t>=</m:t>
        </m:r>
        <m:r>
          <m:t>0</m:t>
        </m:r>
      </m:oMath>
      <w:r>
        <w:t xml:space="preserve"> </w:t>
      </w:r>
      <w:r>
        <w:t xml:space="preserve">and</w:t>
      </w:r>
      <w:r>
        <w:t xml:space="preserve"> </w:t>
      </w:r>
      <m:oMath>
        <m:r>
          <m:t>b</m:t>
        </m:r>
        <m:r>
          <m:rPr>
            <m:sty m:val="p"/>
          </m:rPr>
          <m:t>=</m:t>
        </m:r>
        <m:r>
          <m:t>1</m:t>
        </m:r>
      </m:oMath>
      <w:r>
        <w:t xml:space="preserve">. A slope below 1 means predictions are too spread out (high PDs too high, low PDs too low); an intercept below zero means PDs are too high on average.</w:t>
      </w:r>
    </w:p>
    <w:p>
      <w:pPr>
        <w:pStyle w:val="BodyText"/>
      </w:pPr>
      <w:r>
        <w:t xml:space="preserve">The</w:t>
      </w:r>
      <w:r>
        <w:t xml:space="preserve"> </w:t>
      </w:r>
      <w:r>
        <w:rPr>
          <w:b/>
          <w:bCs/>
        </w:rPr>
        <w:t xml:space="preserve">Brier score</w:t>
      </w:r>
      <w:r>
        <w:t xml:space="preserve"> </w:t>
      </w:r>
      <m:oMath>
        <m:f>
          <m:fPr>
            <m:type m:val="bar"/>
          </m:fPr>
          <m:num>
            <m:r>
              <m:t>1</m:t>
            </m:r>
          </m:num>
          <m:den>
            <m:r>
              <m:t>n</m:t>
            </m:r>
          </m:den>
        </m:f>
        <m:r>
          <m:rPr>
            <m:sty m:val="p"/>
          </m:rPr>
          <m:t>∑</m:t>
        </m:r>
        <m:r>
          <m:rPr>
            <m:sty m:val="p"/>
          </m:rPr>
          <m:t>(</m:t>
        </m:r>
        <m:sSub>
          <m:e>
            <m:r>
              <m:t>p</m:t>
            </m:r>
          </m:e>
          <m:sub>
            <m:r>
              <m:t>i</m:t>
            </m:r>
          </m:sub>
        </m:sSub>
        <m:r>
          <m:rPr>
            <m:sty m:val="p"/>
          </m:rPr>
          <m:t>−</m:t>
        </m:r>
        <m:sSub>
          <m:e>
            <m:r>
              <m:t>y</m:t>
            </m:r>
          </m:e>
          <m:sub>
            <m:r>
              <m:t>i</m:t>
            </m:r>
          </m:sub>
        </m:sSub>
        <m:sSup>
          <m:e>
            <m:r>
              <m:rPr>
                <m:sty m:val="p"/>
              </m:rPr>
              <m:t>)</m:t>
            </m:r>
          </m:e>
          <m:sup>
            <m:r>
              <m:t>2</m:t>
            </m:r>
          </m:sup>
        </m:sSup>
      </m:oMath>
      <w:r>
        <w:t xml:space="preserve"> </w:t>
      </w:r>
      <w:r>
        <w:t xml:space="preserve">rewards both discrimination and calibration, and the Brier skill score</w:t>
      </w:r>
      <w:r>
        <w:t xml:space="preserve"> </w:t>
      </w:r>
      <m:oMath>
        <m:r>
          <m:t>1</m:t>
        </m:r>
        <m:r>
          <m:rPr>
            <m:sty m:val="p"/>
          </m:rPr>
          <m:t>−</m:t>
        </m:r>
        <m:r>
          <m:rPr>
            <m:sty m:val="p"/>
          </m:rPr>
          <m:t>B</m:t>
        </m:r>
        <m:r>
          <m:rPr>
            <m:sty m:val="p"/>
          </m:rPr>
          <m:t>r</m:t>
        </m:r>
        <m:r>
          <m:rPr>
            <m:sty m:val="p"/>
          </m:rPr>
          <m:t>i</m:t>
        </m:r>
        <m:r>
          <m:rPr>
            <m:sty m:val="p"/>
          </m:rPr>
          <m:t>e</m:t>
        </m:r>
        <m:r>
          <m:rPr>
            <m:sty m:val="p"/>
          </m:rPr>
          <m:t>r</m:t>
        </m:r>
        <m:r>
          <m:rPr>
            <m:sty m:val="p"/>
          </m:rPr>
          <m:t>/</m:t>
        </m:r>
        <m:r>
          <m:rPr>
            <m:sty m:val="p"/>
          </m:rPr>
          <m:t>(</m:t>
        </m:r>
        <m:acc>
          <m:accPr>
            <m:chr m:val="‾"/>
          </m:accPr>
          <m:e>
            <m:r>
              <m:t>y</m:t>
            </m:r>
          </m:e>
        </m:acc>
        <m:r>
          <m:rPr>
            <m:sty m:val="p"/>
          </m:rPr>
          <m:t>(</m:t>
        </m:r>
        <m:r>
          <m:t>1</m:t>
        </m:r>
        <m:r>
          <m:rPr>
            <m:sty m:val="p"/>
          </m:rPr>
          <m:t>−</m:t>
        </m:r>
        <m:acc>
          <m:accPr>
            <m:chr m:val="‾"/>
          </m:accPr>
          <m:e>
            <m:r>
              <m:t>y</m:t>
            </m:r>
          </m:e>
        </m:acc>
        <m:r>
          <m:rPr>
            <m:sty m:val="p"/>
          </m:rPr>
          <m:t>)</m:t>
        </m:r>
        <m:r>
          <m:rPr>
            <m:sty m:val="p"/>
          </m:rPr>
          <m:t>)</m:t>
        </m:r>
      </m:oMath>
      <w:r>
        <w:t xml:space="preserve"> </w:t>
      </w:r>
      <w:r>
        <w:t xml:space="preserve">compares it with always predicting the portfolio rate.</w:t>
      </w:r>
    </w:p>
    <w:p>
      <w:pPr>
        <w:pStyle w:val="TableCaption"/>
      </w:pPr>
      <w:r>
        <w:t xml:space="preserve">Calibration summary. Slope and intercept from the logistic recalibration; HL is the Hosmer-Lemeshow test (next section).</w:t>
      </w:r>
    </w:p>
    <w:tbl>
      <w:tblPr>
        <w:tblStyle w:val="Table"/>
        <w:tblW w:type="pct" w:w="5000"/>
        <w:tblLayout w:type="fixed"/>
        <w:tblLook w:firstRow="1" w:lastRow="0" w:firstColumn="0" w:lastColumn="0" w:noHBand="0" w:noVBand="0" w:val="0020"/>
        <w:tblCaption w:val="Calibration summary. Slope and intercept from the logistic recalibration; HL is the Hosmer-Lemeshow test (next sectio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6"/>
        <w:gridCol w:w="709"/>
        <w:gridCol w:w="827"/>
        <w:gridCol w:w="945"/>
        <w:gridCol w:w="591"/>
        <w:gridCol w:w="1063"/>
        <w:gridCol w:w="827"/>
        <w:gridCol w:w="1418"/>
      </w:tblGrid>
      <w:tr>
        <w:trPr>
          <w:tblHeader w:val="on"/>
        </w:trPr>
        <w:tc>
          <w:tcPr/>
          <w:p>
            <w:pPr>
              <w:pStyle w:val="Compact"/>
              <w:jc w:val="left"/>
            </w:pPr>
            <w:r>
              <w:rPr>
                <w:sz w:val="17"/>
              </w:rPr>
              <w:t xml:space="preserve">Model</w:t>
            </w:r>
          </w:p>
        </w:tc>
        <w:tc>
          <w:tcPr/>
          <w:p>
            <w:pPr>
              <w:pStyle w:val="Compact"/>
              <w:jc w:val="right"/>
            </w:pPr>
            <w:r>
              <w:rPr>
                <w:sz w:val="17"/>
              </w:rPr>
              <w:t xml:space="preserve">Sample</w:t>
            </w:r>
          </w:p>
        </w:tc>
        <w:tc>
          <w:tcPr/>
          <w:p>
            <w:pPr>
              <w:pStyle w:val="Compact"/>
              <w:jc w:val="right"/>
            </w:pPr>
            <w:r>
              <w:rPr>
                <w:sz w:val="17"/>
              </w:rPr>
              <w:t xml:space="preserve">Mean PD</w:t>
            </w:r>
          </w:p>
        </w:tc>
        <w:tc>
          <w:tcPr/>
          <w:p>
            <w:pPr>
              <w:pStyle w:val="Compact"/>
              <w:jc w:val="right"/>
            </w:pPr>
            <w:r>
              <w:rPr>
                <w:sz w:val="17"/>
              </w:rPr>
              <w:t xml:space="preserve">Observed</w:t>
            </w:r>
          </w:p>
        </w:tc>
        <w:tc>
          <w:tcPr/>
          <w:p>
            <w:pPr>
              <w:pStyle w:val="Compact"/>
              <w:jc w:val="right"/>
            </w:pPr>
            <w:r>
              <w:rPr>
                <w:sz w:val="17"/>
              </w:rPr>
              <w:t xml:space="preserve">Slope</w:t>
            </w:r>
          </w:p>
        </w:tc>
        <w:tc>
          <w:tcPr/>
          <w:p>
            <w:pPr>
              <w:pStyle w:val="Compact"/>
              <w:jc w:val="right"/>
            </w:pPr>
            <w:r>
              <w:rPr>
                <w:sz w:val="17"/>
              </w:rPr>
              <w:t xml:space="preserve">Intercept</w:t>
            </w:r>
          </w:p>
        </w:tc>
        <w:tc>
          <w:tcPr/>
          <w:p>
            <w:pPr>
              <w:pStyle w:val="Compact"/>
              <w:jc w:val="right"/>
            </w:pPr>
            <w:r>
              <w:rPr>
                <w:sz w:val="17"/>
              </w:rPr>
              <w:t xml:space="preserve">HL p</w:t>
            </w:r>
          </w:p>
        </w:tc>
        <w:tc>
          <w:tcPr/>
          <w:p>
            <w:pPr>
              <w:pStyle w:val="Compact"/>
              <w:jc w:val="right"/>
            </w:pPr>
            <w:r>
              <w:rPr>
                <w:sz w:val="17"/>
              </w:rPr>
              <w:t xml:space="preserve">HL statistic</w:t>
            </w:r>
          </w:p>
        </w:tc>
      </w:tr>
      <w:tr>
        <w:tc>
          <w:tcPr/>
          <w:p>
            <w:pPr>
              <w:pStyle w:val="Compact"/>
              <w:jc w:val="left"/>
            </w:pPr>
            <w:r>
              <w:rPr>
                <w:sz w:val="17"/>
              </w:rPr>
              <w:t xml:space="preserve">sc_full</w:t>
            </w:r>
          </w:p>
        </w:tc>
        <w:tc>
          <w:tcPr/>
          <w:p>
            <w:pPr>
              <w:pStyle w:val="Compact"/>
              <w:jc w:val="right"/>
            </w:pPr>
            <w:r>
              <w:rPr>
                <w:sz w:val="17"/>
              </w:rPr>
              <w:t xml:space="preserve">oot1</w:t>
            </w:r>
          </w:p>
        </w:tc>
        <w:tc>
          <w:tcPr/>
          <w:p>
            <w:pPr>
              <w:pStyle w:val="Compact"/>
              <w:jc w:val="right"/>
            </w:pPr>
            <w:r>
              <w:rPr>
                <w:sz w:val="17"/>
              </w:rPr>
              <w:t xml:space="preserve">4.91%</w:t>
            </w:r>
          </w:p>
        </w:tc>
        <w:tc>
          <w:tcPr/>
          <w:p>
            <w:pPr>
              <w:pStyle w:val="Compact"/>
              <w:jc w:val="right"/>
            </w:pPr>
            <w:r>
              <w:rPr>
                <w:sz w:val="17"/>
              </w:rPr>
              <w:t xml:space="preserve">4.25%</w:t>
            </w:r>
          </w:p>
        </w:tc>
        <w:tc>
          <w:tcPr/>
          <w:p>
            <w:pPr>
              <w:pStyle w:val="Compact"/>
              <w:jc w:val="right"/>
            </w:pPr>
            <w:r>
              <w:rPr>
                <w:sz w:val="17"/>
              </w:rPr>
              <w:t xml:space="preserve">0.927</w:t>
            </w:r>
          </w:p>
        </w:tc>
        <w:tc>
          <w:tcPr/>
          <w:p>
            <w:pPr>
              <w:pStyle w:val="Compact"/>
              <w:jc w:val="right"/>
            </w:pPr>
            <w:r>
              <w:rPr>
                <w:sz w:val="17"/>
              </w:rPr>
              <w:t xml:space="preserve">-0.356</w:t>
            </w:r>
          </w:p>
        </w:tc>
        <w:tc>
          <w:tcPr/>
          <w:p>
            <w:pPr>
              <w:pStyle w:val="Compact"/>
              <w:jc w:val="right"/>
            </w:pPr>
            <w:r>
              <w:rPr>
                <w:sz w:val="17"/>
              </w:rPr>
              <w:t xml:space="preserve">2.8e-26</w:t>
            </w:r>
          </w:p>
        </w:tc>
        <w:tc>
          <w:tcPr/>
          <w:p>
            <w:pPr>
              <w:pStyle w:val="Compact"/>
              <w:jc w:val="right"/>
            </w:pPr>
            <w:r>
              <w:rPr>
                <w:sz w:val="17"/>
              </w:rPr>
              <w:t xml:space="preserve">145.7</w:t>
            </w:r>
          </w:p>
        </w:tc>
      </w:tr>
      <w:tr>
        <w:tc>
          <w:tcPr/>
          <w:p>
            <w:pPr>
              <w:pStyle w:val="Compact"/>
              <w:jc w:val="left"/>
            </w:pPr>
            <w:r>
              <w:rPr>
                <w:sz w:val="17"/>
              </w:rPr>
              <w:t xml:space="preserve">sc_full</w:t>
            </w:r>
          </w:p>
        </w:tc>
        <w:tc>
          <w:tcPr/>
          <w:p>
            <w:pPr>
              <w:pStyle w:val="Compact"/>
              <w:jc w:val="right"/>
            </w:pPr>
            <w:r>
              <w:rPr>
                <w:sz w:val="17"/>
              </w:rPr>
              <w:t xml:space="preserve">oot2</w:t>
            </w:r>
          </w:p>
        </w:tc>
        <w:tc>
          <w:tcPr/>
          <w:p>
            <w:pPr>
              <w:pStyle w:val="Compact"/>
              <w:jc w:val="right"/>
            </w:pPr>
            <w:r>
              <w:rPr>
                <w:sz w:val="17"/>
              </w:rPr>
              <w:t xml:space="preserve">4.95%</w:t>
            </w:r>
          </w:p>
        </w:tc>
        <w:tc>
          <w:tcPr/>
          <w:p>
            <w:pPr>
              <w:pStyle w:val="Compact"/>
              <w:jc w:val="right"/>
            </w:pPr>
            <w:r>
              <w:rPr>
                <w:sz w:val="17"/>
              </w:rPr>
              <w:t xml:space="preserve">4.66%</w:t>
            </w:r>
          </w:p>
        </w:tc>
        <w:tc>
          <w:tcPr/>
          <w:p>
            <w:pPr>
              <w:pStyle w:val="Compact"/>
              <w:jc w:val="right"/>
            </w:pPr>
            <w:r>
              <w:rPr>
                <w:sz w:val="17"/>
              </w:rPr>
              <w:t xml:space="preserve">0.905</w:t>
            </w:r>
          </w:p>
        </w:tc>
        <w:tc>
          <w:tcPr/>
          <w:p>
            <w:pPr>
              <w:pStyle w:val="Compact"/>
              <w:jc w:val="right"/>
            </w:pPr>
            <w:r>
              <w:rPr>
                <w:sz w:val="17"/>
              </w:rPr>
              <w:t xml:space="preserve">-0.329</w:t>
            </w:r>
          </w:p>
        </w:tc>
        <w:tc>
          <w:tcPr/>
          <w:p>
            <w:pPr>
              <w:pStyle w:val="Compact"/>
              <w:jc w:val="right"/>
            </w:pPr>
            <w:r>
              <w:rPr>
                <w:sz w:val="17"/>
              </w:rPr>
              <w:t xml:space="preserve">4.3e-16</w:t>
            </w:r>
          </w:p>
        </w:tc>
        <w:tc>
          <w:tcPr/>
          <w:p>
            <w:pPr>
              <w:pStyle w:val="Compact"/>
              <w:jc w:val="right"/>
            </w:pPr>
            <w:r>
              <w:rPr>
                <w:sz w:val="17"/>
              </w:rPr>
              <w:t xml:space="preserve">95.5</w:t>
            </w:r>
          </w:p>
        </w:tc>
      </w:tr>
      <w:tr>
        <w:tc>
          <w:tcPr/>
          <w:p>
            <w:pPr>
              <w:pStyle w:val="Compact"/>
              <w:jc w:val="left"/>
            </w:pPr>
            <w:r>
              <w:rPr>
                <w:sz w:val="17"/>
              </w:rPr>
              <w:t xml:space="preserve">sc_indep</w:t>
            </w:r>
          </w:p>
        </w:tc>
        <w:tc>
          <w:tcPr/>
          <w:p>
            <w:pPr>
              <w:pStyle w:val="Compact"/>
              <w:jc w:val="right"/>
            </w:pPr>
            <w:r>
              <w:rPr>
                <w:sz w:val="17"/>
              </w:rPr>
              <w:t xml:space="preserve">oot1</w:t>
            </w:r>
          </w:p>
        </w:tc>
        <w:tc>
          <w:tcPr/>
          <w:p>
            <w:pPr>
              <w:pStyle w:val="Compact"/>
              <w:jc w:val="right"/>
            </w:pPr>
            <w:r>
              <w:rPr>
                <w:sz w:val="17"/>
              </w:rPr>
              <w:t xml:space="preserve">4.49%</w:t>
            </w:r>
          </w:p>
        </w:tc>
        <w:tc>
          <w:tcPr/>
          <w:p>
            <w:pPr>
              <w:pStyle w:val="Compact"/>
              <w:jc w:val="right"/>
            </w:pPr>
            <w:r>
              <w:rPr>
                <w:sz w:val="17"/>
              </w:rPr>
              <w:t xml:space="preserve">4.25%</w:t>
            </w:r>
          </w:p>
        </w:tc>
        <w:tc>
          <w:tcPr/>
          <w:p>
            <w:pPr>
              <w:pStyle w:val="Compact"/>
              <w:jc w:val="right"/>
            </w:pPr>
            <w:r>
              <w:rPr>
                <w:sz w:val="17"/>
              </w:rPr>
              <w:t xml:space="preserve">0.904</w:t>
            </w:r>
          </w:p>
        </w:tc>
        <w:tc>
          <w:tcPr/>
          <w:p>
            <w:pPr>
              <w:pStyle w:val="Compact"/>
              <w:jc w:val="right"/>
            </w:pPr>
            <w:r>
              <w:rPr>
                <w:sz w:val="17"/>
              </w:rPr>
              <w:t xml:space="preserve">-0.341</w:t>
            </w:r>
          </w:p>
        </w:tc>
        <w:tc>
          <w:tcPr/>
          <w:p>
            <w:pPr>
              <w:pStyle w:val="Compact"/>
              <w:jc w:val="right"/>
            </w:pPr>
            <w:r>
              <w:rPr>
                <w:sz w:val="17"/>
              </w:rPr>
              <w:t xml:space="preserve">4.2e-07</w:t>
            </w:r>
          </w:p>
        </w:tc>
        <w:tc>
          <w:tcPr/>
          <w:p>
            <w:pPr>
              <w:pStyle w:val="Compact"/>
              <w:jc w:val="right"/>
            </w:pPr>
            <w:r>
              <w:rPr>
                <w:sz w:val="17"/>
              </w:rPr>
              <w:t xml:space="preserve">49.0</w:t>
            </w:r>
          </w:p>
        </w:tc>
      </w:tr>
      <w:tr>
        <w:tc>
          <w:tcPr/>
          <w:p>
            <w:pPr>
              <w:pStyle w:val="Compact"/>
              <w:jc w:val="left"/>
            </w:pPr>
            <w:r>
              <w:rPr>
                <w:sz w:val="17"/>
              </w:rPr>
              <w:t xml:space="preserve">sc_indep</w:t>
            </w:r>
          </w:p>
        </w:tc>
        <w:tc>
          <w:tcPr/>
          <w:p>
            <w:pPr>
              <w:pStyle w:val="Compact"/>
              <w:jc w:val="right"/>
            </w:pPr>
            <w:r>
              <w:rPr>
                <w:sz w:val="17"/>
              </w:rPr>
              <w:t xml:space="preserve">oot2</w:t>
            </w:r>
          </w:p>
        </w:tc>
        <w:tc>
          <w:tcPr/>
          <w:p>
            <w:pPr>
              <w:pStyle w:val="Compact"/>
              <w:jc w:val="right"/>
            </w:pPr>
            <w:r>
              <w:rPr>
                <w:sz w:val="17"/>
              </w:rPr>
              <w:t xml:space="preserve">4.49%</w:t>
            </w:r>
          </w:p>
        </w:tc>
        <w:tc>
          <w:tcPr/>
          <w:p>
            <w:pPr>
              <w:pStyle w:val="Compact"/>
              <w:jc w:val="right"/>
            </w:pPr>
            <w:r>
              <w:rPr>
                <w:sz w:val="17"/>
              </w:rPr>
              <w:t xml:space="preserve">4.66%</w:t>
            </w:r>
          </w:p>
        </w:tc>
        <w:tc>
          <w:tcPr/>
          <w:p>
            <w:pPr>
              <w:pStyle w:val="Compact"/>
              <w:jc w:val="right"/>
            </w:pPr>
            <w:r>
              <w:rPr>
                <w:sz w:val="17"/>
              </w:rPr>
              <w:t xml:space="preserve">0.809</w:t>
            </w:r>
          </w:p>
        </w:tc>
        <w:tc>
          <w:tcPr/>
          <w:p>
            <w:pPr>
              <w:pStyle w:val="Compact"/>
              <w:jc w:val="right"/>
            </w:pPr>
            <w:r>
              <w:rPr>
                <w:sz w:val="17"/>
              </w:rPr>
              <w:t xml:space="preserve">-0.523</w:t>
            </w:r>
          </w:p>
        </w:tc>
        <w:tc>
          <w:tcPr/>
          <w:p>
            <w:pPr>
              <w:pStyle w:val="Compact"/>
              <w:jc w:val="right"/>
            </w:pPr>
            <w:r>
              <w:rPr>
                <w:sz w:val="17"/>
              </w:rPr>
              <w:t xml:space="preserve">1.1e-23</w:t>
            </w:r>
          </w:p>
        </w:tc>
        <w:tc>
          <w:tcPr/>
          <w:p>
            <w:pPr>
              <w:pStyle w:val="Compact"/>
              <w:jc w:val="right"/>
            </w:pPr>
            <w:r>
              <w:rPr>
                <w:sz w:val="17"/>
              </w:rPr>
              <w:t xml:space="preserve">133.1</w:t>
            </w:r>
          </w:p>
        </w:tc>
      </w:tr>
      <w:tr>
        <w:tc>
          <w:tcPr/>
          <w:p>
            <w:pPr>
              <w:pStyle w:val="Compact"/>
              <w:jc w:val="left"/>
            </w:pPr>
            <w:r>
              <w:rPr>
                <w:sz w:val="17"/>
              </w:rPr>
              <w:t xml:space="preserve">xgb</w:t>
            </w:r>
          </w:p>
        </w:tc>
        <w:tc>
          <w:tcPr/>
          <w:p>
            <w:pPr>
              <w:pStyle w:val="Compact"/>
              <w:jc w:val="right"/>
            </w:pPr>
            <w:r>
              <w:rPr>
                <w:sz w:val="17"/>
              </w:rPr>
              <w:t xml:space="preserve">oot1</w:t>
            </w:r>
          </w:p>
        </w:tc>
        <w:tc>
          <w:tcPr/>
          <w:p>
            <w:pPr>
              <w:pStyle w:val="Compact"/>
              <w:jc w:val="right"/>
            </w:pPr>
            <w:r>
              <w:rPr>
                <w:sz w:val="17"/>
              </w:rPr>
              <w:t xml:space="preserve">5.18%</w:t>
            </w:r>
          </w:p>
        </w:tc>
        <w:tc>
          <w:tcPr/>
          <w:p>
            <w:pPr>
              <w:pStyle w:val="Compact"/>
              <w:jc w:val="right"/>
            </w:pPr>
            <w:r>
              <w:rPr>
                <w:sz w:val="17"/>
              </w:rPr>
              <w:t xml:space="preserve">4.25%</w:t>
            </w:r>
          </w:p>
        </w:tc>
        <w:tc>
          <w:tcPr/>
          <w:p>
            <w:pPr>
              <w:pStyle w:val="Compact"/>
              <w:jc w:val="right"/>
            </w:pPr>
            <w:r>
              <w:rPr>
                <w:sz w:val="17"/>
              </w:rPr>
              <w:t xml:space="preserve">0.942</w:t>
            </w:r>
          </w:p>
        </w:tc>
        <w:tc>
          <w:tcPr/>
          <w:p>
            <w:pPr>
              <w:pStyle w:val="Compact"/>
              <w:jc w:val="right"/>
            </w:pPr>
            <w:r>
              <w:rPr>
                <w:sz w:val="17"/>
              </w:rPr>
              <w:t xml:space="preserve">-0.369</w:t>
            </w:r>
          </w:p>
        </w:tc>
        <w:tc>
          <w:tcPr/>
          <w:p>
            <w:pPr>
              <w:pStyle w:val="Compact"/>
              <w:jc w:val="right"/>
            </w:pPr>
            <w:r>
              <w:rPr>
                <w:sz w:val="17"/>
              </w:rPr>
              <w:t xml:space="preserve">4.8e-57</w:t>
            </w:r>
          </w:p>
        </w:tc>
        <w:tc>
          <w:tcPr/>
          <w:p>
            <w:pPr>
              <w:pStyle w:val="Compact"/>
              <w:jc w:val="right"/>
            </w:pPr>
            <w:r>
              <w:rPr>
                <w:sz w:val="17"/>
              </w:rPr>
              <w:t xml:space="preserve">293.0</w:t>
            </w:r>
          </w:p>
        </w:tc>
      </w:tr>
      <w:tr>
        <w:tc>
          <w:tcPr/>
          <w:p>
            <w:pPr>
              <w:pStyle w:val="Compact"/>
              <w:jc w:val="left"/>
            </w:pPr>
            <w:r>
              <w:rPr>
                <w:sz w:val="17"/>
              </w:rPr>
              <w:t xml:space="preserve">xgb</w:t>
            </w:r>
          </w:p>
        </w:tc>
        <w:tc>
          <w:tcPr/>
          <w:p>
            <w:pPr>
              <w:pStyle w:val="Compact"/>
              <w:jc w:val="right"/>
            </w:pPr>
            <w:r>
              <w:rPr>
                <w:sz w:val="17"/>
              </w:rPr>
              <w:t xml:space="preserve">oot2</w:t>
            </w:r>
          </w:p>
        </w:tc>
        <w:tc>
          <w:tcPr/>
          <w:p>
            <w:pPr>
              <w:pStyle w:val="Compact"/>
              <w:jc w:val="right"/>
            </w:pPr>
            <w:r>
              <w:rPr>
                <w:sz w:val="17"/>
              </w:rPr>
              <w:t xml:space="preserve">4.90%</w:t>
            </w:r>
          </w:p>
        </w:tc>
        <w:tc>
          <w:tcPr/>
          <w:p>
            <w:pPr>
              <w:pStyle w:val="Compact"/>
              <w:jc w:val="right"/>
            </w:pPr>
            <w:r>
              <w:rPr>
                <w:sz w:val="17"/>
              </w:rPr>
              <w:t xml:space="preserve">4.66%</w:t>
            </w:r>
          </w:p>
        </w:tc>
        <w:tc>
          <w:tcPr/>
          <w:p>
            <w:pPr>
              <w:pStyle w:val="Compact"/>
              <w:jc w:val="right"/>
            </w:pPr>
            <w:r>
              <w:rPr>
                <w:sz w:val="17"/>
              </w:rPr>
              <w:t xml:space="preserve">0.928</w:t>
            </w:r>
          </w:p>
        </w:tc>
        <w:tc>
          <w:tcPr/>
          <w:p>
            <w:pPr>
              <w:pStyle w:val="Compact"/>
              <w:jc w:val="right"/>
            </w:pPr>
            <w:r>
              <w:rPr>
                <w:sz w:val="17"/>
              </w:rPr>
              <w:t xml:space="preserve">-0.253</w:t>
            </w:r>
          </w:p>
        </w:tc>
        <w:tc>
          <w:tcPr/>
          <w:p>
            <w:pPr>
              <w:pStyle w:val="Compact"/>
              <w:jc w:val="right"/>
            </w:pPr>
            <w:r>
              <w:rPr>
                <w:sz w:val="17"/>
              </w:rPr>
              <w:t xml:space="preserve">2.5e-15</w:t>
            </w:r>
          </w:p>
        </w:tc>
        <w:tc>
          <w:tcPr/>
          <w:p>
            <w:pPr>
              <w:pStyle w:val="Compact"/>
              <w:jc w:val="right"/>
            </w:pPr>
            <w:r>
              <w:rPr>
                <w:sz w:val="17"/>
              </w:rPr>
              <w:t xml:space="preserve">91.7</w:t>
            </w:r>
          </w:p>
        </w:tc>
      </w:tr>
      <w:tr>
        <w:tc>
          <w:tcPr/>
          <w:p>
            <w:pPr>
              <w:pStyle w:val="Compact"/>
              <w:jc w:val="left"/>
            </w:pPr>
            <w:r>
              <w:rPr>
                <w:sz w:val="17"/>
              </w:rPr>
              <w:t xml:space="preserve">lgbm</w:t>
            </w:r>
          </w:p>
        </w:tc>
        <w:tc>
          <w:tcPr/>
          <w:p>
            <w:pPr>
              <w:pStyle w:val="Compact"/>
              <w:jc w:val="right"/>
            </w:pPr>
            <w:r>
              <w:rPr>
                <w:sz w:val="17"/>
              </w:rPr>
              <w:t xml:space="preserve">oot1</w:t>
            </w:r>
          </w:p>
        </w:tc>
        <w:tc>
          <w:tcPr/>
          <w:p>
            <w:pPr>
              <w:pStyle w:val="Compact"/>
              <w:jc w:val="right"/>
            </w:pPr>
            <w:r>
              <w:rPr>
                <w:sz w:val="17"/>
              </w:rPr>
              <w:t xml:space="preserve">5.06%</w:t>
            </w:r>
          </w:p>
        </w:tc>
        <w:tc>
          <w:tcPr/>
          <w:p>
            <w:pPr>
              <w:pStyle w:val="Compact"/>
              <w:jc w:val="right"/>
            </w:pPr>
            <w:r>
              <w:rPr>
                <w:sz w:val="17"/>
              </w:rPr>
              <w:t xml:space="preserve">4.25%</w:t>
            </w:r>
          </w:p>
        </w:tc>
        <w:tc>
          <w:tcPr/>
          <w:p>
            <w:pPr>
              <w:pStyle w:val="Compact"/>
              <w:jc w:val="right"/>
            </w:pPr>
            <w:r>
              <w:rPr>
                <w:sz w:val="17"/>
              </w:rPr>
              <w:t xml:space="preserve">0.973</w:t>
            </w:r>
          </w:p>
        </w:tc>
        <w:tc>
          <w:tcPr/>
          <w:p>
            <w:pPr>
              <w:pStyle w:val="Compact"/>
              <w:jc w:val="right"/>
            </w:pPr>
            <w:r>
              <w:rPr>
                <w:sz w:val="17"/>
              </w:rPr>
              <w:t xml:space="preserve">-0.261</w:t>
            </w:r>
          </w:p>
        </w:tc>
        <w:tc>
          <w:tcPr/>
          <w:p>
            <w:pPr>
              <w:pStyle w:val="Compact"/>
              <w:jc w:val="right"/>
            </w:pPr>
            <w:r>
              <w:rPr>
                <w:sz w:val="17"/>
              </w:rPr>
              <w:t xml:space="preserve">2.3e-45</w:t>
            </w:r>
          </w:p>
        </w:tc>
        <w:tc>
          <w:tcPr/>
          <w:p>
            <w:pPr>
              <w:pStyle w:val="Compact"/>
              <w:jc w:val="right"/>
            </w:pPr>
            <w:r>
              <w:rPr>
                <w:sz w:val="17"/>
              </w:rPr>
              <w:t xml:space="preserve">237.5</w:t>
            </w:r>
          </w:p>
        </w:tc>
      </w:tr>
      <w:tr>
        <w:tc>
          <w:tcPr/>
          <w:p>
            <w:pPr>
              <w:pStyle w:val="Compact"/>
              <w:jc w:val="left"/>
            </w:pPr>
            <w:r>
              <w:rPr>
                <w:sz w:val="17"/>
              </w:rPr>
              <w:t xml:space="preserve">lgbm</w:t>
            </w:r>
          </w:p>
        </w:tc>
        <w:tc>
          <w:tcPr/>
          <w:p>
            <w:pPr>
              <w:pStyle w:val="Compact"/>
              <w:jc w:val="right"/>
            </w:pPr>
            <w:r>
              <w:rPr>
                <w:sz w:val="17"/>
              </w:rPr>
              <w:t xml:space="preserve">oot2</w:t>
            </w:r>
          </w:p>
        </w:tc>
        <w:tc>
          <w:tcPr/>
          <w:p>
            <w:pPr>
              <w:pStyle w:val="Compact"/>
              <w:jc w:val="right"/>
            </w:pPr>
            <w:r>
              <w:rPr>
                <w:sz w:val="17"/>
              </w:rPr>
              <w:t xml:space="preserve">4.92%</w:t>
            </w:r>
          </w:p>
        </w:tc>
        <w:tc>
          <w:tcPr/>
          <w:p>
            <w:pPr>
              <w:pStyle w:val="Compact"/>
              <w:jc w:val="right"/>
            </w:pPr>
            <w:r>
              <w:rPr>
                <w:sz w:val="17"/>
              </w:rPr>
              <w:t xml:space="preserve">4.66%</w:t>
            </w:r>
          </w:p>
        </w:tc>
        <w:tc>
          <w:tcPr/>
          <w:p>
            <w:pPr>
              <w:pStyle w:val="Compact"/>
              <w:jc w:val="right"/>
            </w:pPr>
            <w:r>
              <w:rPr>
                <w:sz w:val="17"/>
              </w:rPr>
              <w:t xml:space="preserve">0.966</w:t>
            </w:r>
          </w:p>
        </w:tc>
        <w:tc>
          <w:tcPr/>
          <w:p>
            <w:pPr>
              <w:pStyle w:val="Compact"/>
              <w:jc w:val="right"/>
            </w:pPr>
            <w:r>
              <w:rPr>
                <w:sz w:val="17"/>
              </w:rPr>
              <w:t xml:space="preserve">-0.154</w:t>
            </w:r>
          </w:p>
        </w:tc>
        <w:tc>
          <w:tcPr/>
          <w:p>
            <w:pPr>
              <w:pStyle w:val="Compact"/>
              <w:jc w:val="right"/>
            </w:pPr>
            <w:r>
              <w:rPr>
                <w:sz w:val="17"/>
              </w:rPr>
              <w:t xml:space="preserve">1.7e-15</w:t>
            </w:r>
          </w:p>
        </w:tc>
        <w:tc>
          <w:tcPr/>
          <w:p>
            <w:pPr>
              <w:pStyle w:val="Compact"/>
              <w:jc w:val="right"/>
            </w:pPr>
            <w:r>
              <w:rPr>
                <w:sz w:val="17"/>
              </w:rPr>
              <w:t xml:space="preserve">92.6</w:t>
            </w:r>
          </w:p>
        </w:tc>
      </w:tr>
      <w:tr>
        <w:tc>
          <w:tcPr/>
          <w:p>
            <w:pPr>
              <w:pStyle w:val="Compact"/>
              <w:jc w:val="left"/>
            </w:pPr>
            <w:r>
              <w:rPr>
                <w:sz w:val="17"/>
              </w:rPr>
              <w:t xml:space="preserve">sc_full_recal</w:t>
            </w:r>
          </w:p>
        </w:tc>
        <w:tc>
          <w:tcPr/>
          <w:p>
            <w:pPr>
              <w:pStyle w:val="Compact"/>
              <w:jc w:val="right"/>
            </w:pPr>
            <w:r>
              <w:rPr>
                <w:sz w:val="17"/>
              </w:rPr>
              <w:t xml:space="preserve">oot2</w:t>
            </w:r>
          </w:p>
        </w:tc>
        <w:tc>
          <w:tcPr/>
          <w:p>
            <w:pPr>
              <w:pStyle w:val="Compact"/>
              <w:jc w:val="right"/>
            </w:pPr>
            <w:r>
              <w:rPr>
                <w:sz w:val="17"/>
              </w:rPr>
              <w:t xml:space="preserve">4.29%</w:t>
            </w:r>
          </w:p>
        </w:tc>
        <w:tc>
          <w:tcPr/>
          <w:p>
            <w:pPr>
              <w:pStyle w:val="Compact"/>
              <w:jc w:val="right"/>
            </w:pPr>
            <w:r>
              <w:rPr>
                <w:sz w:val="17"/>
              </w:rPr>
              <w:t xml:space="preserve">4.66%</w:t>
            </w:r>
          </w:p>
        </w:tc>
        <w:tc>
          <w:tcPr/>
          <w:p>
            <w:pPr>
              <w:pStyle w:val="Compact"/>
              <w:jc w:val="right"/>
            </w:pPr>
            <w:r>
              <w:rPr>
                <w:sz w:val="17"/>
              </w:rPr>
              <w:t xml:space="preserve">0.905</w:t>
            </w:r>
          </w:p>
        </w:tc>
        <w:tc>
          <w:tcPr/>
          <w:p>
            <w:pPr>
              <w:pStyle w:val="Compact"/>
              <w:jc w:val="right"/>
            </w:pPr>
            <w:r>
              <w:rPr>
                <w:sz w:val="17"/>
              </w:rPr>
              <w:t xml:space="preserve">-0.189</w:t>
            </w:r>
          </w:p>
        </w:tc>
        <w:tc>
          <w:tcPr/>
          <w:p>
            <w:pPr>
              <w:pStyle w:val="Compact"/>
              <w:jc w:val="right"/>
            </w:pPr>
            <w:r>
              <w:rPr>
                <w:sz w:val="17"/>
              </w:rPr>
              <w:t xml:space="preserve">4.2e-24</w:t>
            </w:r>
          </w:p>
        </w:tc>
        <w:tc>
          <w:tcPr/>
          <w:p>
            <w:pPr>
              <w:pStyle w:val="Compact"/>
              <w:jc w:val="right"/>
            </w:pPr>
            <w:r>
              <w:rPr>
                <w:sz w:val="17"/>
              </w:rPr>
              <w:t xml:space="preserve">135.1</w:t>
            </w:r>
          </w:p>
        </w:tc>
      </w:tr>
    </w:tbl>
    <w:p>
      <w:pPr>
        <w:pStyle w:val="BodyText"/>
      </w:pPr>
      <w:r>
        <w:t xml:space="preserve">SC_FULL over-predicts on 2013 loans (mean PD 4.91% against an observed 4.25%, relative deviation 15.5%, Amber) and is within 6.4% on 2014 loans (Green). The slope is below one on both samples (0.927 and 0.905) and the intercept is negative (-0.356, -0.329): the model is somewhat over-confident and too high on average, with the problem concentrated in the top deciles. The Brier skill is low (0.0149 on 2013 loans) because defaults are rare events (about 4 to 5%) and the achievable improvement over a constant is small.</w:t>
      </w:r>
    </w:p>
    <w:p>
      <w:pPr>
        <w:pStyle w:val="CaptionedFigure"/>
      </w:pPr>
      <w:r>
        <w:drawing>
          <wp:inline>
            <wp:extent cx="3733800" cy="3159369"/>
            <wp:effectExtent b="0" l="0" r="0" t="0"/>
            <wp:docPr descr="Reliability curve for SC_FULL: development holdout and the two out-of-time samples." title="" id="82" name="Picture"/>
            <a:graphic>
              <a:graphicData uri="http://schemas.openxmlformats.org/drawingml/2006/picture">
                <pic:pic>
                  <pic:nvPicPr>
                    <pic:cNvPr descr="../python/outputs/charts/calibration_dev_oot1_oot2.png" id="83" name="Picture"/>
                    <pic:cNvPicPr>
                      <a:picLocks noChangeArrowheads="1" noChangeAspect="1"/>
                    </pic:cNvPicPr>
                  </pic:nvPicPr>
                  <pic:blipFill>
                    <a:blip r:embed="rId81"/>
                    <a:stretch>
                      <a:fillRect/>
                    </a:stretch>
                  </pic:blipFill>
                  <pic:spPr bwMode="auto">
                    <a:xfrm>
                      <a:off x="0" y="0"/>
                      <a:ext cx="3733800" cy="3159369"/>
                    </a:xfrm>
                    <a:prstGeom prst="rect">
                      <a:avLst/>
                    </a:prstGeom>
                    <a:noFill/>
                    <a:ln w="9525">
                      <a:noFill/>
                      <a:headEnd/>
                      <a:tailEnd/>
                    </a:ln>
                  </pic:spPr>
                </pic:pic>
              </a:graphicData>
            </a:graphic>
          </wp:inline>
        </w:drawing>
      </w:r>
    </w:p>
    <w:p>
      <w:pPr>
        <w:pStyle w:val="ImageCaption"/>
      </w:pPr>
      <w:r>
        <w:t xml:space="preserve">Reliability curve for SC_FULL: development holdout and the two out-of-time samples.</w:t>
      </w:r>
    </w:p>
    <w:bookmarkEnd w:id="84"/>
    <w:bookmarkStart w:id="85" w:name="calibration-hosmer-lemeshow"/>
    <w:p>
      <w:pPr>
        <w:pStyle w:val="Heading2"/>
      </w:pPr>
      <w:r>
        <w:rPr>
          <w:rStyle w:val="SectionNumber"/>
        </w:rPr>
        <w:t xml:space="preserve">11.4</w:t>
      </w:r>
      <w:r>
        <w:tab/>
      </w:r>
      <w:r>
        <w:t xml:space="preserve">Calibration: Hosmer-Lemeshow</w:t>
      </w:r>
    </w:p>
    <w:p>
      <w:pPr>
        <w:pStyle w:val="FirstParagraph"/>
      </w:pPr>
      <w:r>
        <w:rPr>
          <w:b/>
          <w:bCs/>
        </w:rPr>
        <w:t xml:space="preserve">Intuition.</w:t>
      </w:r>
      <w:r>
        <w:t xml:space="preserve"> </w:t>
      </w:r>
      <w:r>
        <w:t xml:space="preserve">Sort loans by predicted PD, cut into</w:t>
      </w:r>
      <w:r>
        <w:t xml:space="preserve"> </w:t>
      </w:r>
      <m:oMath>
        <m:r>
          <m:t>g</m:t>
        </m:r>
      </m:oMath>
      <w:r>
        <w:t xml:space="preserve"> </w:t>
      </w:r>
      <w:r>
        <w:t xml:space="preserve">equal-sized groups, and compare the expected number of bads in each group with the number observed.</w:t>
      </w:r>
      <w:r>
        <w:t xml:space="preserve"> </w:t>
      </w:r>
      <w:r>
        <w:rPr>
          <w:b/>
          <w:bCs/>
        </w:rPr>
        <w:t xml:space="preserve">Math.</w:t>
      </w:r>
      <w:r>
        <w:t xml:space="preserve"> </w:t>
      </w:r>
      <w:r>
        <w:t xml:space="preserve">For group</w:t>
      </w:r>
      <w:r>
        <w:t xml:space="preserve"> </w:t>
      </w:r>
      <m:oMath>
        <m:r>
          <m:t>k</m:t>
        </m:r>
      </m:oMath>
      <w:r>
        <w:t xml:space="preserve"> </w:t>
      </w:r>
      <w:r>
        <w:t xml:space="preserve">with</w:t>
      </w:r>
      <w:r>
        <w:t xml:space="preserve"> </w:t>
      </w:r>
      <m:oMath>
        <m:sSub>
          <m:e>
            <m:r>
              <m:t>n</m:t>
            </m:r>
          </m:e>
          <m:sub>
            <m:r>
              <m:t>k</m:t>
            </m:r>
          </m:sub>
        </m:sSub>
      </m:oMath>
      <w:r>
        <w:t xml:space="preserve"> </w:t>
      </w:r>
      <w:r>
        <w:t xml:space="preserve">loans, mean predicted PD</w:t>
      </w:r>
      <w:r>
        <w:t xml:space="preserve"> </w:t>
      </w:r>
      <m:oMath>
        <m:sSub>
          <m:e>
            <m:acc>
              <m:accPr>
                <m:chr m:val="‾"/>
              </m:accPr>
              <m:e>
                <m:r>
                  <m:t>p</m:t>
                </m:r>
              </m:e>
            </m:acc>
          </m:e>
          <m:sub>
            <m:r>
              <m:t>k</m:t>
            </m:r>
          </m:sub>
        </m:sSub>
      </m:oMath>
      <w:r>
        <w:t xml:space="preserve"> </w:t>
      </w:r>
      <w:r>
        <w:t xml:space="preserve">and</w:t>
      </w:r>
      <w:r>
        <w:t xml:space="preserve"> </w:t>
      </w:r>
      <m:oMath>
        <m:sSub>
          <m:e>
            <m:r>
              <m:t>O</m:t>
            </m:r>
          </m:e>
          <m:sub>
            <m:r>
              <m:t>k</m:t>
            </m:r>
          </m:sub>
        </m:sSub>
      </m:oMath>
      <w:r>
        <w:t xml:space="preserve"> </w:t>
      </w:r>
      <w:r>
        <w:t xml:space="preserve">observed bads,</w:t>
      </w:r>
    </w:p>
    <w:p>
      <w:pPr>
        <w:pStyle w:val="BodyText"/>
      </w:pPr>
      <m:oMathPara>
        <m:oMathParaPr>
          <m:jc m:val="center"/>
        </m:oMathParaPr>
        <m:oMath>
          <m:r>
            <m:t>H</m:t>
          </m:r>
          <m:r>
            <m:rPr>
              <m:sty m:val="p"/>
            </m:rPr>
            <m:t>=</m:t>
          </m:r>
          <m:nary>
            <m:naryPr>
              <m:chr m:val="∑"/>
              <m:limLoc m:val="undOvr"/>
              <m:subHide m:val="off"/>
              <m:supHide m:val="off"/>
            </m:naryPr>
            <m:sub>
              <m:r>
                <m:t>k</m:t>
              </m:r>
              <m:r>
                <m:rPr>
                  <m:sty m:val="p"/>
                </m:rPr>
                <m:t>=</m:t>
              </m:r>
              <m:r>
                <m:t>1</m:t>
              </m:r>
            </m:sub>
            <m:sup>
              <m:r>
                <m:t>g</m:t>
              </m:r>
            </m:sup>
            <m:e>
              <m:f>
                <m:fPr>
                  <m:type m:val="bar"/>
                </m:fPr>
                <m:num>
                  <m:r>
                    <m:rPr>
                      <m:sty m:val="p"/>
                    </m:rPr>
                    <m:t>(</m:t>
                  </m:r>
                  <m:sSub>
                    <m:e>
                      <m:r>
                        <m:t>O</m:t>
                      </m:r>
                    </m:e>
                    <m:sub>
                      <m:r>
                        <m:t>k</m:t>
                      </m:r>
                    </m:sub>
                  </m:sSub>
                  <m:r>
                    <m:rPr>
                      <m:sty m:val="p"/>
                    </m:rPr>
                    <m:t>−</m:t>
                  </m:r>
                  <m:sSub>
                    <m:e>
                      <m:r>
                        <m:t>n</m:t>
                      </m:r>
                    </m:e>
                    <m:sub>
                      <m:r>
                        <m:t>k</m:t>
                      </m:r>
                    </m:sub>
                  </m:sSub>
                  <m:sSub>
                    <m:e>
                      <m:acc>
                        <m:accPr>
                          <m:chr m:val="‾"/>
                        </m:accPr>
                        <m:e>
                          <m:r>
                            <m:t>p</m:t>
                          </m:r>
                        </m:e>
                      </m:acc>
                    </m:e>
                    <m:sub>
                      <m:r>
                        <m:t>k</m:t>
                      </m:r>
                    </m:sub>
                  </m:sSub>
                  <m:sSup>
                    <m:e>
                      <m:r>
                        <m:rPr>
                          <m:sty m:val="p"/>
                        </m:rPr>
                        <m:t>)</m:t>
                      </m:r>
                    </m:e>
                    <m:sup>
                      <m:r>
                        <m:t>2</m:t>
                      </m:r>
                    </m:sup>
                  </m:sSup>
                </m:num>
                <m:den>
                  <m:sSub>
                    <m:e>
                      <m:r>
                        <m:t>n</m:t>
                      </m:r>
                    </m:e>
                    <m:sub>
                      <m:r>
                        <m:t>k</m:t>
                      </m:r>
                    </m:sub>
                  </m:sSub>
                  <m:r>
                    <m:t> </m:t>
                  </m:r>
                  <m:sSub>
                    <m:e>
                      <m:acc>
                        <m:accPr>
                          <m:chr m:val="‾"/>
                        </m:accPr>
                        <m:e>
                          <m:r>
                            <m:t>p</m:t>
                          </m:r>
                        </m:e>
                      </m:acc>
                    </m:e>
                    <m:sub>
                      <m:r>
                        <m:t>k</m:t>
                      </m:r>
                    </m:sub>
                  </m:sSub>
                  <m:r>
                    <m:rPr>
                      <m:sty m:val="p"/>
                    </m:rPr>
                    <m:t>(</m:t>
                  </m:r>
                  <m:r>
                    <m:t>1</m:t>
                  </m:r>
                  <m:r>
                    <m:rPr>
                      <m:sty m:val="p"/>
                    </m:rPr>
                    <m:t>−</m:t>
                  </m:r>
                  <m:sSub>
                    <m:e>
                      <m:acc>
                        <m:accPr>
                          <m:chr m:val="‾"/>
                        </m:accPr>
                        <m:e>
                          <m:r>
                            <m:t>p</m:t>
                          </m:r>
                        </m:e>
                      </m:acc>
                    </m:e>
                    <m:sub>
                      <m:r>
                        <m:t>k</m:t>
                      </m:r>
                    </m:sub>
                  </m:sSub>
                  <m:r>
                    <m:rPr>
                      <m:sty m:val="p"/>
                    </m:rPr>
                    <m:t>)</m:t>
                  </m:r>
                </m:den>
              </m:f>
            </m:e>
          </m:nary>
          <m:r>
            <m:t> </m:t>
          </m:r>
          <m:r>
            <m:rPr>
              <m:sty m:val="p"/>
            </m:rPr>
            <m:t>∼</m:t>
          </m:r>
          <m:r>
            <m:t> </m:t>
          </m:r>
          <m:sSubSup>
            <m:e>
              <m:r>
                <m:t>χ</m:t>
              </m:r>
            </m:e>
            <m:sub>
              <m:r>
                <m:t>g</m:t>
              </m:r>
              <m:r>
                <m:rPr>
                  <m:sty m:val="p"/>
                </m:rPr>
                <m:t>−</m:t>
              </m:r>
              <m:r>
                <m:t>2</m:t>
              </m:r>
            </m:sub>
            <m:sup>
              <m:r>
                <m:t>2</m:t>
              </m:r>
            </m:sup>
          </m:sSubSup>
          <m:r>
            <m:t> </m:t>
          </m:r>
          <m:r>
            <m:rPr>
              <m:nor/>
              <m:sty m:val="p"/>
            </m:rPr>
            <m:t>in sample</m:t>
          </m:r>
          <m:r>
            <m:rPr>
              <m:sty m:val="p"/>
            </m:rPr>
            <m:t>,</m:t>
          </m:r>
          <m:r>
            <m:t>  </m:t>
          </m:r>
          <m:sSubSup>
            <m:e>
              <m:r>
                <m:t>χ</m:t>
              </m:r>
            </m:e>
            <m:sub>
              <m:r>
                <m:t>g</m:t>
              </m:r>
            </m:sub>
            <m:sup>
              <m:r>
                <m:t>2</m:t>
              </m:r>
            </m:sup>
          </m:sSubSup>
          <m:r>
            <m:t> </m:t>
          </m:r>
          <m:r>
            <m:rPr>
              <m:nor/>
              <m:sty m:val="p"/>
            </m:rPr>
            <m:t>out of sample</m:t>
          </m:r>
        </m:oMath>
      </m:oMathPara>
    </w:p>
    <w:p>
      <w:pPr>
        <w:pStyle w:val="FirstParagraph"/>
      </w:pPr>
      <w:r>
        <w:t xml:space="preserve">(Hosmer and Lemeshow, 1980). The pipeline uses</w:t>
      </w:r>
      <w:r>
        <w:t xml:space="preserve"> </w:t>
      </w:r>
      <m:oMath>
        <m:r>
          <m:t>g</m:t>
        </m:r>
        <m:r>
          <m:rPr>
            <m:sty m:val="p"/>
          </m:rPr>
          <m:t>=</m:t>
        </m:r>
        <m:r>
          <m:t>10</m:t>
        </m:r>
      </m:oMath>
      <w:r>
        <w:t xml:space="preserve"> </w:t>
      </w:r>
      <w:r>
        <w:t xml:space="preserve">with</w:t>
      </w:r>
      <w:r>
        <w:t xml:space="preserve"> </w:t>
      </w:r>
      <m:oMath>
        <m:r>
          <m:t>g</m:t>
        </m:r>
        <m:r>
          <m:rPr>
            <m:sty m:val="p"/>
          </m:rPr>
          <m:t>−</m:t>
        </m:r>
        <m:r>
          <m:t>2</m:t>
        </m:r>
      </m:oMath>
      <w:r>
        <w:t xml:space="preserve"> </w:t>
      </w:r>
      <w:r>
        <w:t xml:space="preserve">degrees of freedom on the development training sample and</w:t>
      </w:r>
      <w:r>
        <w:t xml:space="preserve"> </w:t>
      </w:r>
      <m:oMath>
        <m:r>
          <m:t>g</m:t>
        </m:r>
      </m:oMath>
      <w:r>
        <w:t xml:space="preserve"> </w:t>
      </w:r>
      <w:r>
        <w:t xml:space="preserve">on holdout and out-of-time data (</w:t>
      </w:r>
      <w:r>
        <w:rPr>
          <w:rStyle w:val="VerbatimChar"/>
        </w:rPr>
        <w:t xml:space="preserve">validation.hosmer_lemeshow</w:t>
      </w:r>
      <w:r>
        <w:t xml:space="preserve">).</w:t>
      </w:r>
    </w:p>
    <w:p>
      <w:pPr>
        <w:pStyle w:val="BodyText"/>
      </w:pPr>
      <w:r>
        <w:rPr>
          <w:b/>
          <w:bCs/>
        </w:rPr>
        <w:t xml:space="preserve">Worked toy example.</w:t>
      </w:r>
      <w:r>
        <w:t xml:space="preserve"> </w:t>
      </w:r>
      <w:r>
        <w:t xml:space="preserve">Three groups of 1,000 loans with mean PDs 2%, 5%, 10% and observed bads 15, 60, 125:</w:t>
      </w:r>
    </w:p>
    <w:p>
      <w:pPr>
        <w:pStyle w:val="TableCaption"/>
      </w:pPr>
      <w:r>
        <w:t xml:space="preserve">Hosmer-Lemeshow toy. The statistic is 10.325 on 3 degrees of freedom, p-value 0.0160.</w:t>
      </w:r>
    </w:p>
    <w:tbl>
      <w:tblPr>
        <w:tblStyle w:val="Table"/>
        <w:tblW w:type="auto" w:w="0"/>
        <w:tblLook w:firstRow="1" w:lastRow="0" w:firstColumn="0" w:lastColumn="0" w:noHBand="0" w:noVBand="0" w:val="0020"/>
        <w:tblCaption w:val="Hosmer-Lemeshow toy. The statistic is 10.325 on 3 degrees of freedom, p-value 0.016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20"/>
        <w:gridCol w:w="1320"/>
        <w:gridCol w:w="1320"/>
        <w:gridCol w:w="1320"/>
        <w:gridCol w:w="1320"/>
        <w:gridCol w:w="1320"/>
      </w:tblGrid>
      <w:tr>
        <w:trPr>
          <w:tblHeader w:val="on"/>
        </w:trPr>
        <w:tc>
          <w:tcPr/>
          <w:p>
            <w:pPr>
              <w:pStyle w:val="Compact"/>
              <w:jc w:val="left"/>
            </w:pPr>
            <w:r>
              <w:rPr>
                <w:sz w:val="17"/>
              </w:rPr>
              <w:t xml:space="preserve">Group</w:t>
            </w:r>
          </w:p>
        </w:tc>
        <w:tc>
          <w:tcPr/>
          <w:p>
            <w:pPr>
              <w:pStyle w:val="Compact"/>
              <w:jc w:val="right"/>
            </w:pPr>
            <w:r>
              <w:rPr>
                <w:sz w:val="17"/>
              </w:rPr>
              <w:t xml:space="preserve">Loans</w:t>
            </w:r>
          </w:p>
        </w:tc>
        <w:tc>
          <w:tcPr/>
          <w:p>
            <w:pPr>
              <w:pStyle w:val="Compact"/>
              <w:jc w:val="right"/>
            </w:pPr>
            <w:r>
              <w:rPr>
                <w:sz w:val="17"/>
              </w:rPr>
              <w:t xml:space="preserve">Mean PD</w:t>
            </w:r>
          </w:p>
        </w:tc>
        <w:tc>
          <w:tcPr/>
          <w:p>
            <w:pPr>
              <w:pStyle w:val="Compact"/>
              <w:jc w:val="right"/>
            </w:pPr>
            <w:r>
              <w:rPr>
                <w:sz w:val="17"/>
              </w:rPr>
              <w:t xml:space="preserve">Expected bads</w:t>
            </w:r>
          </w:p>
        </w:tc>
        <w:tc>
          <w:tcPr/>
          <w:p>
            <w:pPr>
              <w:pStyle w:val="Compact"/>
              <w:jc w:val="right"/>
            </w:pPr>
            <w:r>
              <w:rPr>
                <w:sz w:val="17"/>
              </w:rPr>
              <w:t xml:space="preserve">Actual bads</w:t>
            </w:r>
          </w:p>
        </w:tc>
        <w:tc>
          <w:tcPr/>
          <w:p>
            <w:pPr>
              <w:pStyle w:val="Compact"/>
              <w:jc w:val="right"/>
            </w:pPr>
            <w:r>
              <w:rPr>
                <w:sz w:val="17"/>
              </w:rPr>
              <w:t xml:space="preserve">Contribution</w:t>
            </w:r>
          </w:p>
        </w:tc>
      </w:tr>
      <w:tr>
        <w:tc>
          <w:tcPr/>
          <w:p>
            <w:pPr>
              <w:pStyle w:val="Compact"/>
              <w:jc w:val="left"/>
            </w:pPr>
            <w:r>
              <w:rPr>
                <w:sz w:val="17"/>
              </w:rPr>
              <w:t xml:space="preserve">1</w:t>
            </w:r>
          </w:p>
        </w:tc>
        <w:tc>
          <w:tcPr/>
          <w:p>
            <w:pPr>
              <w:pStyle w:val="Compact"/>
              <w:jc w:val="right"/>
            </w:pPr>
            <w:r>
              <w:rPr>
                <w:sz w:val="17"/>
              </w:rPr>
              <w:t xml:space="preserve">1,000</w:t>
            </w:r>
          </w:p>
        </w:tc>
        <w:tc>
          <w:tcPr/>
          <w:p>
            <w:pPr>
              <w:pStyle w:val="Compact"/>
              <w:jc w:val="right"/>
            </w:pPr>
            <w:r>
              <w:rPr>
                <w:sz w:val="17"/>
              </w:rPr>
              <w:t xml:space="preserve">2%</w:t>
            </w:r>
          </w:p>
        </w:tc>
        <w:tc>
          <w:tcPr/>
          <w:p>
            <w:pPr>
              <w:pStyle w:val="Compact"/>
              <w:jc w:val="right"/>
            </w:pPr>
            <w:r>
              <w:rPr>
                <w:sz w:val="17"/>
              </w:rPr>
              <w:t xml:space="preserve">20</w:t>
            </w:r>
          </w:p>
        </w:tc>
        <w:tc>
          <w:tcPr/>
          <w:p>
            <w:pPr>
              <w:pStyle w:val="Compact"/>
              <w:jc w:val="right"/>
            </w:pPr>
            <w:r>
              <w:rPr>
                <w:sz w:val="17"/>
              </w:rPr>
              <w:t xml:space="preserve">15</w:t>
            </w:r>
          </w:p>
        </w:tc>
        <w:tc>
          <w:tcPr/>
          <w:p>
            <w:pPr>
              <w:pStyle w:val="Compact"/>
              <w:jc w:val="right"/>
            </w:pPr>
            <w:r>
              <w:rPr>
                <w:sz w:val="17"/>
              </w:rPr>
              <w:t xml:space="preserve">1.276</w:t>
            </w:r>
          </w:p>
        </w:tc>
      </w:tr>
      <w:tr>
        <w:tc>
          <w:tcPr/>
          <w:p>
            <w:pPr>
              <w:pStyle w:val="Compact"/>
              <w:jc w:val="left"/>
            </w:pPr>
            <w:r>
              <w:rPr>
                <w:sz w:val="17"/>
              </w:rPr>
              <w:t xml:space="preserve">2</w:t>
            </w:r>
          </w:p>
        </w:tc>
        <w:tc>
          <w:tcPr/>
          <w:p>
            <w:pPr>
              <w:pStyle w:val="Compact"/>
              <w:jc w:val="right"/>
            </w:pPr>
            <w:r>
              <w:rPr>
                <w:sz w:val="17"/>
              </w:rPr>
              <w:t xml:space="preserve">1,000</w:t>
            </w:r>
          </w:p>
        </w:tc>
        <w:tc>
          <w:tcPr/>
          <w:p>
            <w:pPr>
              <w:pStyle w:val="Compact"/>
              <w:jc w:val="right"/>
            </w:pPr>
            <w:r>
              <w:rPr>
                <w:sz w:val="17"/>
              </w:rPr>
              <w:t xml:space="preserve">5%</w:t>
            </w:r>
          </w:p>
        </w:tc>
        <w:tc>
          <w:tcPr/>
          <w:p>
            <w:pPr>
              <w:pStyle w:val="Compact"/>
              <w:jc w:val="right"/>
            </w:pPr>
            <w:r>
              <w:rPr>
                <w:sz w:val="17"/>
              </w:rPr>
              <w:t xml:space="preserve">50</w:t>
            </w:r>
          </w:p>
        </w:tc>
        <w:tc>
          <w:tcPr/>
          <w:p>
            <w:pPr>
              <w:pStyle w:val="Compact"/>
              <w:jc w:val="right"/>
            </w:pPr>
            <w:r>
              <w:rPr>
                <w:sz w:val="17"/>
              </w:rPr>
              <w:t xml:space="preserve">60</w:t>
            </w:r>
          </w:p>
        </w:tc>
        <w:tc>
          <w:tcPr/>
          <w:p>
            <w:pPr>
              <w:pStyle w:val="Compact"/>
              <w:jc w:val="right"/>
            </w:pPr>
            <w:r>
              <w:rPr>
                <w:sz w:val="17"/>
              </w:rPr>
              <w:t xml:space="preserve">2.105</w:t>
            </w:r>
          </w:p>
        </w:tc>
      </w:tr>
      <w:tr>
        <w:tc>
          <w:tcPr/>
          <w:p>
            <w:pPr>
              <w:pStyle w:val="Compact"/>
              <w:jc w:val="left"/>
            </w:pPr>
            <w:r>
              <w:rPr>
                <w:sz w:val="17"/>
              </w:rPr>
              <w:t xml:space="preserve">3</w:t>
            </w:r>
          </w:p>
        </w:tc>
        <w:tc>
          <w:tcPr/>
          <w:p>
            <w:pPr>
              <w:pStyle w:val="Compact"/>
              <w:jc w:val="right"/>
            </w:pPr>
            <w:r>
              <w:rPr>
                <w:sz w:val="17"/>
              </w:rPr>
              <w:t xml:space="preserve">1,000</w:t>
            </w:r>
          </w:p>
        </w:tc>
        <w:tc>
          <w:tcPr/>
          <w:p>
            <w:pPr>
              <w:pStyle w:val="Compact"/>
              <w:jc w:val="right"/>
            </w:pPr>
            <w:r>
              <w:rPr>
                <w:sz w:val="17"/>
              </w:rPr>
              <w:t xml:space="preserve">10%</w:t>
            </w:r>
          </w:p>
        </w:tc>
        <w:tc>
          <w:tcPr/>
          <w:p>
            <w:pPr>
              <w:pStyle w:val="Compact"/>
              <w:jc w:val="right"/>
            </w:pPr>
            <w:r>
              <w:rPr>
                <w:sz w:val="17"/>
              </w:rPr>
              <w:t xml:space="preserve">100</w:t>
            </w:r>
          </w:p>
        </w:tc>
        <w:tc>
          <w:tcPr/>
          <w:p>
            <w:pPr>
              <w:pStyle w:val="Compact"/>
              <w:jc w:val="right"/>
            </w:pPr>
            <w:r>
              <w:rPr>
                <w:sz w:val="17"/>
              </w:rPr>
              <w:t xml:space="preserve">125</w:t>
            </w:r>
          </w:p>
        </w:tc>
        <w:tc>
          <w:tcPr/>
          <w:p>
            <w:pPr>
              <w:pStyle w:val="Compact"/>
              <w:jc w:val="right"/>
            </w:pPr>
            <w:r>
              <w:rPr>
                <w:sz w:val="17"/>
              </w:rPr>
              <w:t xml:space="preserve">6.944</w:t>
            </w:r>
          </w:p>
        </w:tc>
      </w:tr>
    </w:tbl>
    <w:p>
      <w:pPr>
        <w:pStyle w:val="BodyText"/>
      </w:pPr>
      <w:r>
        <w:rPr>
          <w:b/>
          <w:bCs/>
        </w:rPr>
        <w:t xml:space="preserve">Result on real data.</w:t>
      </w:r>
      <w:r>
        <w:t xml:space="preserve"> </w:t>
      </w:r>
      <w:r>
        <w:t xml:space="preserve">The ten groups for SC_FULL on 2013 loans:</w:t>
      </w:r>
    </w:p>
    <w:p>
      <w:pPr>
        <w:pStyle w:val="TableCaption"/>
      </w:pPr>
      <w:r>
        <w:t xml:space="preserve">Hosmer-Lemeshow groups for SC_FULL on 2013 loans. The contributions sum to 145.7 on 10 degrees of freedom, p-value 2.8e-26.</w:t>
      </w:r>
    </w:p>
    <w:tbl>
      <w:tblPr>
        <w:tblStyle w:val="Table"/>
        <w:tblW w:type="pct" w:w="5000"/>
        <w:tblLayout w:type="fixed"/>
        <w:tblLook w:firstRow="1" w:lastRow="0" w:firstColumn="0" w:lastColumn="0" w:noHBand="0" w:noVBand="0" w:val="0020"/>
        <w:tblCaption w:val="Hosmer-Lemeshow groups for SC_FULL on 2013 loans. The contributions sum to 145.7 on 10 degrees of freedom, p-value 2.8e-26."/>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41"/>
        <w:gridCol w:w="552"/>
        <w:gridCol w:w="644"/>
        <w:gridCol w:w="736"/>
        <w:gridCol w:w="1197"/>
        <w:gridCol w:w="1013"/>
        <w:gridCol w:w="1933"/>
      </w:tblGrid>
      <w:tr>
        <w:trPr>
          <w:tblHeader w:val="on"/>
        </w:trPr>
        <w:tc>
          <w:tcPr/>
          <w:p>
            <w:pPr>
              <w:pStyle w:val="Compact"/>
              <w:jc w:val="left"/>
            </w:pPr>
            <w:r>
              <w:rPr>
                <w:sz w:val="17"/>
              </w:rPr>
              <w:t xml:space="preserve">Bin (low to high PD)</w:t>
            </w:r>
          </w:p>
        </w:tc>
        <w:tc>
          <w:tcPr/>
          <w:p>
            <w:pPr>
              <w:pStyle w:val="Compact"/>
              <w:jc w:val="right"/>
            </w:pPr>
            <w:r>
              <w:rPr>
                <w:sz w:val="17"/>
              </w:rPr>
              <w:t xml:space="preserve">Loans</w:t>
            </w:r>
          </w:p>
        </w:tc>
        <w:tc>
          <w:tcPr/>
          <w:p>
            <w:pPr>
              <w:pStyle w:val="Compact"/>
              <w:jc w:val="right"/>
            </w:pPr>
            <w:r>
              <w:rPr>
                <w:sz w:val="17"/>
              </w:rPr>
              <w:t xml:space="preserve">Mean PD</w:t>
            </w:r>
          </w:p>
        </w:tc>
        <w:tc>
          <w:tcPr/>
          <w:p>
            <w:pPr>
              <w:pStyle w:val="Compact"/>
              <w:jc w:val="right"/>
            </w:pPr>
            <w:r>
              <w:rPr>
                <w:sz w:val="17"/>
              </w:rPr>
              <w:t xml:space="preserve">Observed</w:t>
            </w:r>
          </w:p>
        </w:tc>
        <w:tc>
          <w:tcPr/>
          <w:p>
            <w:pPr>
              <w:pStyle w:val="Compact"/>
              <w:jc w:val="right"/>
            </w:pPr>
            <w:r>
              <w:rPr>
                <w:sz w:val="17"/>
              </w:rPr>
              <w:t xml:space="preserve">Expected bads</w:t>
            </w:r>
          </w:p>
        </w:tc>
        <w:tc>
          <w:tcPr/>
          <w:p>
            <w:pPr>
              <w:pStyle w:val="Compact"/>
              <w:jc w:val="right"/>
            </w:pPr>
            <w:r>
              <w:rPr>
                <w:sz w:val="17"/>
              </w:rPr>
              <w:t xml:space="preserve">Actual bads</w:t>
            </w:r>
          </w:p>
        </w:tc>
        <w:tc>
          <w:tcPr/>
          <w:p>
            <w:pPr>
              <w:pStyle w:val="Compact"/>
              <w:jc w:val="right"/>
            </w:pPr>
            <w:r>
              <w:rPr>
                <w:sz w:val="17"/>
              </w:rPr>
              <w:t xml:space="preserve">(O-E)^2 / (n p (1-p))</w:t>
            </w:r>
          </w:p>
        </w:tc>
      </w:tr>
      <w:tr>
        <w:tc>
          <w:tcPr/>
          <w:p>
            <w:pPr>
              <w:pStyle w:val="Compact"/>
              <w:jc w:val="left"/>
            </w:pPr>
            <w:r>
              <w:rPr>
                <w:sz w:val="17"/>
              </w:rPr>
              <w:t xml:space="preserve">1</w:t>
            </w:r>
          </w:p>
        </w:tc>
        <w:tc>
          <w:tcPr/>
          <w:p>
            <w:pPr>
              <w:pStyle w:val="Compact"/>
              <w:jc w:val="right"/>
            </w:pPr>
            <w:r>
              <w:rPr>
                <w:sz w:val="17"/>
              </w:rPr>
              <w:t xml:space="preserve">13,476</w:t>
            </w:r>
          </w:p>
        </w:tc>
        <w:tc>
          <w:tcPr/>
          <w:p>
            <w:pPr>
              <w:pStyle w:val="Compact"/>
              <w:jc w:val="right"/>
            </w:pPr>
            <w:r>
              <w:rPr>
                <w:sz w:val="17"/>
              </w:rPr>
              <w:t xml:space="preserve">1.09%</w:t>
            </w:r>
          </w:p>
        </w:tc>
        <w:tc>
          <w:tcPr/>
          <w:p>
            <w:pPr>
              <w:pStyle w:val="Compact"/>
              <w:jc w:val="right"/>
            </w:pPr>
            <w:r>
              <w:rPr>
                <w:sz w:val="17"/>
              </w:rPr>
              <w:t xml:space="preserve">0.98%</w:t>
            </w:r>
          </w:p>
        </w:tc>
        <w:tc>
          <w:tcPr/>
          <w:p>
            <w:pPr>
              <w:pStyle w:val="Compact"/>
              <w:jc w:val="right"/>
            </w:pPr>
            <w:r>
              <w:rPr>
                <w:sz w:val="17"/>
              </w:rPr>
              <w:t xml:space="preserve">146.9</w:t>
            </w:r>
          </w:p>
        </w:tc>
        <w:tc>
          <w:tcPr/>
          <w:p>
            <w:pPr>
              <w:pStyle w:val="Compact"/>
              <w:jc w:val="right"/>
            </w:pPr>
            <w:r>
              <w:rPr>
                <w:sz w:val="17"/>
              </w:rPr>
              <w:t xml:space="preserve">132</w:t>
            </w:r>
          </w:p>
        </w:tc>
        <w:tc>
          <w:tcPr/>
          <w:p>
            <w:pPr>
              <w:pStyle w:val="Compact"/>
              <w:jc w:val="right"/>
            </w:pPr>
            <w:r>
              <w:rPr>
                <w:sz w:val="17"/>
              </w:rPr>
              <w:t xml:space="preserve">1.53</w:t>
            </w:r>
          </w:p>
        </w:tc>
      </w:tr>
      <w:tr>
        <w:tc>
          <w:tcPr/>
          <w:p>
            <w:pPr>
              <w:pStyle w:val="Compact"/>
              <w:jc w:val="left"/>
            </w:pPr>
            <w:r>
              <w:rPr>
                <w:sz w:val="17"/>
              </w:rPr>
              <w:t xml:space="preserve">2</w:t>
            </w:r>
          </w:p>
        </w:tc>
        <w:tc>
          <w:tcPr/>
          <w:p>
            <w:pPr>
              <w:pStyle w:val="Compact"/>
              <w:jc w:val="right"/>
            </w:pPr>
            <w:r>
              <w:rPr>
                <w:sz w:val="17"/>
              </w:rPr>
              <w:t xml:space="preserve">13,475</w:t>
            </w:r>
          </w:p>
        </w:tc>
        <w:tc>
          <w:tcPr/>
          <w:p>
            <w:pPr>
              <w:pStyle w:val="Compact"/>
              <w:jc w:val="right"/>
            </w:pPr>
            <w:r>
              <w:rPr>
                <w:sz w:val="17"/>
              </w:rPr>
              <w:t xml:space="preserve">1.85%</w:t>
            </w:r>
          </w:p>
        </w:tc>
        <w:tc>
          <w:tcPr/>
          <w:p>
            <w:pPr>
              <w:pStyle w:val="Compact"/>
              <w:jc w:val="right"/>
            </w:pPr>
            <w:r>
              <w:rPr>
                <w:sz w:val="17"/>
              </w:rPr>
              <w:t xml:space="preserve">1.57%</w:t>
            </w:r>
          </w:p>
        </w:tc>
        <w:tc>
          <w:tcPr/>
          <w:p>
            <w:pPr>
              <w:pStyle w:val="Compact"/>
              <w:jc w:val="right"/>
            </w:pPr>
            <w:r>
              <w:rPr>
                <w:sz w:val="17"/>
              </w:rPr>
              <w:t xml:space="preserve">249.6</w:t>
            </w:r>
          </w:p>
        </w:tc>
        <w:tc>
          <w:tcPr/>
          <w:p>
            <w:pPr>
              <w:pStyle w:val="Compact"/>
              <w:jc w:val="right"/>
            </w:pPr>
            <w:r>
              <w:rPr>
                <w:sz w:val="17"/>
              </w:rPr>
              <w:t xml:space="preserve">212</w:t>
            </w:r>
          </w:p>
        </w:tc>
        <w:tc>
          <w:tcPr/>
          <w:p>
            <w:pPr>
              <w:pStyle w:val="Compact"/>
              <w:jc w:val="right"/>
            </w:pPr>
            <w:r>
              <w:rPr>
                <w:sz w:val="17"/>
              </w:rPr>
              <w:t xml:space="preserve">5.76</w:t>
            </w:r>
          </w:p>
        </w:tc>
      </w:tr>
      <w:tr>
        <w:tc>
          <w:tcPr/>
          <w:p>
            <w:pPr>
              <w:pStyle w:val="Compact"/>
              <w:jc w:val="left"/>
            </w:pPr>
            <w:r>
              <w:rPr>
                <w:sz w:val="17"/>
              </w:rPr>
              <w:t xml:space="preserve">3</w:t>
            </w:r>
          </w:p>
        </w:tc>
        <w:tc>
          <w:tcPr/>
          <w:p>
            <w:pPr>
              <w:pStyle w:val="Compact"/>
              <w:jc w:val="right"/>
            </w:pPr>
            <w:r>
              <w:rPr>
                <w:sz w:val="17"/>
              </w:rPr>
              <w:t xml:space="preserve">13,476</w:t>
            </w:r>
          </w:p>
        </w:tc>
        <w:tc>
          <w:tcPr/>
          <w:p>
            <w:pPr>
              <w:pStyle w:val="Compact"/>
              <w:jc w:val="right"/>
            </w:pPr>
            <w:r>
              <w:rPr>
                <w:sz w:val="17"/>
              </w:rPr>
              <w:t xml:space="preserve">2.47%</w:t>
            </w:r>
          </w:p>
        </w:tc>
        <w:tc>
          <w:tcPr/>
          <w:p>
            <w:pPr>
              <w:pStyle w:val="Compact"/>
              <w:jc w:val="right"/>
            </w:pPr>
            <w:r>
              <w:rPr>
                <w:sz w:val="17"/>
              </w:rPr>
              <w:t xml:space="preserve">2.14%</w:t>
            </w:r>
          </w:p>
        </w:tc>
        <w:tc>
          <w:tcPr/>
          <w:p>
            <w:pPr>
              <w:pStyle w:val="Compact"/>
              <w:jc w:val="right"/>
            </w:pPr>
            <w:r>
              <w:rPr>
                <w:sz w:val="17"/>
              </w:rPr>
              <w:t xml:space="preserve">332.7</w:t>
            </w:r>
          </w:p>
        </w:tc>
        <w:tc>
          <w:tcPr/>
          <w:p>
            <w:pPr>
              <w:pStyle w:val="Compact"/>
              <w:jc w:val="right"/>
            </w:pPr>
            <w:r>
              <w:rPr>
                <w:sz w:val="17"/>
              </w:rPr>
              <w:t xml:space="preserve">289</w:t>
            </w:r>
          </w:p>
        </w:tc>
        <w:tc>
          <w:tcPr/>
          <w:p>
            <w:pPr>
              <w:pStyle w:val="Compact"/>
              <w:jc w:val="right"/>
            </w:pPr>
            <w:r>
              <w:rPr>
                <w:sz w:val="17"/>
              </w:rPr>
              <w:t xml:space="preserve">5.88</w:t>
            </w:r>
          </w:p>
        </w:tc>
      </w:tr>
      <w:tr>
        <w:tc>
          <w:tcPr/>
          <w:p>
            <w:pPr>
              <w:pStyle w:val="Compact"/>
              <w:jc w:val="left"/>
            </w:pPr>
            <w:r>
              <w:rPr>
                <w:sz w:val="17"/>
              </w:rPr>
              <w:t xml:space="preserve">4</w:t>
            </w:r>
          </w:p>
        </w:tc>
        <w:tc>
          <w:tcPr/>
          <w:p>
            <w:pPr>
              <w:pStyle w:val="Compact"/>
              <w:jc w:val="right"/>
            </w:pPr>
            <w:r>
              <w:rPr>
                <w:sz w:val="17"/>
              </w:rPr>
              <w:t xml:space="preserve">13,475</w:t>
            </w:r>
          </w:p>
        </w:tc>
        <w:tc>
          <w:tcPr/>
          <w:p>
            <w:pPr>
              <w:pStyle w:val="Compact"/>
              <w:jc w:val="right"/>
            </w:pPr>
            <w:r>
              <w:rPr>
                <w:sz w:val="17"/>
              </w:rPr>
              <w:t xml:space="preserve">3.08%</w:t>
            </w:r>
          </w:p>
        </w:tc>
        <w:tc>
          <w:tcPr/>
          <w:p>
            <w:pPr>
              <w:pStyle w:val="Compact"/>
              <w:jc w:val="right"/>
            </w:pPr>
            <w:r>
              <w:rPr>
                <w:sz w:val="17"/>
              </w:rPr>
              <w:t xml:space="preserve">2.84%</w:t>
            </w:r>
          </w:p>
        </w:tc>
        <w:tc>
          <w:tcPr/>
          <w:p>
            <w:pPr>
              <w:pStyle w:val="Compact"/>
              <w:jc w:val="right"/>
            </w:pPr>
            <w:r>
              <w:rPr>
                <w:sz w:val="17"/>
              </w:rPr>
              <w:t xml:space="preserve">415.0</w:t>
            </w:r>
          </w:p>
        </w:tc>
        <w:tc>
          <w:tcPr/>
          <w:p>
            <w:pPr>
              <w:pStyle w:val="Compact"/>
              <w:jc w:val="right"/>
            </w:pPr>
            <w:r>
              <w:rPr>
                <w:sz w:val="17"/>
              </w:rPr>
              <w:t xml:space="preserve">383</w:t>
            </w:r>
          </w:p>
        </w:tc>
        <w:tc>
          <w:tcPr/>
          <w:p>
            <w:pPr>
              <w:pStyle w:val="Compact"/>
              <w:jc w:val="right"/>
            </w:pPr>
            <w:r>
              <w:rPr>
                <w:sz w:val="17"/>
              </w:rPr>
              <w:t xml:space="preserve">2.55</w:t>
            </w:r>
          </w:p>
        </w:tc>
      </w:tr>
      <w:tr>
        <w:tc>
          <w:tcPr/>
          <w:p>
            <w:pPr>
              <w:pStyle w:val="Compact"/>
              <w:jc w:val="left"/>
            </w:pPr>
            <w:r>
              <w:rPr>
                <w:sz w:val="17"/>
              </w:rPr>
              <w:t xml:space="preserve">5</w:t>
            </w:r>
          </w:p>
        </w:tc>
        <w:tc>
          <w:tcPr/>
          <w:p>
            <w:pPr>
              <w:pStyle w:val="Compact"/>
              <w:jc w:val="right"/>
            </w:pPr>
            <w:r>
              <w:rPr>
                <w:sz w:val="17"/>
              </w:rPr>
              <w:t xml:space="preserve">13,476</w:t>
            </w:r>
          </w:p>
        </w:tc>
        <w:tc>
          <w:tcPr/>
          <w:p>
            <w:pPr>
              <w:pStyle w:val="Compact"/>
              <w:jc w:val="right"/>
            </w:pPr>
            <w:r>
              <w:rPr>
                <w:sz w:val="17"/>
              </w:rPr>
              <w:t xml:space="preserve">3.74%</w:t>
            </w:r>
          </w:p>
        </w:tc>
        <w:tc>
          <w:tcPr/>
          <w:p>
            <w:pPr>
              <w:pStyle w:val="Compact"/>
              <w:jc w:val="right"/>
            </w:pPr>
            <w:r>
              <w:rPr>
                <w:sz w:val="17"/>
              </w:rPr>
              <w:t xml:space="preserve">3.55%</w:t>
            </w:r>
          </w:p>
        </w:tc>
        <w:tc>
          <w:tcPr/>
          <w:p>
            <w:pPr>
              <w:pStyle w:val="Compact"/>
              <w:jc w:val="right"/>
            </w:pPr>
            <w:r>
              <w:rPr>
                <w:sz w:val="17"/>
              </w:rPr>
              <w:t xml:space="preserve">503.6</w:t>
            </w:r>
          </w:p>
        </w:tc>
        <w:tc>
          <w:tcPr/>
          <w:p>
            <w:pPr>
              <w:pStyle w:val="Compact"/>
              <w:jc w:val="right"/>
            </w:pPr>
            <w:r>
              <w:rPr>
                <w:sz w:val="17"/>
              </w:rPr>
              <w:t xml:space="preserve">478</w:t>
            </w:r>
          </w:p>
        </w:tc>
        <w:tc>
          <w:tcPr/>
          <w:p>
            <w:pPr>
              <w:pStyle w:val="Compact"/>
              <w:jc w:val="right"/>
            </w:pPr>
            <w:r>
              <w:rPr>
                <w:sz w:val="17"/>
              </w:rPr>
              <w:t xml:space="preserve">1.35</w:t>
            </w:r>
          </w:p>
        </w:tc>
      </w:tr>
      <w:tr>
        <w:tc>
          <w:tcPr/>
          <w:p>
            <w:pPr>
              <w:pStyle w:val="Compact"/>
              <w:jc w:val="left"/>
            </w:pPr>
            <w:r>
              <w:rPr>
                <w:sz w:val="17"/>
              </w:rPr>
              <w:t xml:space="preserve">6</w:t>
            </w:r>
          </w:p>
        </w:tc>
        <w:tc>
          <w:tcPr/>
          <w:p>
            <w:pPr>
              <w:pStyle w:val="Compact"/>
              <w:jc w:val="right"/>
            </w:pPr>
            <w:r>
              <w:rPr>
                <w:sz w:val="17"/>
              </w:rPr>
              <w:t xml:space="preserve">13,475</w:t>
            </w:r>
          </w:p>
        </w:tc>
        <w:tc>
          <w:tcPr/>
          <w:p>
            <w:pPr>
              <w:pStyle w:val="Compact"/>
              <w:jc w:val="right"/>
            </w:pPr>
            <w:r>
              <w:rPr>
                <w:sz w:val="17"/>
              </w:rPr>
              <w:t xml:space="preserve">4.49%</w:t>
            </w:r>
          </w:p>
        </w:tc>
        <w:tc>
          <w:tcPr/>
          <w:p>
            <w:pPr>
              <w:pStyle w:val="Compact"/>
              <w:jc w:val="right"/>
            </w:pPr>
            <w:r>
              <w:rPr>
                <w:sz w:val="17"/>
              </w:rPr>
              <w:t xml:space="preserve">4.11%</w:t>
            </w:r>
          </w:p>
        </w:tc>
        <w:tc>
          <w:tcPr/>
          <w:p>
            <w:pPr>
              <w:pStyle w:val="Compact"/>
              <w:jc w:val="right"/>
            </w:pPr>
            <w:r>
              <w:rPr>
                <w:sz w:val="17"/>
              </w:rPr>
              <w:t xml:space="preserve">604.7</w:t>
            </w:r>
          </w:p>
        </w:tc>
        <w:tc>
          <w:tcPr/>
          <w:p>
            <w:pPr>
              <w:pStyle w:val="Compact"/>
              <w:jc w:val="right"/>
            </w:pPr>
            <w:r>
              <w:rPr>
                <w:sz w:val="17"/>
              </w:rPr>
              <w:t xml:space="preserve">554</w:t>
            </w:r>
          </w:p>
        </w:tc>
        <w:tc>
          <w:tcPr/>
          <w:p>
            <w:pPr>
              <w:pStyle w:val="Compact"/>
              <w:jc w:val="right"/>
            </w:pPr>
            <w:r>
              <w:rPr>
                <w:sz w:val="17"/>
              </w:rPr>
              <w:t xml:space="preserve">4.46</w:t>
            </w:r>
          </w:p>
        </w:tc>
      </w:tr>
      <w:tr>
        <w:tc>
          <w:tcPr/>
          <w:p>
            <w:pPr>
              <w:pStyle w:val="Compact"/>
              <w:jc w:val="left"/>
            </w:pPr>
            <w:r>
              <w:rPr>
                <w:sz w:val="17"/>
              </w:rPr>
              <w:t xml:space="preserve">7</w:t>
            </w:r>
          </w:p>
        </w:tc>
        <w:tc>
          <w:tcPr/>
          <w:p>
            <w:pPr>
              <w:pStyle w:val="Compact"/>
              <w:jc w:val="right"/>
            </w:pPr>
            <w:r>
              <w:rPr>
                <w:sz w:val="17"/>
              </w:rPr>
              <w:t xml:space="preserve">13,476</w:t>
            </w:r>
          </w:p>
        </w:tc>
        <w:tc>
          <w:tcPr/>
          <w:p>
            <w:pPr>
              <w:pStyle w:val="Compact"/>
              <w:jc w:val="right"/>
            </w:pPr>
            <w:r>
              <w:rPr>
                <w:sz w:val="17"/>
              </w:rPr>
              <w:t xml:space="preserve">5.39%</w:t>
            </w:r>
          </w:p>
        </w:tc>
        <w:tc>
          <w:tcPr/>
          <w:p>
            <w:pPr>
              <w:pStyle w:val="Compact"/>
              <w:jc w:val="right"/>
            </w:pPr>
            <w:r>
              <w:rPr>
                <w:sz w:val="17"/>
              </w:rPr>
              <w:t xml:space="preserve">4.85%</w:t>
            </w:r>
          </w:p>
        </w:tc>
        <w:tc>
          <w:tcPr/>
          <w:p>
            <w:pPr>
              <w:pStyle w:val="Compact"/>
              <w:jc w:val="right"/>
            </w:pPr>
            <w:r>
              <w:rPr>
                <w:sz w:val="17"/>
              </w:rPr>
              <w:t xml:space="preserve">726.3</w:t>
            </w:r>
          </w:p>
        </w:tc>
        <w:tc>
          <w:tcPr/>
          <w:p>
            <w:pPr>
              <w:pStyle w:val="Compact"/>
              <w:jc w:val="right"/>
            </w:pPr>
            <w:r>
              <w:rPr>
                <w:sz w:val="17"/>
              </w:rPr>
              <w:t xml:space="preserve">654</w:t>
            </w:r>
          </w:p>
        </w:tc>
        <w:tc>
          <w:tcPr/>
          <w:p>
            <w:pPr>
              <w:pStyle w:val="Compact"/>
              <w:jc w:val="right"/>
            </w:pPr>
            <w:r>
              <w:rPr>
                <w:sz w:val="17"/>
              </w:rPr>
              <w:t xml:space="preserve">7.61</w:t>
            </w:r>
          </w:p>
        </w:tc>
      </w:tr>
      <w:tr>
        <w:tc>
          <w:tcPr/>
          <w:p>
            <w:pPr>
              <w:pStyle w:val="Compact"/>
              <w:jc w:val="left"/>
            </w:pPr>
            <w:r>
              <w:rPr>
                <w:sz w:val="17"/>
              </w:rPr>
              <w:t xml:space="preserve">8</w:t>
            </w:r>
          </w:p>
        </w:tc>
        <w:tc>
          <w:tcPr/>
          <w:p>
            <w:pPr>
              <w:pStyle w:val="Compact"/>
              <w:jc w:val="right"/>
            </w:pPr>
            <w:r>
              <w:rPr>
                <w:sz w:val="17"/>
              </w:rPr>
              <w:t xml:space="preserve">13,475</w:t>
            </w:r>
          </w:p>
        </w:tc>
        <w:tc>
          <w:tcPr/>
          <w:p>
            <w:pPr>
              <w:pStyle w:val="Compact"/>
              <w:jc w:val="right"/>
            </w:pPr>
            <w:r>
              <w:rPr>
                <w:sz w:val="17"/>
              </w:rPr>
              <w:t xml:space="preserve">6.52%</w:t>
            </w:r>
          </w:p>
        </w:tc>
        <w:tc>
          <w:tcPr/>
          <w:p>
            <w:pPr>
              <w:pStyle w:val="Compact"/>
              <w:jc w:val="right"/>
            </w:pPr>
            <w:r>
              <w:rPr>
                <w:sz w:val="17"/>
              </w:rPr>
              <w:t xml:space="preserve">5.52%</w:t>
            </w:r>
          </w:p>
        </w:tc>
        <w:tc>
          <w:tcPr/>
          <w:p>
            <w:pPr>
              <w:pStyle w:val="Compact"/>
              <w:jc w:val="right"/>
            </w:pPr>
            <w:r>
              <w:rPr>
                <w:sz w:val="17"/>
              </w:rPr>
              <w:t xml:space="preserve">878.7</w:t>
            </w:r>
          </w:p>
        </w:tc>
        <w:tc>
          <w:tcPr/>
          <w:p>
            <w:pPr>
              <w:pStyle w:val="Compact"/>
              <w:jc w:val="right"/>
            </w:pPr>
            <w:r>
              <w:rPr>
                <w:sz w:val="17"/>
              </w:rPr>
              <w:t xml:space="preserve">744</w:t>
            </w:r>
          </w:p>
        </w:tc>
        <w:tc>
          <w:tcPr/>
          <w:p>
            <w:pPr>
              <w:pStyle w:val="Compact"/>
              <w:jc w:val="right"/>
            </w:pPr>
            <w:r>
              <w:rPr>
                <w:sz w:val="17"/>
              </w:rPr>
              <w:t xml:space="preserve">22.10</w:t>
            </w:r>
          </w:p>
        </w:tc>
      </w:tr>
      <w:tr>
        <w:tc>
          <w:tcPr/>
          <w:p>
            <w:pPr>
              <w:pStyle w:val="Compact"/>
              <w:jc w:val="left"/>
            </w:pPr>
            <w:r>
              <w:rPr>
                <w:sz w:val="17"/>
              </w:rPr>
              <w:t xml:space="preserve">9</w:t>
            </w:r>
          </w:p>
        </w:tc>
        <w:tc>
          <w:tcPr/>
          <w:p>
            <w:pPr>
              <w:pStyle w:val="Compact"/>
              <w:jc w:val="right"/>
            </w:pPr>
            <w:r>
              <w:rPr>
                <w:sz w:val="17"/>
              </w:rPr>
              <w:t xml:space="preserve">13,476</w:t>
            </w:r>
          </w:p>
        </w:tc>
        <w:tc>
          <w:tcPr/>
          <w:p>
            <w:pPr>
              <w:pStyle w:val="Compact"/>
              <w:jc w:val="right"/>
            </w:pPr>
            <w:r>
              <w:rPr>
                <w:sz w:val="17"/>
              </w:rPr>
              <w:t xml:space="preserve">8.19%</w:t>
            </w:r>
          </w:p>
        </w:tc>
        <w:tc>
          <w:tcPr/>
          <w:p>
            <w:pPr>
              <w:pStyle w:val="Compact"/>
              <w:jc w:val="right"/>
            </w:pPr>
            <w:r>
              <w:rPr>
                <w:sz w:val="17"/>
              </w:rPr>
              <w:t xml:space="preserve">7.08%</w:t>
            </w:r>
          </w:p>
        </w:tc>
        <w:tc>
          <w:tcPr/>
          <w:p>
            <w:pPr>
              <w:pStyle w:val="Compact"/>
              <w:jc w:val="right"/>
            </w:pPr>
            <w:r>
              <w:rPr>
                <w:sz w:val="17"/>
              </w:rPr>
              <w:t xml:space="preserve">1,103.4</w:t>
            </w:r>
          </w:p>
        </w:tc>
        <w:tc>
          <w:tcPr/>
          <w:p>
            <w:pPr>
              <w:pStyle w:val="Compact"/>
              <w:jc w:val="right"/>
            </w:pPr>
            <w:r>
              <w:rPr>
                <w:sz w:val="17"/>
              </w:rPr>
              <w:t xml:space="preserve">954</w:t>
            </w:r>
          </w:p>
        </w:tc>
        <w:tc>
          <w:tcPr/>
          <w:p>
            <w:pPr>
              <w:pStyle w:val="Compact"/>
              <w:jc w:val="right"/>
            </w:pPr>
            <w:r>
              <w:rPr>
                <w:sz w:val="17"/>
              </w:rPr>
              <w:t xml:space="preserve">22.04</w:t>
            </w:r>
          </w:p>
        </w:tc>
      </w:tr>
      <w:tr>
        <w:tc>
          <w:tcPr/>
          <w:p>
            <w:pPr>
              <w:pStyle w:val="Compact"/>
              <w:jc w:val="left"/>
            </w:pPr>
            <w:r>
              <w:rPr>
                <w:sz w:val="17"/>
              </w:rPr>
              <w:t xml:space="preserve">10</w:t>
            </w:r>
          </w:p>
        </w:tc>
        <w:tc>
          <w:tcPr/>
          <w:p>
            <w:pPr>
              <w:pStyle w:val="Compact"/>
              <w:jc w:val="right"/>
            </w:pPr>
            <w:r>
              <w:rPr>
                <w:sz w:val="17"/>
              </w:rPr>
              <w:t xml:space="preserve">13,475</w:t>
            </w:r>
          </w:p>
        </w:tc>
        <w:tc>
          <w:tcPr/>
          <w:p>
            <w:pPr>
              <w:pStyle w:val="Compact"/>
              <w:jc w:val="right"/>
            </w:pPr>
            <w:r>
              <w:rPr>
                <w:sz w:val="17"/>
              </w:rPr>
              <w:t xml:space="preserve">12.24%</w:t>
            </w:r>
          </w:p>
        </w:tc>
        <w:tc>
          <w:tcPr/>
          <w:p>
            <w:pPr>
              <w:pStyle w:val="Compact"/>
              <w:jc w:val="right"/>
            </w:pPr>
            <w:r>
              <w:rPr>
                <w:sz w:val="17"/>
              </w:rPr>
              <w:t xml:space="preserve">9.83%</w:t>
            </w:r>
          </w:p>
        </w:tc>
        <w:tc>
          <w:tcPr/>
          <w:p>
            <w:pPr>
              <w:pStyle w:val="Compact"/>
              <w:jc w:val="right"/>
            </w:pPr>
            <w:r>
              <w:rPr>
                <w:sz w:val="17"/>
              </w:rPr>
              <w:t xml:space="preserve">1,648.7</w:t>
            </w:r>
          </w:p>
        </w:tc>
        <w:tc>
          <w:tcPr/>
          <w:p>
            <w:pPr>
              <w:pStyle w:val="Compact"/>
              <w:jc w:val="right"/>
            </w:pPr>
            <w:r>
              <w:rPr>
                <w:sz w:val="17"/>
              </w:rPr>
              <w:t xml:space="preserve">1,325</w:t>
            </w:r>
          </w:p>
        </w:tc>
        <w:tc>
          <w:tcPr/>
          <w:p>
            <w:pPr>
              <w:pStyle w:val="Compact"/>
              <w:jc w:val="right"/>
            </w:pPr>
            <w:r>
              <w:rPr>
                <w:sz w:val="17"/>
              </w:rPr>
              <w:t xml:space="preserve">72.43</w:t>
            </w:r>
          </w:p>
        </w:tc>
      </w:tr>
    </w:tbl>
    <w:p>
      <w:pPr>
        <w:pStyle w:val="BodyText"/>
      </w:pPr>
      <w:r>
        <w:t xml:space="preserve">The statistic is 145.7 on 2013 loans (Red) and 95.5 on 2014 loans (Red), against 10.8 on the holdout (p = 0.376, Green). The tenth group alone (13,475 loans, predicted 12.24%, observed 9.83%, expected 1,648.7 bads against 1,325 actual) contributes 72.43, or 50% of the total.</w:t>
      </w:r>
    </w:p>
    <w:p>
      <w:pPr>
        <w:pStyle w:val="BodyText"/>
      </w:pPr>
      <w:r>
        <w:rPr>
          <w:b/>
          <w:bCs/>
        </w:rPr>
        <w:t xml:space="preserve">Honest reading, including the power caveat.</w:t>
      </w:r>
      <w:r>
        <w:t xml:space="preserve"> </w:t>
      </w:r>
      <w:r>
        <w:t xml:space="preserve">With over 130,000 loans in a sample the test has so much power that it rejects deviations of a fraction of a percentage point. A 1-point gap between predicted and observed in a group of 13,000 loans is statistically overwhelming but economically small. The statistic is therefore not dismissed here, and it is not obeyed blindly either. The Red result is real in the sense that the model is mis-calibrated out of time: the gap is concentrated in the riskiest decile, predicted 12.24% against observed 9.83%, an over-prediction of about 24% in the group that matters most for pricing and cut-offs. What the test cannot say is whether that gap is large enough to matter commercially. The calibration slope (Green) and the decile table are the better guide to magnitude, and the fix is a recalibration (below), not a rebuild. The pipeline flags every Hosmer-Lemeshow result on samples above 100,000 loans with this caveat.</w:t>
      </w:r>
    </w:p>
    <w:p>
      <w:pPr>
        <w:pStyle w:val="BodyText"/>
      </w:pPr>
      <w:r>
        <w:t xml:space="preserve">A recalibrated challenger shifts only the intercept by -0.1540 so that the mean PD equals the 2013 bad rate. It is evaluated on 2014 loans only (using 2013 outcomes to set the shift would make 2013 results in-sample). It does not improve the 2014 level: mean PD becomes 4.29% against 4.66% observed (relative deviation 7.9% against 6.4% unadjusted) because the default rate rose in 2014. It also remains Red on Hosmer-Lemeshow (p = 4.2e-24) and on the grade binomial test, because the gaps are by grade and by decile rather than in the overall level, which a single shift cannot fix.</w:t>
      </w:r>
    </w:p>
    <w:bookmarkEnd w:id="85"/>
    <w:bookmarkStart w:id="86" w:name="calibration-binomial-test-by-grade"/>
    <w:p>
      <w:pPr>
        <w:pStyle w:val="Heading2"/>
      </w:pPr>
      <w:r>
        <w:rPr>
          <w:rStyle w:val="SectionNumber"/>
        </w:rPr>
        <w:t xml:space="preserve">11.5</w:t>
      </w:r>
      <w:r>
        <w:tab/>
      </w:r>
      <w:r>
        <w:t xml:space="preserve">Calibration: binomial test by grade</w:t>
      </w:r>
    </w:p>
    <w:p>
      <w:pPr>
        <w:pStyle w:val="FirstParagraph"/>
      </w:pPr>
      <w:r>
        <w:rPr>
          <w:b/>
          <w:bCs/>
        </w:rPr>
        <w:t xml:space="preserve">Intuition.</w:t>
      </w:r>
      <w:r>
        <w:t xml:space="preserve"> </w:t>
      </w:r>
      <w:r>
        <w:t xml:space="preserve">For one grade, if the predicted PD is right, the number of defaults should look like a binomial draw.</w:t>
      </w:r>
      <w:r>
        <w:t xml:space="preserve"> </w:t>
      </w:r>
      <w:r>
        <w:rPr>
          <w:b/>
          <w:bCs/>
        </w:rPr>
        <w:t xml:space="preserve">Math.</w:t>
      </w:r>
      <w:r>
        <w:t xml:space="preserve"> </w:t>
      </w:r>
      <w:r>
        <w:t xml:space="preserve">For a group with</w:t>
      </w:r>
      <w:r>
        <w:t xml:space="preserve"> </w:t>
      </w:r>
      <m:oMath>
        <m:r>
          <m:t>n</m:t>
        </m:r>
      </m:oMath>
      <w:r>
        <w:t xml:space="preserve"> </w:t>
      </w:r>
      <w:r>
        <w:t xml:space="preserve">loans, mean PD</w:t>
      </w:r>
      <w:r>
        <w:t xml:space="preserve"> </w:t>
      </w:r>
      <m:oMath>
        <m:acc>
          <m:accPr>
            <m:chr m:val="‾"/>
          </m:accPr>
          <m:e>
            <m:r>
              <m:t>p</m:t>
            </m:r>
          </m:e>
        </m:acc>
      </m:oMath>
      <w:r>
        <w:t xml:space="preserve"> </w:t>
      </w:r>
      <w:r>
        <w:t xml:space="preserve">and</w:t>
      </w:r>
      <w:r>
        <w:t xml:space="preserve"> </w:t>
      </w:r>
      <m:oMath>
        <m:r>
          <m:t>D</m:t>
        </m:r>
      </m:oMath>
      <w:r>
        <w:t xml:space="preserve"> </w:t>
      </w:r>
      <w:r>
        <w:t xml:space="preserve">observed bads, test that PD is</w:t>
      </w:r>
      <w:r>
        <w:t xml:space="preserve"> </w:t>
      </w:r>
      <w:r>
        <w:rPr>
          <w:i/>
          <w:iCs/>
        </w:rPr>
        <w:t xml:space="preserve">understated</w:t>
      </w:r>
      <w:r>
        <w:t xml:space="preserve"> </w:t>
      </w:r>
      <w:r>
        <w:t xml:space="preserve">(the dangerous direction) with</w:t>
      </w:r>
    </w:p>
    <w:p>
      <w:pPr>
        <w:pStyle w:val="BodyText"/>
      </w:pPr>
      <m:oMathPara>
        <m:oMathParaPr>
          <m:jc m:val="center"/>
        </m:oMathParaPr>
        <m:oMath>
          <m:r>
            <m:t>z</m:t>
          </m:r>
          <m:r>
            <m:rPr>
              <m:sty m:val="p"/>
            </m:rPr>
            <m:t>=</m:t>
          </m:r>
          <m:f>
            <m:fPr>
              <m:type m:val="bar"/>
            </m:fPr>
            <m:num>
              <m:r>
                <m:t>D</m:t>
              </m:r>
              <m:r>
                <m:rPr>
                  <m:sty m:val="p"/>
                </m:rPr>
                <m:t>−</m:t>
              </m:r>
              <m:r>
                <m:t>n</m:t>
              </m:r>
              <m:acc>
                <m:accPr>
                  <m:chr m:val="‾"/>
                </m:accPr>
                <m:e>
                  <m:r>
                    <m:t>p</m:t>
                  </m:r>
                </m:e>
              </m:acc>
            </m:num>
            <m:den>
              <m:rad>
                <m:radPr>
                  <m:degHide m:val="on"/>
                </m:radPr>
                <m:deg/>
                <m:e>
                  <m:r>
                    <m:t>n</m:t>
                  </m:r>
                  <m:r>
                    <m:t> </m:t>
                  </m:r>
                  <m:acc>
                    <m:accPr>
                      <m:chr m:val="‾"/>
                    </m:accPr>
                    <m:e>
                      <m:r>
                        <m:t>p</m:t>
                      </m:r>
                    </m:e>
                  </m:acc>
                  <m:r>
                    <m:t> </m:t>
                  </m:r>
                  <m:r>
                    <m:rPr>
                      <m:sty m:val="p"/>
                    </m:rPr>
                    <m:t>(</m:t>
                  </m:r>
                  <m:r>
                    <m:t>1</m:t>
                  </m:r>
                  <m:r>
                    <m:rPr>
                      <m:sty m:val="p"/>
                    </m:rPr>
                    <m:t>−</m:t>
                  </m:r>
                  <m:acc>
                    <m:accPr>
                      <m:chr m:val="‾"/>
                    </m:accPr>
                    <m:e>
                      <m:r>
                        <m:t>p</m:t>
                      </m:r>
                    </m:e>
                  </m:acc>
                  <m:r>
                    <m:rPr>
                      <m:sty m:val="p"/>
                    </m:rPr>
                    <m:t>)</m:t>
                  </m:r>
                </m:e>
              </m:rad>
            </m:den>
          </m:f>
          <m:r>
            <m:rPr>
              <m:sty m:val="p"/>
            </m:rPr>
            <m:t>,</m:t>
          </m:r>
          <m:r>
            <m:t>  </m:t>
          </m:r>
          <m:sSub>
            <m:e>
              <m:r>
                <m:t>p</m:t>
              </m:r>
            </m:e>
            <m:sub>
              <m:r>
                <m:rPr>
                  <m:nor/>
                  <m:sty m:val="p"/>
                </m:rPr>
                <m:t>binom</m:t>
              </m:r>
            </m:sub>
          </m:sSub>
          <m:r>
            <m:rPr>
              <m:sty m:val="p"/>
            </m:rPr>
            <m:t>=</m:t>
          </m:r>
          <m:r>
            <m:t>P</m:t>
          </m:r>
          <m:d>
            <m:dPr>
              <m:begChr m:val="("/>
              <m:sepChr m:val=""/>
              <m:endChr m:val=")"/>
              <m:grow/>
            </m:dPr>
            <m:e>
              <m:r>
                <m:t>X</m:t>
              </m:r>
              <m:r>
                <m:rPr>
                  <m:sty m:val="p"/>
                </m:rPr>
                <m:t>≥</m:t>
              </m:r>
              <m:r>
                <m:t>D</m:t>
              </m:r>
            </m:e>
          </m:d>
          <m:r>
            <m:rPr>
              <m:sty m:val="p"/>
            </m:rPr>
            <m:t>,</m:t>
          </m:r>
          <m:r>
            <m:t> </m:t>
          </m:r>
          <m:r>
            <m:t>X</m:t>
          </m:r>
          <m:r>
            <m:rPr>
              <m:sty m:val="p"/>
            </m:rPr>
            <m:t>∼</m:t>
          </m:r>
          <m:r>
            <m:rPr>
              <m:sty m:val="p"/>
            </m:rPr>
            <m:t>B</m:t>
          </m:r>
          <m:r>
            <m:rPr>
              <m:sty m:val="p"/>
            </m:rPr>
            <m:t>i</m:t>
          </m:r>
          <m:r>
            <m:rPr>
              <m:sty m:val="p"/>
            </m:rPr>
            <m:t>n</m:t>
          </m:r>
          <m:r>
            <m:rPr>
              <m:sty m:val="p"/>
            </m:rPr>
            <m:t>(</m:t>
          </m:r>
          <m:r>
            <m:t>n</m:t>
          </m:r>
          <m:r>
            <m:rPr>
              <m:sty m:val="p"/>
            </m:rPr>
            <m:t>,</m:t>
          </m:r>
          <m:acc>
            <m:accPr>
              <m:chr m:val="‾"/>
            </m:accPr>
            <m:e>
              <m:r>
                <m:t>p</m:t>
              </m:r>
            </m:e>
          </m:acc>
          <m:r>
            <m:rPr>
              <m:sty m:val="p"/>
            </m:rPr>
            <m:t>)</m:t>
          </m:r>
          <m:r>
            <m:rPr>
              <m:sty m:val="p"/>
            </m:rPr>
            <m:t>,</m:t>
          </m:r>
          <m:r>
            <m:t>  </m:t>
          </m:r>
          <m:sSub>
            <m:e>
              <m:r>
                <m:t>p</m:t>
              </m:r>
            </m:e>
            <m:sub>
              <m:r>
                <m:rPr>
                  <m:nor/>
                  <m:sty m:val="p"/>
                </m:rPr>
                <m:t>Jeffreys</m:t>
              </m:r>
            </m:sub>
          </m:sSub>
          <m:r>
            <m:rPr>
              <m:sty m:val="p"/>
            </m:rPr>
            <m:t>=</m:t>
          </m:r>
          <m:r>
            <m:t>P</m:t>
          </m:r>
          <m:d>
            <m:dPr>
              <m:begChr m:val="("/>
              <m:sepChr m:val=""/>
              <m:endChr m:val=")"/>
              <m:grow/>
            </m:dPr>
            <m:e>
              <m:r>
                <m:t>π</m:t>
              </m:r>
              <m:r>
                <m:rPr>
                  <m:sty m:val="p"/>
                </m:rPr>
                <m:t>&lt;</m:t>
              </m:r>
              <m:acc>
                <m:accPr>
                  <m:chr m:val="‾"/>
                </m:accPr>
                <m:e>
                  <m:r>
                    <m:t>p</m:t>
                  </m:r>
                </m:e>
              </m:acc>
            </m:e>
          </m:d>
          <m:r>
            <m:rPr>
              <m:sty m:val="p"/>
            </m:rPr>
            <m:t>,</m:t>
          </m:r>
          <m:r>
            <m:t> </m:t>
          </m:r>
          <m:r>
            <m:t>π</m:t>
          </m:r>
          <m:r>
            <m:rPr>
              <m:sty m:val="p"/>
            </m:rPr>
            <m:t>∼</m:t>
          </m:r>
          <m:r>
            <m:rPr>
              <m:sty m:val="p"/>
            </m:rPr>
            <m:t>B</m:t>
          </m:r>
          <m:r>
            <m:rPr>
              <m:sty m:val="p"/>
            </m:rPr>
            <m:t>e</m:t>
          </m:r>
          <m:r>
            <m:rPr>
              <m:sty m:val="p"/>
            </m:rPr>
            <m:t>t</m:t>
          </m:r>
          <m:r>
            <m:rPr>
              <m:sty m:val="p"/>
            </m:rPr>
            <m:t>a</m:t>
          </m:r>
          <m:d>
            <m:dPr>
              <m:begChr m:val="("/>
              <m:sepChr m:val=""/>
              <m:endChr m:val=")"/>
              <m:grow/>
            </m:dPr>
            <m:e>
              <m:r>
                <m:t>D</m:t>
              </m:r>
              <m:r>
                <m:rPr>
                  <m:sty m:val="p"/>
                </m:rPr>
                <m:t>+</m:t>
              </m:r>
              <m:f>
                <m:fPr>
                  <m:type m:val="lin"/>
                </m:fPr>
                <m:num>
                  <m:r>
                    <m:t>1</m:t>
                  </m:r>
                </m:num>
                <m:den>
                  <m:r>
                    <m:t>2</m:t>
                  </m:r>
                </m:den>
              </m:f>
              <m:r>
                <m:rPr>
                  <m:sty m:val="p"/>
                </m:rPr>
                <m:t>,</m:t>
              </m:r>
              <m:r>
                <m:t> </m:t>
              </m:r>
              <m:r>
                <m:t>n</m:t>
              </m:r>
              <m:r>
                <m:rPr>
                  <m:sty m:val="p"/>
                </m:rPr>
                <m:t>−</m:t>
              </m:r>
              <m:r>
                <m:t>D</m:t>
              </m:r>
              <m:r>
                <m:rPr>
                  <m:sty m:val="p"/>
                </m:rPr>
                <m:t>+</m:t>
              </m:r>
              <m:f>
                <m:fPr>
                  <m:type m:val="lin"/>
                </m:fPr>
                <m:num>
                  <m:r>
                    <m:t>1</m:t>
                  </m:r>
                </m:num>
                <m:den>
                  <m:r>
                    <m:t>2</m:t>
                  </m:r>
                </m:den>
              </m:f>
            </m:e>
          </m:d>
          <m:r>
            <m:rPr>
              <m:sty m:val="p"/>
            </m:rPr>
            <m:t>.</m:t>
          </m:r>
        </m:oMath>
      </m:oMathPara>
    </w:p>
    <w:p>
      <w:pPr>
        <w:pStyle w:val="FirstParagraph"/>
      </w:pPr>
      <w:r>
        <w:t xml:space="preserve">The Jeffreys form is the posterior probability, under a non-informative prior, that the true PD is below the prediction. It behaves better than the normal approximation for small counts (</w:t>
      </w:r>
      <w:r>
        <w:rPr>
          <w:rStyle w:val="VerbatimChar"/>
        </w:rPr>
        <w:t xml:space="preserve">validation.binomial_test_by_group</w:t>
      </w:r>
      <w:r>
        <w:t xml:space="preserve">).</w:t>
      </w:r>
    </w:p>
    <w:p>
      <w:pPr>
        <w:pStyle w:val="BodyText"/>
      </w:pPr>
      <w:r>
        <w:rPr>
          <w:b/>
          <w:bCs/>
        </w:rPr>
        <w:t xml:space="preserve">Worked example.</w:t>
      </w:r>
      <w:r>
        <w:t xml:space="preserve"> </w:t>
      </w:r>
      <w:r>
        <w:t xml:space="preserve">Grade E in 2014 for SC_FULL:</w:t>
      </w:r>
      <w:r>
        <w:t xml:space="preserve"> </w:t>
      </w:r>
      <m:oMath>
        <m:r>
          <m:t>n</m:t>
        </m:r>
        <m:r>
          <m:rPr>
            <m:sty m:val="p"/>
          </m:rPr>
          <m:t>=</m:t>
        </m:r>
      </m:oMath>
      <w:r>
        <w:t xml:space="preserve"> </w:t>
      </w:r>
      <w:r>
        <w:t xml:space="preserve">19,366 loans, mean PD 8.126%, so the expected number of bads is 1,573.7 and the standard deviation is 38.02. The observed count is 1,882 (rate 9.72%), so</w:t>
      </w:r>
      <w:r>
        <w:t xml:space="preserve"> </w:t>
      </w:r>
      <m:oMath>
        <m:r>
          <m:t>z</m:t>
        </m:r>
        <m:r>
          <m:rPr>
            <m:sty m:val="p"/>
          </m:rPr>
          <m:t>=</m:t>
        </m:r>
      </m:oMath>
      <w:r>
        <w:t xml:space="preserve"> </w:t>
      </w:r>
      <w:r>
        <w:t xml:space="preserve">8.11 and the upper-tail p-value is essentially zero.</w:t>
      </w:r>
    </w:p>
    <w:p>
      <w:pPr>
        <w:pStyle w:val="TableCaption"/>
      </w:pPr>
      <w:r>
        <w:t xml:space="preserve">SC_FULL by grade on 2013 loans. Negative z means PD is over-predicted.</w:t>
      </w:r>
    </w:p>
    <w:tbl>
      <w:tblPr>
        <w:tblStyle w:val="Table"/>
        <w:tblW w:type="auto" w:w="0"/>
        <w:tblLook w:firstRow="1" w:lastRow="0" w:firstColumn="0" w:lastColumn="0" w:noHBand="0" w:noVBand="0" w:val="0020"/>
        <w:tblCaption w:val="SC_FULL by grade on 2013 loans. Negative z means PD is over-predict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1"/>
        <w:gridCol w:w="1131"/>
        <w:gridCol w:w="1131"/>
        <w:gridCol w:w="1131"/>
        <w:gridCol w:w="1131"/>
        <w:gridCol w:w="1131"/>
        <w:gridCol w:w="1131"/>
      </w:tblGrid>
      <w:tr>
        <w:trPr>
          <w:tblHeader w:val="on"/>
        </w:trPr>
        <w:tc>
          <w:tcPr/>
          <w:p>
            <w:pPr>
              <w:pStyle w:val="Compact"/>
              <w:jc w:val="left"/>
            </w:pPr>
            <w:r>
              <w:rPr>
                <w:sz w:val="17"/>
              </w:rPr>
              <w:t xml:space="preserve">Grade</w:t>
            </w:r>
          </w:p>
        </w:tc>
        <w:tc>
          <w:tcPr/>
          <w:p>
            <w:pPr>
              <w:pStyle w:val="Compact"/>
              <w:jc w:val="right"/>
            </w:pPr>
            <w:r>
              <w:rPr>
                <w:sz w:val="17"/>
              </w:rPr>
              <w:t xml:space="preserve">Loans</w:t>
            </w:r>
          </w:p>
        </w:tc>
        <w:tc>
          <w:tcPr/>
          <w:p>
            <w:pPr>
              <w:pStyle w:val="Compact"/>
              <w:jc w:val="right"/>
            </w:pPr>
            <w:r>
              <w:rPr>
                <w:sz w:val="17"/>
              </w:rPr>
              <w:t xml:space="preserve">Bad</w:t>
            </w:r>
          </w:p>
        </w:tc>
        <w:tc>
          <w:tcPr/>
          <w:p>
            <w:pPr>
              <w:pStyle w:val="Compact"/>
              <w:jc w:val="right"/>
            </w:pPr>
            <w:r>
              <w:rPr>
                <w:sz w:val="17"/>
              </w:rPr>
              <w:t xml:space="preserve">Observed</w:t>
            </w:r>
          </w:p>
        </w:tc>
        <w:tc>
          <w:tcPr/>
          <w:p>
            <w:pPr>
              <w:pStyle w:val="Compact"/>
              <w:jc w:val="right"/>
            </w:pPr>
            <w:r>
              <w:rPr>
                <w:sz w:val="17"/>
              </w:rPr>
              <w:t xml:space="preserve">Mean PD</w:t>
            </w:r>
          </w:p>
        </w:tc>
        <w:tc>
          <w:tcPr/>
          <w:p>
            <w:pPr>
              <w:pStyle w:val="Compact"/>
              <w:jc w:val="right"/>
            </w:pPr>
            <w:r>
              <w:rPr>
                <w:sz w:val="17"/>
              </w:rPr>
              <w:t xml:space="preserve">z</w:t>
            </w:r>
          </w:p>
        </w:tc>
        <w:tc>
          <w:tcPr/>
          <w:p>
            <w:pPr>
              <w:pStyle w:val="Compact"/>
              <w:jc w:val="right"/>
            </w:pPr>
            <w:r>
              <w:rPr>
                <w:sz w:val="17"/>
              </w:rPr>
              <w:t xml:space="preserve">Jeffreys p</w:t>
            </w:r>
          </w:p>
        </w:tc>
      </w:tr>
      <w:tr>
        <w:tc>
          <w:tcPr/>
          <w:p>
            <w:pPr>
              <w:pStyle w:val="Compact"/>
              <w:jc w:val="left"/>
            </w:pPr>
            <w:r>
              <w:rPr>
                <w:sz w:val="17"/>
              </w:rPr>
              <w:t xml:space="preserve">A</w:t>
            </w:r>
          </w:p>
        </w:tc>
        <w:tc>
          <w:tcPr/>
          <w:p>
            <w:pPr>
              <w:pStyle w:val="Compact"/>
              <w:jc w:val="right"/>
            </w:pPr>
            <w:r>
              <w:rPr>
                <w:sz w:val="17"/>
              </w:rPr>
              <w:t xml:space="preserve">17,675</w:t>
            </w:r>
          </w:p>
        </w:tc>
        <w:tc>
          <w:tcPr/>
          <w:p>
            <w:pPr>
              <w:pStyle w:val="Compact"/>
              <w:jc w:val="right"/>
            </w:pPr>
            <w:r>
              <w:rPr>
                <w:sz w:val="17"/>
              </w:rPr>
              <w:t xml:space="preserve">184</w:t>
            </w:r>
          </w:p>
        </w:tc>
        <w:tc>
          <w:tcPr/>
          <w:p>
            <w:pPr>
              <w:pStyle w:val="Compact"/>
              <w:jc w:val="right"/>
            </w:pPr>
            <w:r>
              <w:rPr>
                <w:sz w:val="17"/>
              </w:rPr>
              <w:t xml:space="preserve">1.04%</w:t>
            </w:r>
          </w:p>
        </w:tc>
        <w:tc>
          <w:tcPr/>
          <w:p>
            <w:pPr>
              <w:pStyle w:val="Compact"/>
              <w:jc w:val="right"/>
            </w:pPr>
            <w:r>
              <w:rPr>
                <w:sz w:val="17"/>
              </w:rPr>
              <w:t xml:space="preserve">1.56%</w:t>
            </w:r>
          </w:p>
        </w:tc>
        <w:tc>
          <w:tcPr/>
          <w:p>
            <w:pPr>
              <w:pStyle w:val="Compact"/>
              <w:jc w:val="right"/>
            </w:pPr>
            <w:r>
              <w:rPr>
                <w:sz w:val="17"/>
              </w:rPr>
              <w:t xml:space="preserve">-5.52</w:t>
            </w:r>
          </w:p>
        </w:tc>
        <w:tc>
          <w:tcPr/>
          <w:p>
            <w:pPr>
              <w:pStyle w:val="Compact"/>
              <w:jc w:val="right"/>
            </w:pPr>
            <w:r>
              <w:rPr>
                <w:sz w:val="17"/>
              </w:rPr>
              <w:t xml:space="preserve">1.000</w:t>
            </w:r>
          </w:p>
        </w:tc>
      </w:tr>
      <w:tr>
        <w:tc>
          <w:tcPr/>
          <w:p>
            <w:pPr>
              <w:pStyle w:val="Compact"/>
              <w:jc w:val="left"/>
            </w:pPr>
            <w:r>
              <w:rPr>
                <w:sz w:val="17"/>
              </w:rPr>
              <w:t xml:space="preserve">B</w:t>
            </w:r>
          </w:p>
        </w:tc>
        <w:tc>
          <w:tcPr/>
          <w:p>
            <w:pPr>
              <w:pStyle w:val="Compact"/>
              <w:jc w:val="right"/>
            </w:pPr>
            <w:r>
              <w:rPr>
                <w:sz w:val="17"/>
              </w:rPr>
              <w:t xml:space="preserve">44,098</w:t>
            </w:r>
          </w:p>
        </w:tc>
        <w:tc>
          <w:tcPr/>
          <w:p>
            <w:pPr>
              <w:pStyle w:val="Compact"/>
              <w:jc w:val="right"/>
            </w:pPr>
            <w:r>
              <w:rPr>
                <w:sz w:val="17"/>
              </w:rPr>
              <w:t xml:space="preserve">1,120</w:t>
            </w:r>
          </w:p>
        </w:tc>
        <w:tc>
          <w:tcPr/>
          <w:p>
            <w:pPr>
              <w:pStyle w:val="Compact"/>
              <w:jc w:val="right"/>
            </w:pPr>
            <w:r>
              <w:rPr>
                <w:sz w:val="17"/>
              </w:rPr>
              <w:t xml:space="preserve">2.54%</w:t>
            </w:r>
          </w:p>
        </w:tc>
        <w:tc>
          <w:tcPr/>
          <w:p>
            <w:pPr>
              <w:pStyle w:val="Compact"/>
              <w:jc w:val="right"/>
            </w:pPr>
            <w:r>
              <w:rPr>
                <w:sz w:val="17"/>
              </w:rPr>
              <w:t xml:space="preserve">3.25%</w:t>
            </w:r>
          </w:p>
        </w:tc>
        <w:tc>
          <w:tcPr/>
          <w:p>
            <w:pPr>
              <w:pStyle w:val="Compact"/>
              <w:jc w:val="right"/>
            </w:pPr>
            <w:r>
              <w:rPr>
                <w:sz w:val="17"/>
              </w:rPr>
              <w:t xml:space="preserve">-8.39</w:t>
            </w:r>
          </w:p>
        </w:tc>
        <w:tc>
          <w:tcPr/>
          <w:p>
            <w:pPr>
              <w:pStyle w:val="Compact"/>
              <w:jc w:val="right"/>
            </w:pPr>
            <w:r>
              <w:rPr>
                <w:sz w:val="17"/>
              </w:rPr>
              <w:t xml:space="preserve">1.000</w:t>
            </w:r>
          </w:p>
        </w:tc>
      </w:tr>
      <w:tr>
        <w:tc>
          <w:tcPr/>
          <w:p>
            <w:pPr>
              <w:pStyle w:val="Compact"/>
              <w:jc w:val="left"/>
            </w:pPr>
            <w:r>
              <w:rPr>
                <w:sz w:val="17"/>
              </w:rPr>
              <w:t xml:space="preserve">C</w:t>
            </w:r>
          </w:p>
        </w:tc>
        <w:tc>
          <w:tcPr/>
          <w:p>
            <w:pPr>
              <w:pStyle w:val="Compact"/>
              <w:jc w:val="right"/>
            </w:pPr>
            <w:r>
              <w:rPr>
                <w:sz w:val="17"/>
              </w:rPr>
              <w:t xml:space="preserve">38,113</w:t>
            </w:r>
          </w:p>
        </w:tc>
        <w:tc>
          <w:tcPr/>
          <w:p>
            <w:pPr>
              <w:pStyle w:val="Compact"/>
              <w:jc w:val="right"/>
            </w:pPr>
            <w:r>
              <w:rPr>
                <w:sz w:val="17"/>
              </w:rPr>
              <w:t xml:space="preserve">1,673</w:t>
            </w:r>
          </w:p>
        </w:tc>
        <w:tc>
          <w:tcPr/>
          <w:p>
            <w:pPr>
              <w:pStyle w:val="Compact"/>
              <w:jc w:val="right"/>
            </w:pPr>
            <w:r>
              <w:rPr>
                <w:sz w:val="17"/>
              </w:rPr>
              <w:t xml:space="preserve">4.39%</w:t>
            </w:r>
          </w:p>
        </w:tc>
        <w:tc>
          <w:tcPr/>
          <w:p>
            <w:pPr>
              <w:pStyle w:val="Compact"/>
              <w:jc w:val="right"/>
            </w:pPr>
            <w:r>
              <w:rPr>
                <w:sz w:val="17"/>
              </w:rPr>
              <w:t xml:space="preserve">5.42%</w:t>
            </w:r>
          </w:p>
        </w:tc>
        <w:tc>
          <w:tcPr/>
          <w:p>
            <w:pPr>
              <w:pStyle w:val="Compact"/>
              <w:jc w:val="right"/>
            </w:pPr>
            <w:r>
              <w:rPr>
                <w:sz w:val="17"/>
              </w:rPr>
              <w:t xml:space="preserve">-8.91</w:t>
            </w:r>
          </w:p>
        </w:tc>
        <w:tc>
          <w:tcPr/>
          <w:p>
            <w:pPr>
              <w:pStyle w:val="Compact"/>
              <w:jc w:val="right"/>
            </w:pPr>
            <w:r>
              <w:rPr>
                <w:sz w:val="17"/>
              </w:rPr>
              <w:t xml:space="preserve">1.000</w:t>
            </w:r>
          </w:p>
        </w:tc>
      </w:tr>
      <w:tr>
        <w:tc>
          <w:tcPr/>
          <w:p>
            <w:pPr>
              <w:pStyle w:val="Compact"/>
              <w:jc w:val="left"/>
            </w:pPr>
            <w:r>
              <w:rPr>
                <w:sz w:val="17"/>
              </w:rPr>
              <w:t xml:space="preserve">D</w:t>
            </w:r>
          </w:p>
        </w:tc>
        <w:tc>
          <w:tcPr/>
          <w:p>
            <w:pPr>
              <w:pStyle w:val="Compact"/>
              <w:jc w:val="right"/>
            </w:pPr>
            <w:r>
              <w:rPr>
                <w:sz w:val="17"/>
              </w:rPr>
              <w:t xml:space="preserve">20,558</w:t>
            </w:r>
          </w:p>
        </w:tc>
        <w:tc>
          <w:tcPr/>
          <w:p>
            <w:pPr>
              <w:pStyle w:val="Compact"/>
              <w:jc w:val="right"/>
            </w:pPr>
            <w:r>
              <w:rPr>
                <w:sz w:val="17"/>
              </w:rPr>
              <w:t xml:space="preserve">1,401</w:t>
            </w:r>
          </w:p>
        </w:tc>
        <w:tc>
          <w:tcPr/>
          <w:p>
            <w:pPr>
              <w:pStyle w:val="Compact"/>
              <w:jc w:val="right"/>
            </w:pPr>
            <w:r>
              <w:rPr>
                <w:sz w:val="17"/>
              </w:rPr>
              <w:t xml:space="preserve">6.81%</w:t>
            </w:r>
          </w:p>
        </w:tc>
        <w:tc>
          <w:tcPr/>
          <w:p>
            <w:pPr>
              <w:pStyle w:val="Compact"/>
              <w:jc w:val="right"/>
            </w:pPr>
            <w:r>
              <w:rPr>
                <w:sz w:val="17"/>
              </w:rPr>
              <w:t xml:space="preserve">7.33%</w:t>
            </w:r>
          </w:p>
        </w:tc>
        <w:tc>
          <w:tcPr/>
          <w:p>
            <w:pPr>
              <w:pStyle w:val="Compact"/>
              <w:jc w:val="right"/>
            </w:pPr>
            <w:r>
              <w:rPr>
                <w:sz w:val="17"/>
              </w:rPr>
              <w:t xml:space="preserve">-2.82</w:t>
            </w:r>
          </w:p>
        </w:tc>
        <w:tc>
          <w:tcPr/>
          <w:p>
            <w:pPr>
              <w:pStyle w:val="Compact"/>
              <w:jc w:val="right"/>
            </w:pPr>
            <w:r>
              <w:rPr>
                <w:sz w:val="17"/>
              </w:rPr>
              <w:t xml:space="preserve">0.998</w:t>
            </w:r>
          </w:p>
        </w:tc>
      </w:tr>
      <w:tr>
        <w:tc>
          <w:tcPr/>
          <w:p>
            <w:pPr>
              <w:pStyle w:val="Compact"/>
              <w:jc w:val="left"/>
            </w:pPr>
            <w:r>
              <w:rPr>
                <w:sz w:val="17"/>
              </w:rPr>
              <w:t xml:space="preserve">E</w:t>
            </w:r>
          </w:p>
        </w:tc>
        <w:tc>
          <w:tcPr/>
          <w:p>
            <w:pPr>
              <w:pStyle w:val="Compact"/>
              <w:jc w:val="right"/>
            </w:pPr>
            <w:r>
              <w:rPr>
                <w:sz w:val="17"/>
              </w:rPr>
              <w:t xml:space="preserve">9,057</w:t>
            </w:r>
          </w:p>
        </w:tc>
        <w:tc>
          <w:tcPr/>
          <w:p>
            <w:pPr>
              <w:pStyle w:val="Compact"/>
              <w:jc w:val="right"/>
            </w:pPr>
            <w:r>
              <w:rPr>
                <w:sz w:val="17"/>
              </w:rPr>
              <w:t xml:space="preserve">773</w:t>
            </w:r>
          </w:p>
        </w:tc>
        <w:tc>
          <w:tcPr/>
          <w:p>
            <w:pPr>
              <w:pStyle w:val="Compact"/>
              <w:jc w:val="right"/>
            </w:pPr>
            <w:r>
              <w:rPr>
                <w:sz w:val="17"/>
              </w:rPr>
              <w:t xml:space="preserve">8.53%</w:t>
            </w:r>
          </w:p>
        </w:tc>
        <w:tc>
          <w:tcPr/>
          <w:p>
            <w:pPr>
              <w:pStyle w:val="Compact"/>
              <w:jc w:val="right"/>
            </w:pPr>
            <w:r>
              <w:rPr>
                <w:sz w:val="17"/>
              </w:rPr>
              <w:t xml:space="preserve">8.34%</w:t>
            </w:r>
          </w:p>
        </w:tc>
        <w:tc>
          <w:tcPr/>
          <w:p>
            <w:pPr>
              <w:pStyle w:val="Compact"/>
              <w:jc w:val="right"/>
            </w:pPr>
            <w:r>
              <w:rPr>
                <w:sz w:val="17"/>
              </w:rPr>
              <w:t xml:space="preserve">0.68</w:t>
            </w:r>
          </w:p>
        </w:tc>
        <w:tc>
          <w:tcPr/>
          <w:p>
            <w:pPr>
              <w:pStyle w:val="Compact"/>
              <w:jc w:val="right"/>
            </w:pPr>
            <w:r>
              <w:rPr>
                <w:sz w:val="17"/>
              </w:rPr>
              <w:t xml:space="preserve">0.247</w:t>
            </w:r>
          </w:p>
        </w:tc>
      </w:tr>
      <w:tr>
        <w:tc>
          <w:tcPr/>
          <w:p>
            <w:pPr>
              <w:pStyle w:val="Compact"/>
              <w:jc w:val="left"/>
            </w:pPr>
            <w:r>
              <w:rPr>
                <w:sz w:val="17"/>
              </w:rPr>
              <w:t xml:space="preserve">F</w:t>
            </w:r>
          </w:p>
        </w:tc>
        <w:tc>
          <w:tcPr/>
          <w:p>
            <w:pPr>
              <w:pStyle w:val="Compact"/>
              <w:jc w:val="right"/>
            </w:pPr>
            <w:r>
              <w:rPr>
                <w:sz w:val="17"/>
              </w:rPr>
              <w:t xml:space="preserve">4,390</w:t>
            </w:r>
          </w:p>
        </w:tc>
        <w:tc>
          <w:tcPr/>
          <w:p>
            <w:pPr>
              <w:pStyle w:val="Compact"/>
              <w:jc w:val="right"/>
            </w:pPr>
            <w:r>
              <w:rPr>
                <w:sz w:val="17"/>
              </w:rPr>
              <w:t xml:space="preserve">477</w:t>
            </w:r>
          </w:p>
        </w:tc>
        <w:tc>
          <w:tcPr/>
          <w:p>
            <w:pPr>
              <w:pStyle w:val="Compact"/>
              <w:jc w:val="right"/>
            </w:pPr>
            <w:r>
              <w:rPr>
                <w:sz w:val="17"/>
              </w:rPr>
              <w:t xml:space="preserve">10.87%</w:t>
            </w:r>
          </w:p>
        </w:tc>
        <w:tc>
          <w:tcPr/>
          <w:p>
            <w:pPr>
              <w:pStyle w:val="Compact"/>
              <w:jc w:val="right"/>
            </w:pPr>
            <w:r>
              <w:rPr>
                <w:sz w:val="17"/>
              </w:rPr>
              <w:t xml:space="preserve">10.92%</w:t>
            </w:r>
          </w:p>
        </w:tc>
        <w:tc>
          <w:tcPr/>
          <w:p>
            <w:pPr>
              <w:pStyle w:val="Compact"/>
              <w:jc w:val="right"/>
            </w:pPr>
            <w:r>
              <w:rPr>
                <w:sz w:val="17"/>
              </w:rPr>
              <w:t xml:space="preserve">-0.11</w:t>
            </w:r>
          </w:p>
        </w:tc>
        <w:tc>
          <w:tcPr/>
          <w:p>
            <w:pPr>
              <w:pStyle w:val="Compact"/>
              <w:jc w:val="right"/>
            </w:pPr>
            <w:r>
              <w:rPr>
                <w:sz w:val="17"/>
              </w:rPr>
              <w:t xml:space="preserve">0.540</w:t>
            </w:r>
          </w:p>
        </w:tc>
      </w:tr>
      <w:tr>
        <w:tc>
          <w:tcPr/>
          <w:p>
            <w:pPr>
              <w:pStyle w:val="Compact"/>
              <w:jc w:val="left"/>
            </w:pPr>
            <w:r>
              <w:rPr>
                <w:sz w:val="17"/>
              </w:rPr>
              <w:t xml:space="preserve">G</w:t>
            </w:r>
          </w:p>
        </w:tc>
        <w:tc>
          <w:tcPr/>
          <w:p>
            <w:pPr>
              <w:pStyle w:val="Compact"/>
              <w:jc w:val="right"/>
            </w:pPr>
            <w:r>
              <w:rPr>
                <w:sz w:val="17"/>
              </w:rPr>
              <w:t xml:space="preserve">864</w:t>
            </w:r>
          </w:p>
        </w:tc>
        <w:tc>
          <w:tcPr/>
          <w:p>
            <w:pPr>
              <w:pStyle w:val="Compact"/>
              <w:jc w:val="right"/>
            </w:pPr>
            <w:r>
              <w:rPr>
                <w:sz w:val="17"/>
              </w:rPr>
              <w:t xml:space="preserve">97</w:t>
            </w:r>
          </w:p>
        </w:tc>
        <w:tc>
          <w:tcPr/>
          <w:p>
            <w:pPr>
              <w:pStyle w:val="Compact"/>
              <w:jc w:val="right"/>
            </w:pPr>
            <w:r>
              <w:rPr>
                <w:sz w:val="17"/>
              </w:rPr>
              <w:t xml:space="preserve">11.23%</w:t>
            </w:r>
          </w:p>
        </w:tc>
        <w:tc>
          <w:tcPr/>
          <w:p>
            <w:pPr>
              <w:pStyle w:val="Compact"/>
              <w:jc w:val="right"/>
            </w:pPr>
            <w:r>
              <w:rPr>
                <w:sz w:val="17"/>
              </w:rPr>
              <w:t xml:space="preserve">10.98%</w:t>
            </w:r>
          </w:p>
        </w:tc>
        <w:tc>
          <w:tcPr/>
          <w:p>
            <w:pPr>
              <w:pStyle w:val="Compact"/>
              <w:jc w:val="right"/>
            </w:pPr>
            <w:r>
              <w:rPr>
                <w:sz w:val="17"/>
              </w:rPr>
              <w:t xml:space="preserve">0.23</w:t>
            </w:r>
          </w:p>
        </w:tc>
        <w:tc>
          <w:tcPr/>
          <w:p>
            <w:pPr>
              <w:pStyle w:val="Compact"/>
              <w:jc w:val="right"/>
            </w:pPr>
            <w:r>
              <w:rPr>
                <w:sz w:val="17"/>
              </w:rPr>
              <w:t xml:space="preserve">0.404</w:t>
            </w:r>
          </w:p>
        </w:tc>
      </w:tr>
    </w:tbl>
    <w:p/>
    <w:p>
      <w:pPr>
        <w:pStyle w:val="TableCaption"/>
      </w:pPr>
      <w:r>
        <w:t xml:space="preserve">SC_FULL by grade on 2014 loans. Grades E, F and G are significantly under-predicted.</w:t>
      </w:r>
    </w:p>
    <w:tbl>
      <w:tblPr>
        <w:tblStyle w:val="Table"/>
        <w:tblW w:type="auto" w:w="0"/>
        <w:tblLook w:firstRow="1" w:lastRow="0" w:firstColumn="0" w:lastColumn="0" w:noHBand="0" w:noVBand="0" w:val="0020"/>
        <w:tblCaption w:val="SC_FULL by grade on 2014 loans. Grades E, F and G are significantly under-predict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1"/>
        <w:gridCol w:w="1131"/>
        <w:gridCol w:w="1131"/>
        <w:gridCol w:w="1131"/>
        <w:gridCol w:w="1131"/>
        <w:gridCol w:w="1131"/>
        <w:gridCol w:w="1131"/>
      </w:tblGrid>
      <w:tr>
        <w:trPr>
          <w:tblHeader w:val="on"/>
        </w:trPr>
        <w:tc>
          <w:tcPr/>
          <w:p>
            <w:pPr>
              <w:pStyle w:val="Compact"/>
              <w:jc w:val="left"/>
            </w:pPr>
            <w:r>
              <w:rPr>
                <w:sz w:val="17"/>
              </w:rPr>
              <w:t xml:space="preserve">Grade</w:t>
            </w:r>
          </w:p>
        </w:tc>
        <w:tc>
          <w:tcPr/>
          <w:p>
            <w:pPr>
              <w:pStyle w:val="Compact"/>
              <w:jc w:val="right"/>
            </w:pPr>
            <w:r>
              <w:rPr>
                <w:sz w:val="17"/>
              </w:rPr>
              <w:t xml:space="preserve">Loans</w:t>
            </w:r>
          </w:p>
        </w:tc>
        <w:tc>
          <w:tcPr/>
          <w:p>
            <w:pPr>
              <w:pStyle w:val="Compact"/>
              <w:jc w:val="right"/>
            </w:pPr>
            <w:r>
              <w:rPr>
                <w:sz w:val="17"/>
              </w:rPr>
              <w:t xml:space="preserve">Bad</w:t>
            </w:r>
          </w:p>
        </w:tc>
        <w:tc>
          <w:tcPr/>
          <w:p>
            <w:pPr>
              <w:pStyle w:val="Compact"/>
              <w:jc w:val="right"/>
            </w:pPr>
            <w:r>
              <w:rPr>
                <w:sz w:val="17"/>
              </w:rPr>
              <w:t xml:space="preserve">Observed</w:t>
            </w:r>
          </w:p>
        </w:tc>
        <w:tc>
          <w:tcPr/>
          <w:p>
            <w:pPr>
              <w:pStyle w:val="Compact"/>
              <w:jc w:val="right"/>
            </w:pPr>
            <w:r>
              <w:rPr>
                <w:sz w:val="17"/>
              </w:rPr>
              <w:t xml:space="preserve">Mean PD</w:t>
            </w:r>
          </w:p>
        </w:tc>
        <w:tc>
          <w:tcPr/>
          <w:p>
            <w:pPr>
              <w:pStyle w:val="Compact"/>
              <w:jc w:val="right"/>
            </w:pPr>
            <w:r>
              <w:rPr>
                <w:sz w:val="17"/>
              </w:rPr>
              <w:t xml:space="preserve">z</w:t>
            </w:r>
          </w:p>
        </w:tc>
        <w:tc>
          <w:tcPr/>
          <w:p>
            <w:pPr>
              <w:pStyle w:val="Compact"/>
              <w:jc w:val="right"/>
            </w:pPr>
            <w:r>
              <w:rPr>
                <w:sz w:val="17"/>
              </w:rPr>
              <w:t xml:space="preserve">Jeffreys p</w:t>
            </w:r>
          </w:p>
        </w:tc>
      </w:tr>
      <w:tr>
        <w:tc>
          <w:tcPr/>
          <w:p>
            <w:pPr>
              <w:pStyle w:val="Compact"/>
              <w:jc w:val="left"/>
            </w:pPr>
            <w:r>
              <w:rPr>
                <w:sz w:val="17"/>
              </w:rPr>
              <w:t xml:space="preserve">A</w:t>
            </w:r>
          </w:p>
        </w:tc>
        <w:tc>
          <w:tcPr/>
          <w:p>
            <w:pPr>
              <w:pStyle w:val="Compact"/>
              <w:jc w:val="right"/>
            </w:pPr>
            <w:r>
              <w:rPr>
                <w:sz w:val="17"/>
              </w:rPr>
              <w:t xml:space="preserve">34,105</w:t>
            </w:r>
          </w:p>
        </w:tc>
        <w:tc>
          <w:tcPr/>
          <w:p>
            <w:pPr>
              <w:pStyle w:val="Compact"/>
              <w:jc w:val="right"/>
            </w:pPr>
            <w:r>
              <w:rPr>
                <w:sz w:val="17"/>
              </w:rPr>
              <w:t xml:space="preserve">405</w:t>
            </w:r>
          </w:p>
        </w:tc>
        <w:tc>
          <w:tcPr/>
          <w:p>
            <w:pPr>
              <w:pStyle w:val="Compact"/>
              <w:jc w:val="right"/>
            </w:pPr>
            <w:r>
              <w:rPr>
                <w:sz w:val="17"/>
              </w:rPr>
              <w:t xml:space="preserve">1.19%</w:t>
            </w:r>
          </w:p>
        </w:tc>
        <w:tc>
          <w:tcPr/>
          <w:p>
            <w:pPr>
              <w:pStyle w:val="Compact"/>
              <w:jc w:val="right"/>
            </w:pPr>
            <w:r>
              <w:rPr>
                <w:sz w:val="17"/>
              </w:rPr>
              <w:t xml:space="preserve">1.61%</w:t>
            </w:r>
          </w:p>
        </w:tc>
        <w:tc>
          <w:tcPr/>
          <w:p>
            <w:pPr>
              <w:pStyle w:val="Compact"/>
              <w:jc w:val="right"/>
            </w:pPr>
            <w:r>
              <w:rPr>
                <w:sz w:val="17"/>
              </w:rPr>
              <w:t xml:space="preserve">-6.16</w:t>
            </w:r>
          </w:p>
        </w:tc>
        <w:tc>
          <w:tcPr/>
          <w:p>
            <w:pPr>
              <w:pStyle w:val="Compact"/>
              <w:jc w:val="right"/>
            </w:pPr>
            <w:r>
              <w:rPr>
                <w:sz w:val="17"/>
              </w:rPr>
              <w:t xml:space="preserve">1.000</w:t>
            </w:r>
          </w:p>
        </w:tc>
      </w:tr>
      <w:tr>
        <w:tc>
          <w:tcPr/>
          <w:p>
            <w:pPr>
              <w:pStyle w:val="Compact"/>
              <w:jc w:val="left"/>
            </w:pPr>
            <w:r>
              <w:rPr>
                <w:sz w:val="17"/>
              </w:rPr>
              <w:t xml:space="preserve">B</w:t>
            </w:r>
          </w:p>
        </w:tc>
        <w:tc>
          <w:tcPr/>
          <w:p>
            <w:pPr>
              <w:pStyle w:val="Compact"/>
              <w:jc w:val="right"/>
            </w:pPr>
            <w:r>
              <w:rPr>
                <w:sz w:val="17"/>
              </w:rPr>
              <w:t xml:space="preserve">59,121</w:t>
            </w:r>
          </w:p>
        </w:tc>
        <w:tc>
          <w:tcPr/>
          <w:p>
            <w:pPr>
              <w:pStyle w:val="Compact"/>
              <w:jc w:val="right"/>
            </w:pPr>
            <w:r>
              <w:rPr>
                <w:sz w:val="17"/>
              </w:rPr>
              <w:t xml:space="preserve">1,488</w:t>
            </w:r>
          </w:p>
        </w:tc>
        <w:tc>
          <w:tcPr/>
          <w:p>
            <w:pPr>
              <w:pStyle w:val="Compact"/>
              <w:jc w:val="right"/>
            </w:pPr>
            <w:r>
              <w:rPr>
                <w:sz w:val="17"/>
              </w:rPr>
              <w:t xml:space="preserve">2.52%</w:t>
            </w:r>
          </w:p>
        </w:tc>
        <w:tc>
          <w:tcPr/>
          <w:p>
            <w:pPr>
              <w:pStyle w:val="Compact"/>
              <w:jc w:val="right"/>
            </w:pPr>
            <w:r>
              <w:rPr>
                <w:sz w:val="17"/>
              </w:rPr>
              <w:t xml:space="preserve">3.29%</w:t>
            </w:r>
          </w:p>
        </w:tc>
        <w:tc>
          <w:tcPr/>
          <w:p>
            <w:pPr>
              <w:pStyle w:val="Compact"/>
              <w:jc w:val="right"/>
            </w:pPr>
            <w:r>
              <w:rPr>
                <w:sz w:val="17"/>
              </w:rPr>
              <w:t xml:space="preserve">-10.51</w:t>
            </w:r>
          </w:p>
        </w:tc>
        <w:tc>
          <w:tcPr/>
          <w:p>
            <w:pPr>
              <w:pStyle w:val="Compact"/>
              <w:jc w:val="right"/>
            </w:pPr>
            <w:r>
              <w:rPr>
                <w:sz w:val="17"/>
              </w:rPr>
              <w:t xml:space="preserve">1.000</w:t>
            </w:r>
          </w:p>
        </w:tc>
      </w:tr>
      <w:tr>
        <w:tc>
          <w:tcPr/>
          <w:p>
            <w:pPr>
              <w:pStyle w:val="Compact"/>
              <w:jc w:val="left"/>
            </w:pPr>
            <w:r>
              <w:rPr>
                <w:sz w:val="17"/>
              </w:rPr>
              <w:t xml:space="preserve">C</w:t>
            </w:r>
          </w:p>
        </w:tc>
        <w:tc>
          <w:tcPr/>
          <w:p>
            <w:pPr>
              <w:pStyle w:val="Compact"/>
              <w:jc w:val="right"/>
            </w:pPr>
            <w:r>
              <w:rPr>
                <w:sz w:val="17"/>
              </w:rPr>
              <w:t xml:space="preserve">63,723</w:t>
            </w:r>
          </w:p>
        </w:tc>
        <w:tc>
          <w:tcPr/>
          <w:p>
            <w:pPr>
              <w:pStyle w:val="Compact"/>
              <w:jc w:val="right"/>
            </w:pPr>
            <w:r>
              <w:rPr>
                <w:sz w:val="17"/>
              </w:rPr>
              <w:t xml:space="preserve">2,898</w:t>
            </w:r>
          </w:p>
        </w:tc>
        <w:tc>
          <w:tcPr/>
          <w:p>
            <w:pPr>
              <w:pStyle w:val="Compact"/>
              <w:jc w:val="right"/>
            </w:pPr>
            <w:r>
              <w:rPr>
                <w:sz w:val="17"/>
              </w:rPr>
              <w:t xml:space="preserve">4.55%</w:t>
            </w:r>
          </w:p>
        </w:tc>
        <w:tc>
          <w:tcPr/>
          <w:p>
            <w:pPr>
              <w:pStyle w:val="Compact"/>
              <w:jc w:val="right"/>
            </w:pPr>
            <w:r>
              <w:rPr>
                <w:sz w:val="17"/>
              </w:rPr>
              <w:t xml:space="preserve">5.42%</w:t>
            </w:r>
          </w:p>
        </w:tc>
        <w:tc>
          <w:tcPr/>
          <w:p>
            <w:pPr>
              <w:pStyle w:val="Compact"/>
              <w:jc w:val="right"/>
            </w:pPr>
            <w:r>
              <w:rPr>
                <w:sz w:val="17"/>
              </w:rPr>
              <w:t xml:space="preserve">-9.69</w:t>
            </w:r>
          </w:p>
        </w:tc>
        <w:tc>
          <w:tcPr/>
          <w:p>
            <w:pPr>
              <w:pStyle w:val="Compact"/>
              <w:jc w:val="right"/>
            </w:pPr>
            <w:r>
              <w:rPr>
                <w:sz w:val="17"/>
              </w:rPr>
              <w:t xml:space="preserve">1.000</w:t>
            </w:r>
          </w:p>
        </w:tc>
      </w:tr>
      <w:tr>
        <w:tc>
          <w:tcPr/>
          <w:p>
            <w:pPr>
              <w:pStyle w:val="Compact"/>
              <w:jc w:val="left"/>
            </w:pPr>
            <w:r>
              <w:rPr>
                <w:sz w:val="17"/>
              </w:rPr>
              <w:t xml:space="preserve">D</w:t>
            </w:r>
          </w:p>
        </w:tc>
        <w:tc>
          <w:tcPr/>
          <w:p>
            <w:pPr>
              <w:pStyle w:val="Compact"/>
              <w:jc w:val="right"/>
            </w:pPr>
            <w:r>
              <w:rPr>
                <w:sz w:val="17"/>
              </w:rPr>
              <w:t xml:space="preserve">41,403</w:t>
            </w:r>
          </w:p>
        </w:tc>
        <w:tc>
          <w:tcPr/>
          <w:p>
            <w:pPr>
              <w:pStyle w:val="Compact"/>
              <w:jc w:val="right"/>
            </w:pPr>
            <w:r>
              <w:rPr>
                <w:sz w:val="17"/>
              </w:rPr>
              <w:t xml:space="preserve">2,787</w:t>
            </w:r>
          </w:p>
        </w:tc>
        <w:tc>
          <w:tcPr/>
          <w:p>
            <w:pPr>
              <w:pStyle w:val="Compact"/>
              <w:jc w:val="right"/>
            </w:pPr>
            <w:r>
              <w:rPr>
                <w:sz w:val="17"/>
              </w:rPr>
              <w:t xml:space="preserve">6.73%</w:t>
            </w:r>
          </w:p>
        </w:tc>
        <w:tc>
          <w:tcPr/>
          <w:p>
            <w:pPr>
              <w:pStyle w:val="Compact"/>
              <w:jc w:val="right"/>
            </w:pPr>
            <w:r>
              <w:rPr>
                <w:sz w:val="17"/>
              </w:rPr>
              <w:t xml:space="preserve">6.81%</w:t>
            </w:r>
          </w:p>
        </w:tc>
        <w:tc>
          <w:tcPr/>
          <w:p>
            <w:pPr>
              <w:pStyle w:val="Compact"/>
              <w:jc w:val="right"/>
            </w:pPr>
            <w:r>
              <w:rPr>
                <w:sz w:val="17"/>
              </w:rPr>
              <w:t xml:space="preserve">-0.67</w:t>
            </w:r>
          </w:p>
        </w:tc>
        <w:tc>
          <w:tcPr/>
          <w:p>
            <w:pPr>
              <w:pStyle w:val="Compact"/>
              <w:jc w:val="right"/>
            </w:pPr>
            <w:r>
              <w:rPr>
                <w:sz w:val="17"/>
              </w:rPr>
              <w:t xml:space="preserve">0.749</w:t>
            </w:r>
          </w:p>
        </w:tc>
      </w:tr>
      <w:tr>
        <w:tc>
          <w:tcPr/>
          <w:p>
            <w:pPr>
              <w:pStyle w:val="Compact"/>
              <w:jc w:val="left"/>
            </w:pPr>
            <w:r>
              <w:rPr>
                <w:sz w:val="17"/>
              </w:rPr>
              <w:t xml:space="preserve">E</w:t>
            </w:r>
          </w:p>
        </w:tc>
        <w:tc>
          <w:tcPr/>
          <w:p>
            <w:pPr>
              <w:pStyle w:val="Compact"/>
              <w:jc w:val="right"/>
            </w:pPr>
            <w:r>
              <w:rPr>
                <w:sz w:val="17"/>
              </w:rPr>
              <w:t xml:space="preserve">19,366</w:t>
            </w:r>
          </w:p>
        </w:tc>
        <w:tc>
          <w:tcPr/>
          <w:p>
            <w:pPr>
              <w:pStyle w:val="Compact"/>
              <w:jc w:val="right"/>
            </w:pPr>
            <w:r>
              <w:rPr>
                <w:sz w:val="17"/>
              </w:rPr>
              <w:t xml:space="preserve">1,882</w:t>
            </w:r>
          </w:p>
        </w:tc>
        <w:tc>
          <w:tcPr/>
          <w:p>
            <w:pPr>
              <w:pStyle w:val="Compact"/>
              <w:jc w:val="right"/>
            </w:pPr>
            <w:r>
              <w:rPr>
                <w:sz w:val="17"/>
              </w:rPr>
              <w:t xml:space="preserve">9.72%</w:t>
            </w:r>
          </w:p>
        </w:tc>
        <w:tc>
          <w:tcPr/>
          <w:p>
            <w:pPr>
              <w:pStyle w:val="Compact"/>
              <w:jc w:val="right"/>
            </w:pPr>
            <w:r>
              <w:rPr>
                <w:sz w:val="17"/>
              </w:rPr>
              <w:t xml:space="preserve">8.13%</w:t>
            </w:r>
          </w:p>
        </w:tc>
        <w:tc>
          <w:tcPr/>
          <w:p>
            <w:pPr>
              <w:pStyle w:val="Compact"/>
              <w:jc w:val="right"/>
            </w:pPr>
            <w:r>
              <w:rPr>
                <w:sz w:val="17"/>
              </w:rPr>
              <w:t xml:space="preserve">8.11</w:t>
            </w:r>
          </w:p>
        </w:tc>
        <w:tc>
          <w:tcPr/>
          <w:p>
            <w:pPr>
              <w:pStyle w:val="Compact"/>
              <w:jc w:val="right"/>
            </w:pPr>
            <w:r>
              <w:rPr>
                <w:sz w:val="17"/>
              </w:rPr>
              <w:t xml:space="preserve">1.5e-15</w:t>
            </w:r>
          </w:p>
        </w:tc>
      </w:tr>
      <w:tr>
        <w:tc>
          <w:tcPr/>
          <w:p>
            <w:pPr>
              <w:pStyle w:val="Compact"/>
              <w:jc w:val="left"/>
            </w:pPr>
            <w:r>
              <w:rPr>
                <w:sz w:val="17"/>
              </w:rPr>
              <w:t xml:space="preserve">F</w:t>
            </w:r>
          </w:p>
        </w:tc>
        <w:tc>
          <w:tcPr/>
          <w:p>
            <w:pPr>
              <w:pStyle w:val="Compact"/>
              <w:jc w:val="right"/>
            </w:pPr>
            <w:r>
              <w:rPr>
                <w:sz w:val="17"/>
              </w:rPr>
              <w:t xml:space="preserve">5,974</w:t>
            </w:r>
          </w:p>
        </w:tc>
        <w:tc>
          <w:tcPr/>
          <w:p>
            <w:pPr>
              <w:pStyle w:val="Compact"/>
              <w:jc w:val="right"/>
            </w:pPr>
            <w:r>
              <w:rPr>
                <w:sz w:val="17"/>
              </w:rPr>
              <w:t xml:space="preserve">764</w:t>
            </w:r>
          </w:p>
        </w:tc>
        <w:tc>
          <w:tcPr/>
          <w:p>
            <w:pPr>
              <w:pStyle w:val="Compact"/>
              <w:jc w:val="right"/>
            </w:pPr>
            <w:r>
              <w:rPr>
                <w:sz w:val="17"/>
              </w:rPr>
              <w:t xml:space="preserve">12.79%</w:t>
            </w:r>
          </w:p>
        </w:tc>
        <w:tc>
          <w:tcPr/>
          <w:p>
            <w:pPr>
              <w:pStyle w:val="Compact"/>
              <w:jc w:val="right"/>
            </w:pPr>
            <w:r>
              <w:rPr>
                <w:sz w:val="17"/>
              </w:rPr>
              <w:t xml:space="preserve">10.88%</w:t>
            </w:r>
          </w:p>
        </w:tc>
        <w:tc>
          <w:tcPr/>
          <w:p>
            <w:pPr>
              <w:pStyle w:val="Compact"/>
              <w:jc w:val="right"/>
            </w:pPr>
            <w:r>
              <w:rPr>
                <w:sz w:val="17"/>
              </w:rPr>
              <w:t xml:space="preserve">4.74</w:t>
            </w:r>
          </w:p>
        </w:tc>
        <w:tc>
          <w:tcPr/>
          <w:p>
            <w:pPr>
              <w:pStyle w:val="Compact"/>
              <w:jc w:val="right"/>
            </w:pPr>
            <w:r>
              <w:rPr>
                <w:sz w:val="17"/>
              </w:rPr>
              <w:t xml:space="preserve">1.8e-06</w:t>
            </w:r>
          </w:p>
        </w:tc>
      </w:tr>
      <w:tr>
        <w:tc>
          <w:tcPr/>
          <w:p>
            <w:pPr>
              <w:pStyle w:val="Compact"/>
              <w:jc w:val="left"/>
            </w:pPr>
            <w:r>
              <w:rPr>
                <w:sz w:val="17"/>
              </w:rPr>
              <w:t xml:space="preserve">G</w:t>
            </w:r>
          </w:p>
        </w:tc>
        <w:tc>
          <w:tcPr/>
          <w:p>
            <w:pPr>
              <w:pStyle w:val="Compact"/>
              <w:jc w:val="right"/>
            </w:pPr>
            <w:r>
              <w:rPr>
                <w:sz w:val="17"/>
              </w:rPr>
              <w:t xml:space="preserve">1,629</w:t>
            </w:r>
          </w:p>
        </w:tc>
        <w:tc>
          <w:tcPr/>
          <w:p>
            <w:pPr>
              <w:pStyle w:val="Compact"/>
              <w:jc w:val="right"/>
            </w:pPr>
            <w:r>
              <w:rPr>
                <w:sz w:val="17"/>
              </w:rPr>
              <w:t xml:space="preserve">265</w:t>
            </w:r>
          </w:p>
        </w:tc>
        <w:tc>
          <w:tcPr/>
          <w:p>
            <w:pPr>
              <w:pStyle w:val="Compact"/>
              <w:jc w:val="right"/>
            </w:pPr>
            <w:r>
              <w:rPr>
                <w:sz w:val="17"/>
              </w:rPr>
              <w:t xml:space="preserve">16.27%</w:t>
            </w:r>
          </w:p>
        </w:tc>
        <w:tc>
          <w:tcPr/>
          <w:p>
            <w:pPr>
              <w:pStyle w:val="Compact"/>
              <w:jc w:val="right"/>
            </w:pPr>
            <w:r>
              <w:rPr>
                <w:sz w:val="17"/>
              </w:rPr>
              <w:t xml:space="preserve">10.47%</w:t>
            </w:r>
          </w:p>
        </w:tc>
        <w:tc>
          <w:tcPr/>
          <w:p>
            <w:pPr>
              <w:pStyle w:val="Compact"/>
              <w:jc w:val="right"/>
            </w:pPr>
            <w:r>
              <w:rPr>
                <w:sz w:val="17"/>
              </w:rPr>
              <w:t xml:space="preserve">7.64</w:t>
            </w:r>
          </w:p>
        </w:tc>
        <w:tc>
          <w:tcPr/>
          <w:p>
            <w:pPr>
              <w:pStyle w:val="Compact"/>
              <w:jc w:val="right"/>
            </w:pPr>
            <w:r>
              <w:rPr>
                <w:sz w:val="17"/>
              </w:rPr>
              <w:t xml:space="preserve">4.6e-13</w:t>
            </w:r>
          </w:p>
        </w:tc>
      </w:tr>
    </w:tbl>
    <w:p>
      <w:pPr>
        <w:pStyle w:val="BodyText"/>
      </w:pPr>
      <w:r>
        <w:t xml:space="preserve">In 2013 no grade is flagged (smallest Jeffreys p 0.247, Green) because the model over-predicts A to D and is close for E to G. In 2014 the picture reverses: the observed rates for grades E, F and G (9.72% for E) exceed the predictions, giving a smallest p of 1.5e-15 (Red). The independent scorecard is worse: it under-predicts grades D to G in both years, which is the circularity again, because it cannot see the lender's grade. Defaults within a grade are correlated through common conditions, so the binomial test (which assumes independence) overstates how surprising the gaps are. The Red result is nonetheless consistent with the other evidence that the 2014 cohort deteriorated in the riskier grades.</w:t>
      </w:r>
    </w:p>
    <w:bookmarkEnd w:id="86"/>
    <w:bookmarkEnd w:id="87"/>
    <w:bookmarkStart w:id="92" w:name="X3b0a6d9266bcf293c3cdc49fa231b678f72e7ce"/>
    <w:p>
      <w:pPr>
        <w:pStyle w:val="Heading1"/>
      </w:pPr>
      <w:r>
        <w:rPr>
          <w:rStyle w:val="SectionNumber"/>
        </w:rPr>
        <w:t xml:space="preserve">12</w:t>
      </w:r>
      <w:r>
        <w:tab/>
      </w:r>
      <w:r>
        <w:t xml:space="preserve">Challenger models, DeLong test and bootstrap</w:t>
      </w:r>
    </w:p>
    <w:bookmarkStart w:id="88" w:name="challengers"/>
    <w:p>
      <w:pPr>
        <w:pStyle w:val="Heading2"/>
      </w:pPr>
      <w:r>
        <w:rPr>
          <w:rStyle w:val="SectionNumber"/>
        </w:rPr>
        <w:t xml:space="preserve">12.1</w:t>
      </w:r>
      <w:r>
        <w:tab/>
      </w:r>
      <w:r>
        <w:t xml:space="preserve">Challengers</w:t>
      </w:r>
    </w:p>
    <w:p>
      <w:pPr>
        <w:pStyle w:val="FirstParagraph"/>
      </w:pPr>
      <w:r>
        <w:t xml:space="preserve">Two gradient-boosted tree models challenge the scorecard on the same 26 features. XGBoost (Chen and Guestrin, 2016) and LightGBM both grow an ensemble of shallow decision trees, each new tree fitted to the errors of the ensemble so far. Monotone constraints force the predicted PD to move in the economically expected direction for interest rate, DTI, inquiries, revolving utilization, loan-to-income, payment-to-income (increasing) and annual income and credit age (decreasing). Hyper-parameters (learning rate, depth, leaves, minimum child weight, subsampling, regularization, tree count) are chosen by random search with</w:t>
      </w:r>
      <w:r>
        <w:t xml:space="preserve"> </w:t>
      </w:r>
      <w:r>
        <w:rPr>
          <w:b/>
          <w:bCs/>
        </w:rPr>
        <w:t xml:space="preserve">expanding-window time folds</w:t>
      </w:r>
      <w:r>
        <w:t xml:space="preserve">: models train on issue years before each validation year (2010, 2011, 2012) and are scored on that year's log-loss with early stopping. This avoids tuning on information from the future. The tuned models use 71 (XGBoost) and 65 (LightGBM) trees. Probabilities are calibrated on the development holdout (never on out-of-time data) by Platt scaling or isotonic regression, chosen by cross-fitted Brier score; the methods chosen were platt for XGBoost and platt for LightGBM.</w:t>
      </w:r>
    </w:p>
    <w:bookmarkEnd w:id="88"/>
    <w:bookmarkStart w:id="89" w:name="delong-test-for-correlated-aucs"/>
    <w:p>
      <w:pPr>
        <w:pStyle w:val="Heading2"/>
      </w:pPr>
      <w:r>
        <w:rPr>
          <w:rStyle w:val="SectionNumber"/>
        </w:rPr>
        <w:t xml:space="preserve">12.2</w:t>
      </w:r>
      <w:r>
        <w:tab/>
      </w:r>
      <w:r>
        <w:t xml:space="preserve">DeLong test for correlated AUCs</w:t>
      </w:r>
    </w:p>
    <w:p>
      <w:pPr>
        <w:pStyle w:val="FirstParagraph"/>
      </w:pPr>
      <w:r>
        <w:rPr>
          <w:b/>
          <w:bCs/>
        </w:rPr>
        <w:t xml:space="preserve">Intuition.</w:t>
      </w:r>
      <w:r>
        <w:t xml:space="preserve"> </w:t>
      </w:r>
      <w:r>
        <w:t xml:space="preserve">Two models scored on the same loans have correlated AUCs, so comparing them with an unpaired test throws away information. DeLong, DeLong and Clarke-Pearson (1988) show that the AUC is a U-statistic and give a variance for the difference that accounts for the correlation.</w:t>
      </w:r>
    </w:p>
    <w:p>
      <w:pPr>
        <w:pStyle w:val="BodyText"/>
      </w:pPr>
      <w:r>
        <w:rPr>
          <w:b/>
          <w:bCs/>
        </w:rPr>
        <w:t xml:space="preserve">Math.</w:t>
      </w:r>
      <w:r>
        <w:t xml:space="preserve"> </w:t>
      </w:r>
      <w:r>
        <w:t xml:space="preserve">For</w:t>
      </w:r>
      <w:r>
        <w:t xml:space="preserve"> </w:t>
      </w:r>
      <m:oMath>
        <m:r>
          <m:t>m</m:t>
        </m:r>
      </m:oMath>
      <w:r>
        <w:t xml:space="preserve"> </w:t>
      </w:r>
      <w:r>
        <w:t xml:space="preserve">bads with scores</w:t>
      </w:r>
      <w:r>
        <w:t xml:space="preserve"> </w:t>
      </w:r>
      <m:oMath>
        <m:sSub>
          <m:e>
            <m:r>
              <m:t>X</m:t>
            </m:r>
          </m:e>
          <m:sub>
            <m:r>
              <m:t>i</m:t>
            </m:r>
          </m:sub>
        </m:sSub>
      </m:oMath>
      <w:r>
        <w:t xml:space="preserve"> </w:t>
      </w:r>
      <w:r>
        <w:t xml:space="preserve">and</w:t>
      </w:r>
      <w:r>
        <w:t xml:space="preserve"> </w:t>
      </w:r>
      <m:oMath>
        <m:r>
          <m:t>n</m:t>
        </m:r>
      </m:oMath>
      <w:r>
        <w:t xml:space="preserve"> </w:t>
      </w:r>
      <w:r>
        <w:t xml:space="preserve">goods with scores</w:t>
      </w:r>
      <w:r>
        <w:t xml:space="preserve"> </w:t>
      </w:r>
      <m:oMath>
        <m:sSub>
          <m:e>
            <m:r>
              <m:t>Y</m:t>
            </m:r>
          </m:e>
          <m:sub>
            <m:r>
              <m:t>j</m:t>
            </m:r>
          </m:sub>
        </m:sSub>
      </m:oMath>
      <w:r>
        <w:t xml:space="preserve">, define the structural components</w:t>
      </w:r>
      <w:r>
        <w:t xml:space="preserve"> </w:t>
      </w:r>
      <m:oMath>
        <m:sSub>
          <m:e>
            <m:r>
              <m:t>V</m:t>
            </m:r>
          </m:e>
          <m:sub>
            <m:r>
              <m:t>10</m:t>
            </m:r>
          </m:sub>
        </m:sSub>
        <m:r>
          <m:rPr>
            <m:sty m:val="p"/>
          </m:rPr>
          <m:t>(</m:t>
        </m:r>
        <m:sSub>
          <m:e>
            <m:r>
              <m:t>X</m:t>
            </m:r>
          </m:e>
          <m:sub>
            <m:r>
              <m:t>i</m:t>
            </m:r>
          </m:sub>
        </m:sSub>
        <m:r>
          <m:rPr>
            <m:sty m:val="p"/>
          </m:rPr>
          <m:t>)</m:t>
        </m:r>
        <m:r>
          <m:rPr>
            <m:sty m:val="p"/>
          </m:rPr>
          <m:t>=</m:t>
        </m:r>
        <m:f>
          <m:fPr>
            <m:type m:val="bar"/>
          </m:fPr>
          <m:num>
            <m:r>
              <m:t>1</m:t>
            </m:r>
          </m:num>
          <m:den>
            <m:r>
              <m:t>n</m:t>
            </m:r>
          </m:den>
        </m:f>
        <m:nary>
          <m:naryPr>
            <m:chr m:val="∑"/>
            <m:limLoc m:val="undOvr"/>
            <m:subHide m:val="off"/>
            <m:supHide m:val="on"/>
          </m:naryPr>
          <m:sub>
            <m:r>
              <m:t>j</m:t>
            </m:r>
          </m:sub>
          <m:sup>
            <m:r>
              <m:t>​</m:t>
            </m:r>
          </m:sup>
          <m:e>
            <m:r>
              <m:t>ψ</m:t>
            </m:r>
          </m:e>
        </m:nary>
        <m:r>
          <m:rPr>
            <m:sty m:val="p"/>
          </m:rPr>
          <m:t>(</m:t>
        </m:r>
        <m:sSub>
          <m:e>
            <m:r>
              <m:t>X</m:t>
            </m:r>
          </m:e>
          <m:sub>
            <m:r>
              <m:t>i</m:t>
            </m:r>
          </m:sub>
        </m:sSub>
        <m:r>
          <m:rPr>
            <m:sty m:val="p"/>
          </m:rPr>
          <m:t>,</m:t>
        </m:r>
        <m:sSub>
          <m:e>
            <m:r>
              <m:t>Y</m:t>
            </m:r>
          </m:e>
          <m:sub>
            <m:r>
              <m:t>j</m:t>
            </m:r>
          </m:sub>
        </m:sSub>
        <m:r>
          <m:rPr>
            <m:sty m:val="p"/>
          </m:rPr>
          <m:t>)</m:t>
        </m:r>
      </m:oMath>
      <w:r>
        <w:t xml:space="preserve"> </w:t>
      </w:r>
      <w:r>
        <w:t xml:space="preserve">and</w:t>
      </w:r>
      <w:r>
        <w:t xml:space="preserve"> </w:t>
      </w:r>
      <m:oMath>
        <m:sSub>
          <m:e>
            <m:r>
              <m:t>V</m:t>
            </m:r>
          </m:e>
          <m:sub>
            <m:r>
              <m:t>01</m:t>
            </m:r>
          </m:sub>
        </m:sSub>
        <m:r>
          <m:rPr>
            <m:sty m:val="p"/>
          </m:rPr>
          <m:t>(</m:t>
        </m:r>
        <m:sSub>
          <m:e>
            <m:r>
              <m:t>Y</m:t>
            </m:r>
          </m:e>
          <m:sub>
            <m:r>
              <m:t>j</m:t>
            </m:r>
          </m:sub>
        </m:sSub>
        <m:r>
          <m:rPr>
            <m:sty m:val="p"/>
          </m:rPr>
          <m:t>)</m:t>
        </m:r>
        <m:r>
          <m:rPr>
            <m:sty m:val="p"/>
          </m:rPr>
          <m:t>=</m:t>
        </m:r>
        <m:f>
          <m:fPr>
            <m:type m:val="bar"/>
          </m:fPr>
          <m:num>
            <m:r>
              <m:t>1</m:t>
            </m:r>
          </m:num>
          <m:den>
            <m:r>
              <m:t>m</m:t>
            </m:r>
          </m:den>
        </m:f>
        <m:nary>
          <m:naryPr>
            <m:chr m:val="∑"/>
            <m:limLoc m:val="undOvr"/>
            <m:subHide m:val="off"/>
            <m:supHide m:val="on"/>
          </m:naryPr>
          <m:sub>
            <m:r>
              <m:t>i</m:t>
            </m:r>
          </m:sub>
          <m:sup>
            <m:r>
              <m:t>​</m:t>
            </m:r>
          </m:sup>
          <m:e>
            <m:r>
              <m:t>ψ</m:t>
            </m:r>
          </m:e>
        </m:nary>
        <m:r>
          <m:rPr>
            <m:sty m:val="p"/>
          </m:rPr>
          <m:t>(</m:t>
        </m:r>
        <m:sSub>
          <m:e>
            <m:r>
              <m:t>X</m:t>
            </m:r>
          </m:e>
          <m:sub>
            <m:r>
              <m:t>i</m:t>
            </m:r>
          </m:sub>
        </m:sSub>
        <m:r>
          <m:rPr>
            <m:sty m:val="p"/>
          </m:rPr>
          <m:t>,</m:t>
        </m:r>
        <m:sSub>
          <m:e>
            <m:r>
              <m:t>Y</m:t>
            </m:r>
          </m:e>
          <m:sub>
            <m:r>
              <m:t>j</m:t>
            </m:r>
          </m:sub>
        </m:sSub>
        <m:r>
          <m:rPr>
            <m:sty m:val="p"/>
          </m:rPr>
          <m:t>)</m:t>
        </m:r>
      </m:oMath>
      <w:r>
        <w:t xml:space="preserve">, where</w:t>
      </w:r>
      <w:r>
        <w:t xml:space="preserve"> </w:t>
      </w:r>
      <m:oMath>
        <m:r>
          <m:t>ψ</m:t>
        </m:r>
        <m:r>
          <m:rPr>
            <m:sty m:val="p"/>
          </m:rPr>
          <m:t>=</m:t>
        </m:r>
        <m:r>
          <m:t>1</m:t>
        </m:r>
      </m:oMath>
      <w:r>
        <w:t xml:space="preserve"> </w:t>
      </w:r>
      <w:r>
        <w:t xml:space="preserve">if</w:t>
      </w:r>
      <w:r>
        <w:t xml:space="preserve"> </w:t>
      </w:r>
      <m:oMath>
        <m:r>
          <m:t>X</m:t>
        </m:r>
        <m:r>
          <m:rPr>
            <m:sty m:val="p"/>
          </m:rPr>
          <m:t>&gt;</m:t>
        </m:r>
        <m:r>
          <m:t>Y</m:t>
        </m:r>
      </m:oMath>
      <w:r>
        <w:t xml:space="preserve">,</w:t>
      </w:r>
      <w:r>
        <w:t xml:space="preserve"> </w:t>
      </w:r>
      <m:oMath>
        <m:f>
          <m:fPr>
            <m:type m:val="lin"/>
          </m:fPr>
          <m:num>
            <m:r>
              <m:t>1</m:t>
            </m:r>
          </m:num>
          <m:den>
            <m:r>
              <m:t>2</m:t>
            </m:r>
          </m:den>
        </m:f>
      </m:oMath>
      <w:r>
        <w:t xml:space="preserve"> </w:t>
      </w:r>
      <w:r>
        <w:t xml:space="preserve">if equal and</w:t>
      </w:r>
      <w:r>
        <w:t xml:space="preserve"> </w:t>
      </w:r>
      <m:oMath>
        <m:r>
          <m:t>0</m:t>
        </m:r>
      </m:oMath>
      <w:r>
        <w:t xml:space="preserve"> </w:t>
      </w:r>
      <w:r>
        <w:t xml:space="preserve">otherwise. The AUC is the mean of the</w:t>
      </w:r>
      <w:r>
        <w:t xml:space="preserve"> </w:t>
      </w:r>
      <m:oMath>
        <m:sSub>
          <m:e>
            <m:r>
              <m:t>V</m:t>
            </m:r>
          </m:e>
          <m:sub>
            <m:r>
              <m:t>10</m:t>
            </m:r>
          </m:sub>
        </m:sSub>
      </m:oMath>
      <w:r>
        <w:t xml:space="preserve"> </w:t>
      </w:r>
      <w:r>
        <w:t xml:space="preserve">(or of the</w:t>
      </w:r>
      <w:r>
        <w:t xml:space="preserve"> </w:t>
      </w:r>
      <m:oMath>
        <m:sSub>
          <m:e>
            <m:r>
              <m:t>V</m:t>
            </m:r>
          </m:e>
          <m:sub>
            <m:r>
              <m:t>01</m:t>
            </m:r>
          </m:sub>
        </m:sSub>
      </m:oMath>
      <w:r>
        <w:t xml:space="preserve">). With</w:t>
      </w:r>
      <w:r>
        <w:t xml:space="preserve"> </w:t>
      </w:r>
      <m:oMath>
        <m:sSub>
          <m:e>
            <m:r>
              <m:t>S</m:t>
            </m:r>
          </m:e>
          <m:sub>
            <m:r>
              <m:t>10</m:t>
            </m:r>
          </m:sub>
        </m:sSub>
      </m:oMath>
      <w:r>
        <w:t xml:space="preserve"> </w:t>
      </w:r>
      <w:r>
        <w:t xml:space="preserve">and</w:t>
      </w:r>
      <w:r>
        <w:t xml:space="preserve"> </w:t>
      </w:r>
      <m:oMath>
        <m:sSub>
          <m:e>
            <m:r>
              <m:t>S</m:t>
            </m:r>
          </m:e>
          <m:sub>
            <m:r>
              <m:t>01</m:t>
            </m:r>
          </m:sub>
        </m:sSub>
      </m:oMath>
      <w:r>
        <w:t xml:space="preserve"> </w:t>
      </w:r>
      <w:r>
        <w:t xml:space="preserve">the covariance matrices of the two models' components, the covariance of the two AUCs is</w:t>
      </w:r>
      <w:r>
        <w:t xml:space="preserve"> </w:t>
      </w:r>
      <m:oMath>
        <m:r>
          <m:t>S</m:t>
        </m:r>
        <m:r>
          <m:rPr>
            <m:sty m:val="p"/>
          </m:rPr>
          <m:t>=</m:t>
        </m:r>
        <m:sSub>
          <m:e>
            <m:r>
              <m:t>S</m:t>
            </m:r>
          </m:e>
          <m:sub>
            <m:r>
              <m:t>10</m:t>
            </m:r>
          </m:sub>
        </m:sSub>
        <m:r>
          <m:rPr>
            <m:sty m:val="p"/>
          </m:rPr>
          <m:t>/</m:t>
        </m:r>
        <m:r>
          <m:t>m</m:t>
        </m:r>
        <m:r>
          <m:rPr>
            <m:sty m:val="p"/>
          </m:rPr>
          <m:t>+</m:t>
        </m:r>
        <m:sSub>
          <m:e>
            <m:r>
              <m:t>S</m:t>
            </m:r>
          </m:e>
          <m:sub>
            <m:r>
              <m:t>01</m:t>
            </m:r>
          </m:sub>
        </m:sSub>
        <m:r>
          <m:rPr>
            <m:sty m:val="p"/>
          </m:rPr>
          <m:t>/</m:t>
        </m:r>
        <m:r>
          <m:t>n</m:t>
        </m:r>
      </m:oMath>
      <w:r>
        <w:t xml:space="preserve"> </w:t>
      </w:r>
      <w:r>
        <w:t xml:space="preserve">and, for the difference,</w:t>
      </w:r>
    </w:p>
    <w:p>
      <w:pPr>
        <w:pStyle w:val="BodyText"/>
      </w:pPr>
      <m:oMathPara>
        <m:oMathParaPr>
          <m:jc m:val="center"/>
        </m:oMathParaPr>
        <m:oMath>
          <m:r>
            <m:t>z</m:t>
          </m:r>
          <m:r>
            <m:rPr>
              <m:sty m:val="p"/>
            </m:rPr>
            <m:t>=</m:t>
          </m:r>
          <m:f>
            <m:fPr>
              <m:type m:val="bar"/>
            </m:fPr>
            <m:num>
              <m:sSub>
                <m:e>
                  <m:acc>
                    <m:accPr>
                      <m:chr m:val="̂"/>
                    </m:accPr>
                    <m:e>
                      <m:r>
                        <m:rPr>
                          <m:sty m:val="p"/>
                        </m:rPr>
                        <m:t>A</m:t>
                      </m:r>
                      <m:r>
                        <m:rPr>
                          <m:sty m:val="p"/>
                        </m:rPr>
                        <m:t>U</m:t>
                      </m:r>
                      <m:r>
                        <m:rPr>
                          <m:sty m:val="p"/>
                        </m:rPr>
                        <m:t>C</m:t>
                      </m:r>
                    </m:e>
                  </m:acc>
                </m:e>
                <m:sub>
                  <m:r>
                    <m:t>1</m:t>
                  </m:r>
                </m:sub>
              </m:sSub>
              <m:r>
                <m:rPr>
                  <m:sty m:val="p"/>
                </m:rPr>
                <m:t>−</m:t>
              </m:r>
              <m:sSub>
                <m:e>
                  <m:acc>
                    <m:accPr>
                      <m:chr m:val="̂"/>
                    </m:accPr>
                    <m:e>
                      <m:r>
                        <m:rPr>
                          <m:sty m:val="p"/>
                        </m:rPr>
                        <m:t>A</m:t>
                      </m:r>
                      <m:r>
                        <m:rPr>
                          <m:sty m:val="p"/>
                        </m:rPr>
                        <m:t>U</m:t>
                      </m:r>
                      <m:r>
                        <m:rPr>
                          <m:sty m:val="p"/>
                        </m:rPr>
                        <m:t>C</m:t>
                      </m:r>
                    </m:e>
                  </m:acc>
                </m:e>
                <m:sub>
                  <m:r>
                    <m:t>2</m:t>
                  </m:r>
                </m:sub>
              </m:sSub>
            </m:num>
            <m:den>
              <m:rad>
                <m:radPr>
                  <m:degHide m:val="on"/>
                </m:radPr>
                <m:deg/>
                <m:e>
                  <m:sSub>
                    <m:e>
                      <m:r>
                        <m:t>S</m:t>
                      </m:r>
                    </m:e>
                    <m:sub>
                      <m:r>
                        <m:t>11</m:t>
                      </m:r>
                    </m:sub>
                  </m:sSub>
                  <m:r>
                    <m:rPr>
                      <m:sty m:val="p"/>
                    </m:rPr>
                    <m:t>+</m:t>
                  </m:r>
                  <m:sSub>
                    <m:e>
                      <m:r>
                        <m:t>S</m:t>
                      </m:r>
                    </m:e>
                    <m:sub>
                      <m:r>
                        <m:t>22</m:t>
                      </m:r>
                    </m:sub>
                  </m:sSub>
                  <m:r>
                    <m:rPr>
                      <m:sty m:val="p"/>
                    </m:rPr>
                    <m:t>−</m:t>
                  </m:r>
                  <m:r>
                    <m:t>2</m:t>
                  </m:r>
                  <m:sSub>
                    <m:e>
                      <m:r>
                        <m:t>S</m:t>
                      </m:r>
                    </m:e>
                    <m:sub>
                      <m:r>
                        <m:t>12</m:t>
                      </m:r>
                    </m:sub>
                  </m:sSub>
                </m:e>
              </m:rad>
            </m:den>
          </m:f>
          <m:r>
            <m:rPr>
              <m:sty m:val="p"/>
            </m:rPr>
            <m:t>.</m:t>
          </m:r>
        </m:oMath>
      </m:oMathPara>
    </w:p>
    <w:p>
      <w:pPr>
        <w:pStyle w:val="FirstParagraph"/>
      </w:pPr>
      <w:r>
        <w:t xml:space="preserve">Two sets of six scores for the toy outcomes give AUCs of 0.8889 and 1.0000, a difference of -0.1111, which is far too small a sample to be significant; the same code applied to 100,000 loans is below. The implementation is</w:t>
      </w:r>
      <w:r>
        <w:t xml:space="preserve"> </w:t>
      </w:r>
      <w:r>
        <w:rPr>
          <w:rStyle w:val="VerbatimChar"/>
        </w:rPr>
        <w:t xml:space="preserve">validation.delong_test</w:t>
      </w:r>
      <w:r>
        <w:t xml:space="preserve">, computed from average ranks.</w:t>
      </w:r>
    </w:p>
    <w:bookmarkEnd w:id="89"/>
    <w:bookmarkStart w:id="90" w:name="bootstrap-confidence-intervals"/>
    <w:p>
      <w:pPr>
        <w:pStyle w:val="Heading2"/>
      </w:pPr>
      <w:r>
        <w:rPr>
          <w:rStyle w:val="SectionNumber"/>
        </w:rPr>
        <w:t xml:space="preserve">12.3</w:t>
      </w:r>
      <w:r>
        <w:tab/>
      </w:r>
      <w:r>
        <w:t xml:space="preserve">Bootstrap confidence intervals</w:t>
      </w:r>
    </w:p>
    <w:p>
      <w:pPr>
        <w:pStyle w:val="FirstParagraph"/>
      </w:pPr>
      <w:r>
        <w:t xml:space="preserve">For Gini and for AUC differences the pipeline resamples</w:t>
      </w:r>
      <w:r>
        <w:t xml:space="preserve"> </w:t>
      </w:r>
      <w:r>
        <w:rPr>
          <w:i/>
          <w:iCs/>
        </w:rPr>
        <w:t xml:space="preserve">loans</w:t>
      </w:r>
      <w:r>
        <w:t xml:space="preserve"> </w:t>
      </w:r>
      <w:r>
        <w:t xml:space="preserve">with replacement 500 times and takes the 2.5th and 97.5th percentiles (</w:t>
      </w:r>
      <w:r>
        <w:rPr>
          <w:rStyle w:val="VerbatimChar"/>
        </w:rPr>
        <w:t xml:space="preserve">validation.bootstrap_ci</w:t>
      </w:r>
      <w:r>
        <w:t xml:space="preserve">,</w:t>
      </w:r>
      <w:r>
        <w:t xml:space="preserve"> </w:t>
      </w:r>
      <w:r>
        <w:rPr>
          <w:rStyle w:val="VerbatimChar"/>
        </w:rPr>
        <w:t xml:space="preserve">bootstrap_diff_ci</w:t>
      </w:r>
      <w:r>
        <w:t xml:space="preserve">). The difference is paired: the same resampled loans are scored by both models. To keep run time bounded the bootstrap uses a random subsample of up to 50,000 loans when a sample is larger, which makes the interval somewhat wider than a full-sample one. Loans, not time periods, are resampled, so the interval captures sampling noise only and not variation across economic conditions.</w:t>
      </w:r>
    </w:p>
    <w:bookmarkEnd w:id="90"/>
    <w:bookmarkStart w:id="91" w:name="results"/>
    <w:p>
      <w:pPr>
        <w:pStyle w:val="Heading2"/>
      </w:pPr>
      <w:r>
        <w:rPr>
          <w:rStyle w:val="SectionNumber"/>
        </w:rPr>
        <w:t xml:space="preserve">12.4</w:t>
      </w:r>
      <w:r>
        <w:tab/>
      </w:r>
      <w:r>
        <w:t xml:space="preserve">Results</w:t>
      </w:r>
    </w:p>
    <w:p>
      <w:pPr>
        <w:pStyle w:val="TableCaption"/>
      </w:pPr>
      <w:r>
        <w:t xml:space="preserve">Model comparisons on the out-of-time samples. "vs_sub_grade" compares a scorecard with sub_grade used as a score; "challenger_vs_champion" compares each model with SC_FULL. Light shows the benchmark rule for the first and is informational for the others.</w:t>
      </w:r>
    </w:p>
    <w:tbl>
      <w:tblPr>
        <w:tblStyle w:val="Table"/>
        <w:tblW w:type="pct" w:w="5000"/>
        <w:tblLayout w:type="fixed"/>
        <w:tblLook w:firstRow="1" w:lastRow="0" w:firstColumn="0" w:lastColumn="0" w:noHBand="0" w:noVBand="0" w:val="0020"/>
        <w:tblCaption w:val="Model comparisons on the out-of-time samples. &quot;vs_sub_grade&quot; compares a scorecard with sub_grade used as a score; &quot;challenger_vs_champion&quot; compares each model with SC_FULL. Light shows the benchmark rule for the first and is informational for the oth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47"/>
        <w:gridCol w:w="380"/>
        <w:gridCol w:w="1140"/>
        <w:gridCol w:w="887"/>
        <w:gridCol w:w="380"/>
        <w:gridCol w:w="380"/>
        <w:gridCol w:w="823"/>
        <w:gridCol w:w="506"/>
        <w:gridCol w:w="696"/>
        <w:gridCol w:w="760"/>
        <w:gridCol w:w="316"/>
      </w:tblGrid>
      <w:tr>
        <w:trPr>
          <w:tblHeader w:val="on"/>
        </w:trPr>
        <w:tc>
          <w:tcPr/>
          <w:p>
            <w:pPr>
              <w:pStyle w:val="Compact"/>
              <w:jc w:val="left"/>
            </w:pPr>
            <w:r>
              <w:rPr>
                <w:sz w:val="17"/>
              </w:rPr>
              <w:t xml:space="preserve">Comparison</w:t>
            </w:r>
          </w:p>
        </w:tc>
        <w:tc>
          <w:tcPr/>
          <w:p>
            <w:pPr>
              <w:pStyle w:val="Compact"/>
              <w:jc w:val="right"/>
            </w:pPr>
            <w:r>
              <w:rPr>
                <w:sz w:val="17"/>
              </w:rPr>
              <w:t xml:space="preserve">Sample</w:t>
            </w:r>
          </w:p>
        </w:tc>
        <w:tc>
          <w:tcPr/>
          <w:p>
            <w:pPr>
              <w:pStyle w:val="Compact"/>
              <w:jc w:val="right"/>
            </w:pPr>
            <w:r>
              <w:rPr>
                <w:sz w:val="17"/>
              </w:rPr>
              <w:t xml:space="preserve">Model A</w:t>
            </w:r>
          </w:p>
        </w:tc>
        <w:tc>
          <w:tcPr/>
          <w:p>
            <w:pPr>
              <w:pStyle w:val="Compact"/>
              <w:jc w:val="right"/>
            </w:pPr>
            <w:r>
              <w:rPr>
                <w:sz w:val="17"/>
              </w:rPr>
              <w:t xml:space="preserve">Model B</w:t>
            </w:r>
          </w:p>
        </w:tc>
        <w:tc>
          <w:tcPr/>
          <w:p>
            <w:pPr>
              <w:pStyle w:val="Compact"/>
              <w:jc w:val="right"/>
            </w:pPr>
            <w:r>
              <w:rPr>
                <w:sz w:val="17"/>
              </w:rPr>
              <w:t xml:space="preserve">AUC A</w:t>
            </w:r>
          </w:p>
        </w:tc>
        <w:tc>
          <w:tcPr/>
          <w:p>
            <w:pPr>
              <w:pStyle w:val="Compact"/>
              <w:jc w:val="right"/>
            </w:pPr>
            <w:r>
              <w:rPr>
                <w:sz w:val="17"/>
              </w:rPr>
              <w:t xml:space="preserve">AUC B</w:t>
            </w:r>
          </w:p>
        </w:tc>
        <w:tc>
          <w:tcPr/>
          <w:p>
            <w:pPr>
              <w:pStyle w:val="Compact"/>
              <w:jc w:val="right"/>
            </w:pPr>
            <w:r>
              <w:rPr>
                <w:sz w:val="17"/>
              </w:rPr>
              <w:t xml:space="preserve">AUC A minus B</w:t>
            </w:r>
          </w:p>
        </w:tc>
        <w:tc>
          <w:tcPr/>
          <w:p>
            <w:pPr>
              <w:pStyle w:val="Compact"/>
              <w:jc w:val="right"/>
            </w:pPr>
            <w:r>
              <w:rPr>
                <w:sz w:val="17"/>
              </w:rPr>
              <w:t xml:space="preserve">DeLong p</w:t>
            </w:r>
          </w:p>
        </w:tc>
        <w:tc>
          <w:tcPr/>
          <w:p>
            <w:pPr>
              <w:pStyle w:val="Compact"/>
              <w:jc w:val="right"/>
            </w:pPr>
            <w:r>
              <w:rPr>
                <w:sz w:val="17"/>
              </w:rPr>
              <w:t xml:space="preserve">Boot CI low</w:t>
            </w:r>
          </w:p>
        </w:tc>
        <w:tc>
          <w:tcPr/>
          <w:p>
            <w:pPr>
              <w:pStyle w:val="Compact"/>
              <w:jc w:val="right"/>
            </w:pPr>
            <w:r>
              <w:rPr>
                <w:sz w:val="17"/>
              </w:rPr>
              <w:t xml:space="preserve">Boot CI high</w:t>
            </w:r>
          </w:p>
        </w:tc>
        <w:tc>
          <w:tcPr/>
          <w:p>
            <w:pPr>
              <w:pStyle w:val="Compact"/>
              <w:jc w:val="right"/>
            </w:pPr>
            <w:r>
              <w:rPr>
                <w:sz w:val="17"/>
              </w:rPr>
              <w:t xml:space="preserve">Light</w:t>
            </w:r>
          </w:p>
        </w:tc>
      </w:tr>
      <w:tr>
        <w:tc>
          <w:tcPr/>
          <w:p>
            <w:pPr>
              <w:pStyle w:val="Compact"/>
              <w:jc w:val="left"/>
            </w:pPr>
            <w:r>
              <w:rPr>
                <w:sz w:val="17"/>
              </w:rPr>
              <w:t xml:space="preserve">vs_sub_grade</w:t>
            </w:r>
          </w:p>
        </w:tc>
        <w:tc>
          <w:tcPr/>
          <w:p>
            <w:pPr>
              <w:pStyle w:val="Compact"/>
              <w:jc w:val="right"/>
            </w:pPr>
            <w:r>
              <w:rPr>
                <w:sz w:val="17"/>
              </w:rPr>
              <w:t xml:space="preserve">oot1</w:t>
            </w:r>
          </w:p>
        </w:tc>
        <w:tc>
          <w:tcPr/>
          <w:p>
            <w:pPr>
              <w:pStyle w:val="Compact"/>
              <w:jc w:val="right"/>
            </w:pPr>
            <w:r>
              <w:rPr>
                <w:sz w:val="17"/>
              </w:rPr>
              <w:t xml:space="preserve">sc_indep</w:t>
            </w:r>
          </w:p>
        </w:tc>
        <w:tc>
          <w:tcPr/>
          <w:p>
            <w:pPr>
              <w:pStyle w:val="Compact"/>
              <w:jc w:val="right"/>
            </w:pPr>
            <w:r>
              <w:rPr>
                <w:sz w:val="17"/>
              </w:rPr>
              <w:t xml:space="preserve">sub_grade_rank</w:t>
            </w:r>
          </w:p>
        </w:tc>
        <w:tc>
          <w:tcPr/>
          <w:p>
            <w:pPr>
              <w:pStyle w:val="Compact"/>
              <w:jc w:val="right"/>
            </w:pPr>
            <w:r>
              <w:rPr>
                <w:sz w:val="17"/>
              </w:rPr>
              <w:t xml:space="preserve">0.6473</w:t>
            </w:r>
          </w:p>
        </w:tc>
        <w:tc>
          <w:tcPr/>
          <w:p>
            <w:pPr>
              <w:pStyle w:val="Compact"/>
              <w:jc w:val="right"/>
            </w:pPr>
            <w:r>
              <w:rPr>
                <w:sz w:val="17"/>
              </w:rPr>
              <w:t xml:space="preserve">0.6736</w:t>
            </w:r>
          </w:p>
        </w:tc>
        <w:tc>
          <w:tcPr/>
          <w:p>
            <w:pPr>
              <w:pStyle w:val="Compact"/>
              <w:jc w:val="right"/>
            </w:pPr>
            <w:r>
              <w:rPr>
                <w:sz w:val="17"/>
              </w:rPr>
              <w:t xml:space="preserve">-0.0263</w:t>
            </w:r>
          </w:p>
        </w:tc>
        <w:tc>
          <w:tcPr/>
          <w:p>
            <w:pPr>
              <w:pStyle w:val="Compact"/>
              <w:jc w:val="right"/>
            </w:pPr>
            <w:r>
              <w:rPr>
                <w:sz w:val="17"/>
              </w:rPr>
              <w:t xml:space="preserve">1.0e-13</w:t>
            </w:r>
          </w:p>
        </w:tc>
        <w:tc>
          <w:tcPr/>
          <w:p>
            <w:pPr>
              <w:pStyle w:val="Compact"/>
              <w:jc w:val="right"/>
            </w:pPr>
            <w:r>
              <w:rPr>
                <w:sz w:val="17"/>
              </w:rPr>
              <w:t xml:space="preserve">-0.0403</w:t>
            </w:r>
          </w:p>
        </w:tc>
        <w:tc>
          <w:tcPr/>
          <w:p>
            <w:pPr>
              <w:pStyle w:val="Compact"/>
              <w:jc w:val="right"/>
            </w:pPr>
            <w:r>
              <w:rPr>
                <w:sz w:val="17"/>
              </w:rPr>
              <w:t xml:space="preserve">-0.0185</w:t>
            </w:r>
          </w:p>
        </w:tc>
        <w:tc>
          <w:tcPr/>
          <w:p>
            <w:pPr>
              <w:pStyle w:val="Compact"/>
              <w:jc w:val="right"/>
            </w:pPr>
            <w:r>
              <w:rPr>
                <w:sz w:val="17"/>
              </w:rPr>
              <w:t xml:space="preserve">Red</w:t>
            </w:r>
          </w:p>
        </w:tc>
      </w:tr>
      <w:tr>
        <w:tc>
          <w:tcPr/>
          <w:p>
            <w:pPr>
              <w:pStyle w:val="Compact"/>
              <w:jc w:val="left"/>
            </w:pPr>
            <w:r>
              <w:rPr>
                <w:sz w:val="17"/>
              </w:rPr>
              <w:t xml:space="preserve">vs_sub_grade</w:t>
            </w:r>
          </w:p>
        </w:tc>
        <w:tc>
          <w:tcPr/>
          <w:p>
            <w:pPr>
              <w:pStyle w:val="Compact"/>
              <w:jc w:val="right"/>
            </w:pPr>
            <w:r>
              <w:rPr>
                <w:sz w:val="17"/>
              </w:rPr>
              <w:t xml:space="preserve">oot1</w:t>
            </w:r>
          </w:p>
        </w:tc>
        <w:tc>
          <w:tcPr/>
          <w:p>
            <w:pPr>
              <w:pStyle w:val="Compact"/>
              <w:jc w:val="right"/>
            </w:pPr>
            <w:r>
              <w:rPr>
                <w:sz w:val="17"/>
              </w:rPr>
              <w:t xml:space="preserve">sc_full</w:t>
            </w:r>
          </w:p>
        </w:tc>
        <w:tc>
          <w:tcPr/>
          <w:p>
            <w:pPr>
              <w:pStyle w:val="Compact"/>
              <w:jc w:val="right"/>
            </w:pPr>
            <w:r>
              <w:rPr>
                <w:sz w:val="17"/>
              </w:rPr>
              <w:t xml:space="preserve">sub_grade_rank</w:t>
            </w:r>
          </w:p>
        </w:tc>
        <w:tc>
          <w:tcPr/>
          <w:p>
            <w:pPr>
              <w:pStyle w:val="Compact"/>
              <w:jc w:val="right"/>
            </w:pPr>
            <w:r>
              <w:rPr>
                <w:sz w:val="17"/>
              </w:rPr>
              <w:t xml:space="preserve">0.6765</w:t>
            </w:r>
          </w:p>
        </w:tc>
        <w:tc>
          <w:tcPr/>
          <w:p>
            <w:pPr>
              <w:pStyle w:val="Compact"/>
              <w:jc w:val="right"/>
            </w:pPr>
            <w:r>
              <w:rPr>
                <w:sz w:val="17"/>
              </w:rPr>
              <w:t xml:space="preserve">0.6736</w:t>
            </w:r>
          </w:p>
        </w:tc>
        <w:tc>
          <w:tcPr/>
          <w:p>
            <w:pPr>
              <w:pStyle w:val="Compact"/>
              <w:jc w:val="right"/>
            </w:pPr>
            <w:r>
              <w:rPr>
                <w:sz w:val="17"/>
              </w:rPr>
              <w:t xml:space="preserve">+0.0029</w:t>
            </w:r>
          </w:p>
        </w:tc>
        <w:tc>
          <w:tcPr/>
          <w:p>
            <w:pPr>
              <w:pStyle w:val="Compact"/>
              <w:jc w:val="right"/>
            </w:pPr>
            <w:r>
              <w:rPr>
                <w:sz w:val="17"/>
              </w:rPr>
              <w:t xml:space="preserve">0.257</w:t>
            </w:r>
          </w:p>
        </w:tc>
        <w:tc>
          <w:tcPr/>
          <w:p>
            <w:pPr>
              <w:pStyle w:val="Compact"/>
              <w:jc w:val="right"/>
            </w:pPr>
            <w:r>
              <w:rPr>
                <w:sz w:val="17"/>
              </w:rPr>
              <w:t xml:space="preserve">-0.0063</w:t>
            </w:r>
          </w:p>
        </w:tc>
        <w:tc>
          <w:tcPr/>
          <w:p>
            <w:pPr>
              <w:pStyle w:val="Compact"/>
              <w:jc w:val="right"/>
            </w:pPr>
            <w:r>
              <w:rPr>
                <w:sz w:val="17"/>
              </w:rPr>
              <w:t xml:space="preserve">0.0102</w:t>
            </w:r>
          </w:p>
        </w:tc>
        <w:tc>
          <w:tcPr/>
          <w:p>
            <w:pPr>
              <w:pStyle w:val="Compact"/>
              <w:jc w:val="right"/>
            </w:pPr>
            <w:r>
              <w:rPr>
                <w:sz w:val="17"/>
              </w:rPr>
              <w:t xml:space="preserve">Amber</w:t>
            </w:r>
          </w:p>
        </w:tc>
      </w:tr>
      <w:tr>
        <w:tc>
          <w:tcPr/>
          <w:p>
            <w:pPr>
              <w:pStyle w:val="Compact"/>
              <w:jc w:val="left"/>
            </w:pPr>
            <w:r>
              <w:rPr>
                <w:sz w:val="17"/>
              </w:rPr>
              <w:t xml:space="preserve">incremental_over_sub_grade</w:t>
            </w:r>
          </w:p>
        </w:tc>
        <w:tc>
          <w:tcPr/>
          <w:p>
            <w:pPr>
              <w:pStyle w:val="Compact"/>
              <w:jc w:val="right"/>
            </w:pPr>
            <w:r>
              <w:rPr>
                <w:sz w:val="17"/>
              </w:rPr>
              <w:t xml:space="preserve">oot1</w:t>
            </w:r>
          </w:p>
        </w:tc>
        <w:tc>
          <w:tcPr/>
          <w:p>
            <w:pPr>
              <w:pStyle w:val="Compact"/>
              <w:jc w:val="right"/>
            </w:pPr>
            <w:r>
              <w:rPr>
                <w:sz w:val="17"/>
              </w:rPr>
              <w:t xml:space="preserve">sc_indep+sub_grade</w:t>
            </w:r>
          </w:p>
        </w:tc>
        <w:tc>
          <w:tcPr/>
          <w:p>
            <w:pPr>
              <w:pStyle w:val="Compact"/>
              <w:jc w:val="right"/>
            </w:pPr>
            <w:r>
              <w:rPr>
                <w:sz w:val="17"/>
              </w:rPr>
              <w:t xml:space="preserve">sub_grade_rank</w:t>
            </w:r>
          </w:p>
        </w:tc>
        <w:tc>
          <w:tcPr/>
          <w:p>
            <w:pPr>
              <w:pStyle w:val="Compact"/>
              <w:jc w:val="right"/>
            </w:pPr>
            <w:r>
              <w:rPr>
                <w:sz w:val="17"/>
              </w:rPr>
              <w:t xml:space="preserve">0.6718</w:t>
            </w:r>
          </w:p>
        </w:tc>
        <w:tc>
          <w:tcPr/>
          <w:p>
            <w:pPr>
              <w:pStyle w:val="Compact"/>
              <w:jc w:val="right"/>
            </w:pPr>
            <w:r>
              <w:rPr>
                <w:sz w:val="17"/>
              </w:rPr>
              <w:t xml:space="preserve">0.6736</w:t>
            </w:r>
          </w:p>
        </w:tc>
        <w:tc>
          <w:tcPr/>
          <w:p>
            <w:pPr>
              <w:pStyle w:val="Compact"/>
              <w:jc w:val="right"/>
            </w:pPr>
            <w:r>
              <w:rPr>
                <w:sz w:val="17"/>
              </w:rPr>
              <w:t xml:space="preserve">-0.0017</w:t>
            </w:r>
          </w:p>
        </w:tc>
        <w:tc>
          <w:tcPr/>
          <w:p>
            <w:pPr>
              <w:pStyle w:val="Compact"/>
              <w:jc w:val="right"/>
            </w:pPr>
            <w:r>
              <w:rPr>
                <w:sz w:val="17"/>
              </w:rPr>
              <w:t xml:space="preserve">0.497</w:t>
            </w:r>
          </w:p>
        </w:tc>
        <w:tc>
          <w:tcPr/>
          <w:p>
            <w:pPr>
              <w:pStyle w:val="Compact"/>
              <w:jc w:val="right"/>
            </w:pPr>
            <w:r>
              <w:rPr>
                <w:sz w:val="17"/>
              </w:rPr>
              <w:t xml:space="preserve">-0.0115</w:t>
            </w:r>
          </w:p>
        </w:tc>
        <w:tc>
          <w:tcPr/>
          <w:p>
            <w:pPr>
              <w:pStyle w:val="Compact"/>
              <w:jc w:val="right"/>
            </w:pPr>
            <w:r>
              <w:rPr>
                <w:sz w:val="17"/>
              </w:rPr>
              <w:t xml:space="preserve">0.0036</w:t>
            </w:r>
          </w:p>
        </w:tc>
        <w:tc>
          <w:tcPr/>
          <w:p>
            <w:pPr>
              <w:pStyle w:val="Compact"/>
              <w:jc w:val="right"/>
            </w:pPr>
            <w:r>
              <w:rPr>
                <w:sz w:val="17"/>
              </w:rPr>
              <w:t xml:space="preserve">Info</w:t>
            </w:r>
          </w:p>
        </w:tc>
      </w:tr>
      <w:tr>
        <w:tc>
          <w:tcPr/>
          <w:p>
            <w:pPr>
              <w:pStyle w:val="Compact"/>
              <w:jc w:val="left"/>
            </w:pPr>
            <w:r>
              <w:rPr>
                <w:sz w:val="17"/>
              </w:rPr>
              <w:t xml:space="preserve">challenger_vs_champion</w:t>
            </w:r>
          </w:p>
        </w:tc>
        <w:tc>
          <w:tcPr/>
          <w:p>
            <w:pPr>
              <w:pStyle w:val="Compact"/>
              <w:jc w:val="right"/>
            </w:pPr>
            <w:r>
              <w:rPr>
                <w:sz w:val="17"/>
              </w:rPr>
              <w:t xml:space="preserve">oot1</w:t>
            </w:r>
          </w:p>
        </w:tc>
        <w:tc>
          <w:tcPr/>
          <w:p>
            <w:pPr>
              <w:pStyle w:val="Compact"/>
              <w:jc w:val="right"/>
            </w:pPr>
            <w:r>
              <w:rPr>
                <w:sz w:val="17"/>
              </w:rPr>
              <w:t xml:space="preserve">sc_indep</w:t>
            </w:r>
          </w:p>
        </w:tc>
        <w:tc>
          <w:tcPr/>
          <w:p>
            <w:pPr>
              <w:pStyle w:val="Compact"/>
              <w:jc w:val="right"/>
            </w:pPr>
            <w:r>
              <w:rPr>
                <w:sz w:val="17"/>
              </w:rPr>
              <w:t xml:space="preserve">sc_full</w:t>
            </w:r>
          </w:p>
        </w:tc>
        <w:tc>
          <w:tcPr/>
          <w:p>
            <w:pPr>
              <w:pStyle w:val="Compact"/>
              <w:jc w:val="right"/>
            </w:pPr>
            <w:r>
              <w:rPr>
                <w:sz w:val="17"/>
              </w:rPr>
              <w:t xml:space="preserve">0.6473</w:t>
            </w:r>
          </w:p>
        </w:tc>
        <w:tc>
          <w:tcPr/>
          <w:p>
            <w:pPr>
              <w:pStyle w:val="Compact"/>
              <w:jc w:val="right"/>
            </w:pPr>
            <w:r>
              <w:rPr>
                <w:sz w:val="17"/>
              </w:rPr>
              <w:t xml:space="preserve">0.6765</w:t>
            </w:r>
          </w:p>
        </w:tc>
        <w:tc>
          <w:tcPr/>
          <w:p>
            <w:pPr>
              <w:pStyle w:val="Compact"/>
              <w:jc w:val="right"/>
            </w:pPr>
            <w:r>
              <w:rPr>
                <w:sz w:val="17"/>
              </w:rPr>
              <w:t xml:space="preserve">-0.0292</w:t>
            </w:r>
          </w:p>
        </w:tc>
        <w:tc>
          <w:tcPr/>
          <w:p>
            <w:pPr>
              <w:pStyle w:val="Compact"/>
              <w:jc w:val="right"/>
            </w:pPr>
            <w:r>
              <w:rPr>
                <w:sz w:val="17"/>
              </w:rPr>
              <w:t xml:space="preserve">1.5e-75</w:t>
            </w:r>
          </w:p>
        </w:tc>
        <w:tc>
          <w:tcPr/>
          <w:p>
            <w:pPr>
              <w:pStyle w:val="Compact"/>
              <w:jc w:val="right"/>
            </w:pPr>
            <w:r>
              <w:rPr>
                <w:sz w:val="17"/>
              </w:rPr>
              <w:t xml:space="preserve">-0.0360</w:t>
            </w:r>
          </w:p>
        </w:tc>
        <w:tc>
          <w:tcPr/>
          <w:p>
            <w:pPr>
              <w:pStyle w:val="Compact"/>
              <w:jc w:val="right"/>
            </w:pPr>
            <w:r>
              <w:rPr>
                <w:sz w:val="17"/>
              </w:rPr>
              <w:t xml:space="preserve">-0.0262</w:t>
            </w:r>
          </w:p>
        </w:tc>
        <w:tc>
          <w:tcPr/>
          <w:p>
            <w:pPr>
              <w:pStyle w:val="Compact"/>
              <w:jc w:val="right"/>
            </w:pPr>
            <w:r>
              <w:rPr>
                <w:sz w:val="17"/>
              </w:rPr>
              <w:t xml:space="preserve">Info</w:t>
            </w:r>
          </w:p>
        </w:tc>
      </w:tr>
      <w:tr>
        <w:tc>
          <w:tcPr/>
          <w:p>
            <w:pPr>
              <w:pStyle w:val="Compact"/>
              <w:jc w:val="left"/>
            </w:pPr>
            <w:r>
              <w:rPr>
                <w:sz w:val="17"/>
              </w:rPr>
              <w:t xml:space="preserve">challenger_vs_champion</w:t>
            </w:r>
          </w:p>
        </w:tc>
        <w:tc>
          <w:tcPr/>
          <w:p>
            <w:pPr>
              <w:pStyle w:val="Compact"/>
              <w:jc w:val="right"/>
            </w:pPr>
            <w:r>
              <w:rPr>
                <w:sz w:val="17"/>
              </w:rPr>
              <w:t xml:space="preserve">oot1</w:t>
            </w:r>
          </w:p>
        </w:tc>
        <w:tc>
          <w:tcPr/>
          <w:p>
            <w:pPr>
              <w:pStyle w:val="Compact"/>
              <w:jc w:val="right"/>
            </w:pPr>
            <w:r>
              <w:rPr>
                <w:sz w:val="17"/>
              </w:rPr>
              <w:t xml:space="preserve">xgb</w:t>
            </w:r>
          </w:p>
        </w:tc>
        <w:tc>
          <w:tcPr/>
          <w:p>
            <w:pPr>
              <w:pStyle w:val="Compact"/>
              <w:jc w:val="right"/>
            </w:pPr>
            <w:r>
              <w:rPr>
                <w:sz w:val="17"/>
              </w:rPr>
              <w:t xml:space="preserve">sc_full</w:t>
            </w:r>
          </w:p>
        </w:tc>
        <w:tc>
          <w:tcPr/>
          <w:p>
            <w:pPr>
              <w:pStyle w:val="Compact"/>
              <w:jc w:val="right"/>
            </w:pPr>
            <w:r>
              <w:rPr>
                <w:sz w:val="17"/>
              </w:rPr>
              <w:t xml:space="preserve">0.6876</w:t>
            </w:r>
          </w:p>
        </w:tc>
        <w:tc>
          <w:tcPr/>
          <w:p>
            <w:pPr>
              <w:pStyle w:val="Compact"/>
              <w:jc w:val="right"/>
            </w:pPr>
            <w:r>
              <w:rPr>
                <w:sz w:val="17"/>
              </w:rPr>
              <w:t xml:space="preserve">0.6765</w:t>
            </w:r>
          </w:p>
        </w:tc>
        <w:tc>
          <w:tcPr/>
          <w:p>
            <w:pPr>
              <w:pStyle w:val="Compact"/>
              <w:jc w:val="right"/>
            </w:pPr>
            <w:r>
              <w:rPr>
                <w:sz w:val="17"/>
              </w:rPr>
              <w:t xml:space="preserve">+0.0111</w:t>
            </w:r>
          </w:p>
        </w:tc>
        <w:tc>
          <w:tcPr/>
          <w:p>
            <w:pPr>
              <w:pStyle w:val="Compact"/>
              <w:jc w:val="right"/>
            </w:pPr>
            <w:r>
              <w:rPr>
                <w:sz w:val="17"/>
              </w:rPr>
              <w:t xml:space="preserve">2.6e-13</w:t>
            </w:r>
          </w:p>
        </w:tc>
        <w:tc>
          <w:tcPr/>
          <w:p>
            <w:pPr>
              <w:pStyle w:val="Compact"/>
              <w:jc w:val="right"/>
            </w:pPr>
            <w:r>
              <w:rPr>
                <w:sz w:val="17"/>
              </w:rPr>
              <w:t xml:space="preserve">0.0063</w:t>
            </w:r>
          </w:p>
        </w:tc>
        <w:tc>
          <w:tcPr/>
          <w:p>
            <w:pPr>
              <w:pStyle w:val="Compact"/>
              <w:jc w:val="right"/>
            </w:pPr>
            <w:r>
              <w:rPr>
                <w:sz w:val="17"/>
              </w:rPr>
              <w:t xml:space="preserve">0.0155</w:t>
            </w:r>
          </w:p>
        </w:tc>
        <w:tc>
          <w:tcPr/>
          <w:p>
            <w:pPr>
              <w:pStyle w:val="Compact"/>
              <w:jc w:val="right"/>
            </w:pPr>
            <w:r>
              <w:rPr>
                <w:sz w:val="17"/>
              </w:rPr>
              <w:t xml:space="preserve">Info</w:t>
            </w:r>
          </w:p>
        </w:tc>
      </w:tr>
      <w:tr>
        <w:tc>
          <w:tcPr/>
          <w:p>
            <w:pPr>
              <w:pStyle w:val="Compact"/>
              <w:jc w:val="left"/>
            </w:pPr>
            <w:r>
              <w:rPr>
                <w:sz w:val="17"/>
              </w:rPr>
              <w:t xml:space="preserve">challenger_vs_champion</w:t>
            </w:r>
          </w:p>
        </w:tc>
        <w:tc>
          <w:tcPr/>
          <w:p>
            <w:pPr>
              <w:pStyle w:val="Compact"/>
              <w:jc w:val="right"/>
            </w:pPr>
            <w:r>
              <w:rPr>
                <w:sz w:val="17"/>
              </w:rPr>
              <w:t xml:space="preserve">oot1</w:t>
            </w:r>
          </w:p>
        </w:tc>
        <w:tc>
          <w:tcPr/>
          <w:p>
            <w:pPr>
              <w:pStyle w:val="Compact"/>
              <w:jc w:val="right"/>
            </w:pPr>
            <w:r>
              <w:rPr>
                <w:sz w:val="17"/>
              </w:rPr>
              <w:t xml:space="preserve">lgbm</w:t>
            </w:r>
          </w:p>
        </w:tc>
        <w:tc>
          <w:tcPr/>
          <w:p>
            <w:pPr>
              <w:pStyle w:val="Compact"/>
              <w:jc w:val="right"/>
            </w:pPr>
            <w:r>
              <w:rPr>
                <w:sz w:val="17"/>
              </w:rPr>
              <w:t xml:space="preserve">sc_full</w:t>
            </w:r>
          </w:p>
        </w:tc>
        <w:tc>
          <w:tcPr/>
          <w:p>
            <w:pPr>
              <w:pStyle w:val="Compact"/>
              <w:jc w:val="right"/>
            </w:pPr>
            <w:r>
              <w:rPr>
                <w:sz w:val="17"/>
              </w:rPr>
              <w:t xml:space="preserve">0.6832</w:t>
            </w:r>
          </w:p>
        </w:tc>
        <w:tc>
          <w:tcPr/>
          <w:p>
            <w:pPr>
              <w:pStyle w:val="Compact"/>
              <w:jc w:val="right"/>
            </w:pPr>
            <w:r>
              <w:rPr>
                <w:sz w:val="17"/>
              </w:rPr>
              <w:t xml:space="preserve">0.6765</w:t>
            </w:r>
          </w:p>
        </w:tc>
        <w:tc>
          <w:tcPr/>
          <w:p>
            <w:pPr>
              <w:pStyle w:val="Compact"/>
              <w:jc w:val="right"/>
            </w:pPr>
            <w:r>
              <w:rPr>
                <w:sz w:val="17"/>
              </w:rPr>
              <w:t xml:space="preserve">+0.0067</w:t>
            </w:r>
          </w:p>
        </w:tc>
        <w:tc>
          <w:tcPr/>
          <w:p>
            <w:pPr>
              <w:pStyle w:val="Compact"/>
              <w:jc w:val="right"/>
            </w:pPr>
            <w:r>
              <w:rPr>
                <w:sz w:val="17"/>
              </w:rPr>
              <w:t xml:space="preserve">6.5e-07</w:t>
            </w:r>
          </w:p>
        </w:tc>
        <w:tc>
          <w:tcPr/>
          <w:p>
            <w:pPr>
              <w:pStyle w:val="Compact"/>
              <w:jc w:val="right"/>
            </w:pPr>
            <w:r>
              <w:rPr>
                <w:sz w:val="17"/>
              </w:rPr>
              <w:t xml:space="preserve">0.0038</w:t>
            </w:r>
          </w:p>
        </w:tc>
        <w:tc>
          <w:tcPr/>
          <w:p>
            <w:pPr>
              <w:pStyle w:val="Compact"/>
              <w:jc w:val="right"/>
            </w:pPr>
            <w:r>
              <w:rPr>
                <w:sz w:val="17"/>
              </w:rPr>
              <w:t xml:space="preserve">0.0119</w:t>
            </w:r>
          </w:p>
        </w:tc>
        <w:tc>
          <w:tcPr/>
          <w:p>
            <w:pPr>
              <w:pStyle w:val="Compact"/>
              <w:jc w:val="right"/>
            </w:pPr>
            <w:r>
              <w:rPr>
                <w:sz w:val="17"/>
              </w:rPr>
              <w:t xml:space="preserve">Info</w:t>
            </w:r>
          </w:p>
        </w:tc>
      </w:tr>
      <w:tr>
        <w:tc>
          <w:tcPr/>
          <w:p>
            <w:pPr>
              <w:pStyle w:val="Compact"/>
              <w:jc w:val="left"/>
            </w:pPr>
            <w:r>
              <w:rPr>
                <w:sz w:val="17"/>
              </w:rPr>
              <w:t xml:space="preserve">challenger_vs_champion</w:t>
            </w:r>
          </w:p>
        </w:tc>
        <w:tc>
          <w:tcPr/>
          <w:p>
            <w:pPr>
              <w:pStyle w:val="Compact"/>
              <w:jc w:val="right"/>
            </w:pPr>
            <w:r>
              <w:rPr>
                <w:sz w:val="17"/>
              </w:rPr>
              <w:t xml:space="preserve">oot1</w:t>
            </w:r>
          </w:p>
        </w:tc>
        <w:tc>
          <w:tcPr/>
          <w:p>
            <w:pPr>
              <w:pStyle w:val="Compact"/>
              <w:jc w:val="right"/>
            </w:pPr>
            <w:r>
              <w:rPr>
                <w:sz w:val="17"/>
              </w:rPr>
              <w:t xml:space="preserve">repro_original</w:t>
            </w:r>
          </w:p>
        </w:tc>
        <w:tc>
          <w:tcPr/>
          <w:p>
            <w:pPr>
              <w:pStyle w:val="Compact"/>
              <w:jc w:val="right"/>
            </w:pPr>
            <w:r>
              <w:rPr>
                <w:sz w:val="17"/>
              </w:rPr>
              <w:t xml:space="preserve">sc_full</w:t>
            </w:r>
          </w:p>
        </w:tc>
        <w:tc>
          <w:tcPr/>
          <w:p>
            <w:pPr>
              <w:pStyle w:val="Compact"/>
              <w:jc w:val="right"/>
            </w:pPr>
            <w:r>
              <w:rPr>
                <w:sz w:val="17"/>
              </w:rPr>
              <w:t xml:space="preserve">0.6877</w:t>
            </w:r>
          </w:p>
        </w:tc>
        <w:tc>
          <w:tcPr/>
          <w:p>
            <w:pPr>
              <w:pStyle w:val="Compact"/>
              <w:jc w:val="right"/>
            </w:pPr>
            <w:r>
              <w:rPr>
                <w:sz w:val="17"/>
              </w:rPr>
              <w:t xml:space="preserve">0.6765</w:t>
            </w:r>
          </w:p>
        </w:tc>
        <w:tc>
          <w:tcPr/>
          <w:p>
            <w:pPr>
              <w:pStyle w:val="Compact"/>
              <w:jc w:val="right"/>
            </w:pPr>
            <w:r>
              <w:rPr>
                <w:sz w:val="17"/>
              </w:rPr>
              <w:t xml:space="preserve">+0.0112</w:t>
            </w:r>
          </w:p>
        </w:tc>
        <w:tc>
          <w:tcPr/>
          <w:p>
            <w:pPr>
              <w:pStyle w:val="Compact"/>
              <w:jc w:val="right"/>
            </w:pPr>
            <w:r>
              <w:rPr>
                <w:sz w:val="17"/>
              </w:rPr>
              <w:t xml:space="preserve">1.1e-08</w:t>
            </w:r>
          </w:p>
        </w:tc>
        <w:tc>
          <w:tcPr/>
          <w:p>
            <w:pPr>
              <w:pStyle w:val="Compact"/>
              <w:jc w:val="right"/>
            </w:pPr>
            <w:r>
              <w:rPr>
                <w:sz w:val="17"/>
              </w:rPr>
              <w:t xml:space="preserve">0.0088</w:t>
            </w:r>
          </w:p>
        </w:tc>
        <w:tc>
          <w:tcPr/>
          <w:p>
            <w:pPr>
              <w:pStyle w:val="Compact"/>
              <w:jc w:val="right"/>
            </w:pPr>
            <w:r>
              <w:rPr>
                <w:sz w:val="17"/>
              </w:rPr>
              <w:t xml:space="preserve">0.0217</w:t>
            </w:r>
          </w:p>
        </w:tc>
        <w:tc>
          <w:tcPr/>
          <w:p>
            <w:pPr>
              <w:pStyle w:val="Compact"/>
              <w:jc w:val="right"/>
            </w:pPr>
            <w:r>
              <w:rPr>
                <w:sz w:val="17"/>
              </w:rPr>
              <w:t xml:space="preserve">Info</w:t>
            </w:r>
          </w:p>
        </w:tc>
      </w:tr>
      <w:tr>
        <w:tc>
          <w:tcPr/>
          <w:p>
            <w:pPr>
              <w:pStyle w:val="Compact"/>
              <w:jc w:val="left"/>
            </w:pPr>
            <w:r>
              <w:rPr>
                <w:sz w:val="17"/>
              </w:rPr>
              <w:t xml:space="preserve">vs_sub_grade</w:t>
            </w:r>
          </w:p>
        </w:tc>
        <w:tc>
          <w:tcPr/>
          <w:p>
            <w:pPr>
              <w:pStyle w:val="Compact"/>
              <w:jc w:val="right"/>
            </w:pPr>
            <w:r>
              <w:rPr>
                <w:sz w:val="17"/>
              </w:rPr>
              <w:t xml:space="preserve">oot2</w:t>
            </w:r>
          </w:p>
        </w:tc>
        <w:tc>
          <w:tcPr/>
          <w:p>
            <w:pPr>
              <w:pStyle w:val="Compact"/>
              <w:jc w:val="right"/>
            </w:pPr>
            <w:r>
              <w:rPr>
                <w:sz w:val="17"/>
              </w:rPr>
              <w:t xml:space="preserve">sc_indep</w:t>
            </w:r>
          </w:p>
        </w:tc>
        <w:tc>
          <w:tcPr/>
          <w:p>
            <w:pPr>
              <w:pStyle w:val="Compact"/>
              <w:jc w:val="right"/>
            </w:pPr>
            <w:r>
              <w:rPr>
                <w:sz w:val="17"/>
              </w:rPr>
              <w:t xml:space="preserve">sub_grade_rank</w:t>
            </w:r>
          </w:p>
        </w:tc>
        <w:tc>
          <w:tcPr/>
          <w:p>
            <w:pPr>
              <w:pStyle w:val="Compact"/>
              <w:jc w:val="right"/>
            </w:pPr>
            <w:r>
              <w:rPr>
                <w:sz w:val="17"/>
              </w:rPr>
              <w:t xml:space="preserve">0.6329</w:t>
            </w:r>
          </w:p>
        </w:tc>
        <w:tc>
          <w:tcPr/>
          <w:p>
            <w:pPr>
              <w:pStyle w:val="Compact"/>
              <w:jc w:val="right"/>
            </w:pPr>
            <w:r>
              <w:rPr>
                <w:sz w:val="17"/>
              </w:rPr>
              <w:t xml:space="preserve">0.6830</w:t>
            </w:r>
          </w:p>
        </w:tc>
        <w:tc>
          <w:tcPr/>
          <w:p>
            <w:pPr>
              <w:pStyle w:val="Compact"/>
              <w:jc w:val="right"/>
            </w:pPr>
            <w:r>
              <w:rPr>
                <w:sz w:val="17"/>
              </w:rPr>
              <w:t xml:space="preserve">-0.0501</w:t>
            </w:r>
          </w:p>
        </w:tc>
        <w:tc>
          <w:tcPr/>
          <w:p>
            <w:pPr>
              <w:pStyle w:val="Compact"/>
              <w:jc w:val="right"/>
            </w:pPr>
            <w:r>
              <w:rPr>
                <w:sz w:val="17"/>
              </w:rPr>
              <w:t xml:space="preserve">1.9e-75</w:t>
            </w:r>
          </w:p>
        </w:tc>
        <w:tc>
          <w:tcPr/>
          <w:p>
            <w:pPr>
              <w:pStyle w:val="Compact"/>
              <w:jc w:val="right"/>
            </w:pPr>
            <w:r>
              <w:rPr>
                <w:sz w:val="17"/>
              </w:rPr>
              <w:t xml:space="preserve">-0.0590</w:t>
            </w:r>
          </w:p>
        </w:tc>
        <w:tc>
          <w:tcPr/>
          <w:p>
            <w:pPr>
              <w:pStyle w:val="Compact"/>
              <w:jc w:val="right"/>
            </w:pPr>
            <w:r>
              <w:rPr>
                <w:sz w:val="17"/>
              </w:rPr>
              <w:t xml:space="preserve">-0.0371</w:t>
            </w:r>
          </w:p>
        </w:tc>
        <w:tc>
          <w:tcPr/>
          <w:p>
            <w:pPr>
              <w:pStyle w:val="Compact"/>
              <w:jc w:val="right"/>
            </w:pPr>
            <w:r>
              <w:rPr>
                <w:sz w:val="17"/>
              </w:rPr>
              <w:t xml:space="preserve">Red</w:t>
            </w:r>
          </w:p>
        </w:tc>
      </w:tr>
      <w:tr>
        <w:tc>
          <w:tcPr/>
          <w:p>
            <w:pPr>
              <w:pStyle w:val="Compact"/>
              <w:jc w:val="left"/>
            </w:pPr>
            <w:r>
              <w:rPr>
                <w:sz w:val="17"/>
              </w:rPr>
              <w:t xml:space="preserve">vs_sub_grade</w:t>
            </w:r>
          </w:p>
        </w:tc>
        <w:tc>
          <w:tcPr/>
          <w:p>
            <w:pPr>
              <w:pStyle w:val="Compact"/>
              <w:jc w:val="right"/>
            </w:pPr>
            <w:r>
              <w:rPr>
                <w:sz w:val="17"/>
              </w:rPr>
              <w:t xml:space="preserve">oot2</w:t>
            </w:r>
          </w:p>
        </w:tc>
        <w:tc>
          <w:tcPr/>
          <w:p>
            <w:pPr>
              <w:pStyle w:val="Compact"/>
              <w:jc w:val="right"/>
            </w:pPr>
            <w:r>
              <w:rPr>
                <w:sz w:val="17"/>
              </w:rPr>
              <w:t xml:space="preserve">sc_full</w:t>
            </w:r>
          </w:p>
        </w:tc>
        <w:tc>
          <w:tcPr/>
          <w:p>
            <w:pPr>
              <w:pStyle w:val="Compact"/>
              <w:jc w:val="right"/>
            </w:pPr>
            <w:r>
              <w:rPr>
                <w:sz w:val="17"/>
              </w:rPr>
              <w:t xml:space="preserve">sub_grade_rank</w:t>
            </w:r>
          </w:p>
        </w:tc>
        <w:tc>
          <w:tcPr/>
          <w:p>
            <w:pPr>
              <w:pStyle w:val="Compact"/>
              <w:jc w:val="right"/>
            </w:pPr>
            <w:r>
              <w:rPr>
                <w:sz w:val="17"/>
              </w:rPr>
              <w:t xml:space="preserve">0.6728</w:t>
            </w:r>
          </w:p>
        </w:tc>
        <w:tc>
          <w:tcPr/>
          <w:p>
            <w:pPr>
              <w:pStyle w:val="Compact"/>
              <w:jc w:val="right"/>
            </w:pPr>
            <w:r>
              <w:rPr>
                <w:sz w:val="17"/>
              </w:rPr>
              <w:t xml:space="preserve">0.6830</w:t>
            </w:r>
          </w:p>
        </w:tc>
        <w:tc>
          <w:tcPr/>
          <w:p>
            <w:pPr>
              <w:pStyle w:val="Compact"/>
              <w:jc w:val="right"/>
            </w:pPr>
            <w:r>
              <w:rPr>
                <w:sz w:val="17"/>
              </w:rPr>
              <w:t xml:space="preserve">-0.0102</w:t>
            </w:r>
          </w:p>
        </w:tc>
        <w:tc>
          <w:tcPr/>
          <w:p>
            <w:pPr>
              <w:pStyle w:val="Compact"/>
              <w:jc w:val="right"/>
            </w:pPr>
            <w:r>
              <w:rPr>
                <w:sz w:val="17"/>
              </w:rPr>
              <w:t xml:space="preserve">4.7e-07</w:t>
            </w:r>
          </w:p>
        </w:tc>
        <w:tc>
          <w:tcPr/>
          <w:p>
            <w:pPr>
              <w:pStyle w:val="Compact"/>
              <w:jc w:val="right"/>
            </w:pPr>
            <w:r>
              <w:rPr>
                <w:sz w:val="17"/>
              </w:rPr>
              <w:t xml:space="preserve">-0.0168</w:t>
            </w:r>
          </w:p>
        </w:tc>
        <w:tc>
          <w:tcPr/>
          <w:p>
            <w:pPr>
              <w:pStyle w:val="Compact"/>
              <w:jc w:val="right"/>
            </w:pPr>
            <w:r>
              <w:rPr>
                <w:sz w:val="17"/>
              </w:rPr>
              <w:t xml:space="preserve">-0.0013</w:t>
            </w:r>
          </w:p>
        </w:tc>
        <w:tc>
          <w:tcPr/>
          <w:p>
            <w:pPr>
              <w:pStyle w:val="Compact"/>
              <w:jc w:val="right"/>
            </w:pPr>
            <w:r>
              <w:rPr>
                <w:sz w:val="17"/>
              </w:rPr>
              <w:t xml:space="preserve">Red</w:t>
            </w:r>
          </w:p>
        </w:tc>
      </w:tr>
      <w:tr>
        <w:tc>
          <w:tcPr/>
          <w:p>
            <w:pPr>
              <w:pStyle w:val="Compact"/>
              <w:jc w:val="left"/>
            </w:pPr>
            <w:r>
              <w:rPr>
                <w:sz w:val="17"/>
              </w:rPr>
              <w:t xml:space="preserve">incremental_over_sub_grade</w:t>
            </w:r>
          </w:p>
        </w:tc>
        <w:tc>
          <w:tcPr/>
          <w:p>
            <w:pPr>
              <w:pStyle w:val="Compact"/>
              <w:jc w:val="right"/>
            </w:pPr>
            <w:r>
              <w:rPr>
                <w:sz w:val="17"/>
              </w:rPr>
              <w:t xml:space="preserve">oot2</w:t>
            </w:r>
          </w:p>
        </w:tc>
        <w:tc>
          <w:tcPr/>
          <w:p>
            <w:pPr>
              <w:pStyle w:val="Compact"/>
              <w:jc w:val="right"/>
            </w:pPr>
            <w:r>
              <w:rPr>
                <w:sz w:val="17"/>
              </w:rPr>
              <w:t xml:space="preserve">sc_indep+sub_grade</w:t>
            </w:r>
          </w:p>
        </w:tc>
        <w:tc>
          <w:tcPr/>
          <w:p>
            <w:pPr>
              <w:pStyle w:val="Compact"/>
              <w:jc w:val="right"/>
            </w:pPr>
            <w:r>
              <w:rPr>
                <w:sz w:val="17"/>
              </w:rPr>
              <w:t xml:space="preserve">sub_grade_rank</w:t>
            </w:r>
          </w:p>
        </w:tc>
        <w:tc>
          <w:tcPr/>
          <w:p>
            <w:pPr>
              <w:pStyle w:val="Compact"/>
              <w:jc w:val="right"/>
            </w:pPr>
            <w:r>
              <w:rPr>
                <w:sz w:val="17"/>
              </w:rPr>
              <w:t xml:space="preserve">0.6669</w:t>
            </w:r>
          </w:p>
        </w:tc>
        <w:tc>
          <w:tcPr/>
          <w:p>
            <w:pPr>
              <w:pStyle w:val="Compact"/>
              <w:jc w:val="right"/>
            </w:pPr>
            <w:r>
              <w:rPr>
                <w:sz w:val="17"/>
              </w:rPr>
              <w:t xml:space="preserve">0.6830</w:t>
            </w:r>
          </w:p>
        </w:tc>
        <w:tc>
          <w:tcPr/>
          <w:p>
            <w:pPr>
              <w:pStyle w:val="Compact"/>
              <w:jc w:val="right"/>
            </w:pPr>
            <w:r>
              <w:rPr>
                <w:sz w:val="17"/>
              </w:rPr>
              <w:t xml:space="preserve">-0.0161</w:t>
            </w:r>
          </w:p>
        </w:tc>
        <w:tc>
          <w:tcPr/>
          <w:p>
            <w:pPr>
              <w:pStyle w:val="Compact"/>
              <w:jc w:val="right"/>
            </w:pPr>
            <w:r>
              <w:rPr>
                <w:sz w:val="17"/>
              </w:rPr>
              <w:t xml:space="preserve">1.0e-16</w:t>
            </w:r>
          </w:p>
        </w:tc>
        <w:tc>
          <w:tcPr/>
          <w:p>
            <w:pPr>
              <w:pStyle w:val="Compact"/>
              <w:jc w:val="right"/>
            </w:pPr>
            <w:r>
              <w:rPr>
                <w:sz w:val="17"/>
              </w:rPr>
              <w:t xml:space="preserve">-0.0226</w:t>
            </w:r>
          </w:p>
        </w:tc>
        <w:tc>
          <w:tcPr/>
          <w:p>
            <w:pPr>
              <w:pStyle w:val="Compact"/>
              <w:jc w:val="right"/>
            </w:pPr>
            <w:r>
              <w:rPr>
                <w:sz w:val="17"/>
              </w:rPr>
              <w:t xml:space="preserve">-0.0071</w:t>
            </w:r>
          </w:p>
        </w:tc>
        <w:tc>
          <w:tcPr/>
          <w:p>
            <w:pPr>
              <w:pStyle w:val="Compact"/>
              <w:jc w:val="right"/>
            </w:pPr>
            <w:r>
              <w:rPr>
                <w:sz w:val="17"/>
              </w:rPr>
              <w:t xml:space="preserve">Info</w:t>
            </w:r>
          </w:p>
        </w:tc>
      </w:tr>
      <w:tr>
        <w:tc>
          <w:tcPr/>
          <w:p>
            <w:pPr>
              <w:pStyle w:val="Compact"/>
              <w:jc w:val="left"/>
            </w:pPr>
            <w:r>
              <w:rPr>
                <w:sz w:val="17"/>
              </w:rPr>
              <w:t xml:space="preserve">challenger_vs_champion</w:t>
            </w:r>
          </w:p>
        </w:tc>
        <w:tc>
          <w:tcPr/>
          <w:p>
            <w:pPr>
              <w:pStyle w:val="Compact"/>
              <w:jc w:val="right"/>
            </w:pPr>
            <w:r>
              <w:rPr>
                <w:sz w:val="17"/>
              </w:rPr>
              <w:t xml:space="preserve">oot2</w:t>
            </w:r>
          </w:p>
        </w:tc>
        <w:tc>
          <w:tcPr/>
          <w:p>
            <w:pPr>
              <w:pStyle w:val="Compact"/>
              <w:jc w:val="right"/>
            </w:pPr>
            <w:r>
              <w:rPr>
                <w:sz w:val="17"/>
              </w:rPr>
              <w:t xml:space="preserve">sc_indep</w:t>
            </w:r>
          </w:p>
        </w:tc>
        <w:tc>
          <w:tcPr/>
          <w:p>
            <w:pPr>
              <w:pStyle w:val="Compact"/>
              <w:jc w:val="right"/>
            </w:pPr>
            <w:r>
              <w:rPr>
                <w:sz w:val="17"/>
              </w:rPr>
              <w:t xml:space="preserve">sc_full</w:t>
            </w:r>
          </w:p>
        </w:tc>
        <w:tc>
          <w:tcPr/>
          <w:p>
            <w:pPr>
              <w:pStyle w:val="Compact"/>
              <w:jc w:val="right"/>
            </w:pPr>
            <w:r>
              <w:rPr>
                <w:sz w:val="17"/>
              </w:rPr>
              <w:t xml:space="preserve">0.6329</w:t>
            </w:r>
          </w:p>
        </w:tc>
        <w:tc>
          <w:tcPr/>
          <w:p>
            <w:pPr>
              <w:pStyle w:val="Compact"/>
              <w:jc w:val="right"/>
            </w:pPr>
            <w:r>
              <w:rPr>
                <w:sz w:val="17"/>
              </w:rPr>
              <w:t xml:space="preserve">0.6728</w:t>
            </w:r>
          </w:p>
        </w:tc>
        <w:tc>
          <w:tcPr/>
          <w:p>
            <w:pPr>
              <w:pStyle w:val="Compact"/>
              <w:jc w:val="right"/>
            </w:pPr>
            <w:r>
              <w:rPr>
                <w:sz w:val="17"/>
              </w:rPr>
              <w:t xml:space="preserve">-0.0399</w:t>
            </w:r>
          </w:p>
        </w:tc>
        <w:tc>
          <w:tcPr/>
          <w:p>
            <w:pPr>
              <w:pStyle w:val="Compact"/>
              <w:jc w:val="right"/>
            </w:pPr>
            <w:r>
              <w:rPr>
                <w:sz w:val="17"/>
              </w:rPr>
              <w:t xml:space="preserve">6.4e-225</w:t>
            </w:r>
          </w:p>
        </w:tc>
        <w:tc>
          <w:tcPr/>
          <w:p>
            <w:pPr>
              <w:pStyle w:val="Compact"/>
              <w:jc w:val="right"/>
            </w:pPr>
            <w:r>
              <w:rPr>
                <w:sz w:val="17"/>
              </w:rPr>
              <w:t xml:space="preserve">-0.0438</w:t>
            </w:r>
          </w:p>
        </w:tc>
        <w:tc>
          <w:tcPr/>
          <w:p>
            <w:pPr>
              <w:pStyle w:val="Compact"/>
              <w:jc w:val="right"/>
            </w:pPr>
            <w:r>
              <w:rPr>
                <w:sz w:val="17"/>
              </w:rPr>
              <w:t xml:space="preserve">-0.0337</w:t>
            </w:r>
          </w:p>
        </w:tc>
        <w:tc>
          <w:tcPr/>
          <w:p>
            <w:pPr>
              <w:pStyle w:val="Compact"/>
              <w:jc w:val="right"/>
            </w:pPr>
            <w:r>
              <w:rPr>
                <w:sz w:val="17"/>
              </w:rPr>
              <w:t xml:space="preserve">Info</w:t>
            </w:r>
          </w:p>
        </w:tc>
      </w:tr>
      <w:tr>
        <w:tc>
          <w:tcPr/>
          <w:p>
            <w:pPr>
              <w:pStyle w:val="Compact"/>
              <w:jc w:val="left"/>
            </w:pPr>
            <w:r>
              <w:rPr>
                <w:sz w:val="17"/>
              </w:rPr>
              <w:t xml:space="preserve">challenger_vs_champion</w:t>
            </w:r>
          </w:p>
        </w:tc>
        <w:tc>
          <w:tcPr/>
          <w:p>
            <w:pPr>
              <w:pStyle w:val="Compact"/>
              <w:jc w:val="right"/>
            </w:pPr>
            <w:r>
              <w:rPr>
                <w:sz w:val="17"/>
              </w:rPr>
              <w:t xml:space="preserve">oot2</w:t>
            </w:r>
          </w:p>
        </w:tc>
        <w:tc>
          <w:tcPr/>
          <w:p>
            <w:pPr>
              <w:pStyle w:val="Compact"/>
              <w:jc w:val="right"/>
            </w:pPr>
            <w:r>
              <w:rPr>
                <w:sz w:val="17"/>
              </w:rPr>
              <w:t xml:space="preserve">xgb</w:t>
            </w:r>
          </w:p>
        </w:tc>
        <w:tc>
          <w:tcPr/>
          <w:p>
            <w:pPr>
              <w:pStyle w:val="Compact"/>
              <w:jc w:val="right"/>
            </w:pPr>
            <w:r>
              <w:rPr>
                <w:sz w:val="17"/>
              </w:rPr>
              <w:t xml:space="preserve">sc_full</w:t>
            </w:r>
          </w:p>
        </w:tc>
        <w:tc>
          <w:tcPr/>
          <w:p>
            <w:pPr>
              <w:pStyle w:val="Compact"/>
              <w:jc w:val="right"/>
            </w:pPr>
            <w:r>
              <w:rPr>
                <w:sz w:val="17"/>
              </w:rPr>
              <w:t xml:space="preserve">0.6869</w:t>
            </w:r>
          </w:p>
        </w:tc>
        <w:tc>
          <w:tcPr/>
          <w:p>
            <w:pPr>
              <w:pStyle w:val="Compact"/>
              <w:jc w:val="right"/>
            </w:pPr>
            <w:r>
              <w:rPr>
                <w:sz w:val="17"/>
              </w:rPr>
              <w:t xml:space="preserve">0.6728</w:t>
            </w:r>
          </w:p>
        </w:tc>
        <w:tc>
          <w:tcPr/>
          <w:p>
            <w:pPr>
              <w:pStyle w:val="Compact"/>
              <w:jc w:val="right"/>
            </w:pPr>
            <w:r>
              <w:rPr>
                <w:sz w:val="17"/>
              </w:rPr>
              <w:t xml:space="preserve">+0.0141</w:t>
            </w:r>
          </w:p>
        </w:tc>
        <w:tc>
          <w:tcPr/>
          <w:p>
            <w:pPr>
              <w:pStyle w:val="Compact"/>
              <w:jc w:val="right"/>
            </w:pPr>
            <w:r>
              <w:rPr>
                <w:sz w:val="17"/>
              </w:rPr>
              <w:t xml:space="preserve">3.5e-33</w:t>
            </w:r>
          </w:p>
        </w:tc>
        <w:tc>
          <w:tcPr/>
          <w:p>
            <w:pPr>
              <w:pStyle w:val="Compact"/>
              <w:jc w:val="right"/>
            </w:pPr>
            <w:r>
              <w:rPr>
                <w:sz w:val="17"/>
              </w:rPr>
              <w:t xml:space="preserve">0.0087</w:t>
            </w:r>
          </w:p>
        </w:tc>
        <w:tc>
          <w:tcPr/>
          <w:p>
            <w:pPr>
              <w:pStyle w:val="Compact"/>
              <w:jc w:val="right"/>
            </w:pPr>
            <w:r>
              <w:rPr>
                <w:sz w:val="17"/>
              </w:rPr>
              <w:t xml:space="preserve">0.0180</w:t>
            </w:r>
          </w:p>
        </w:tc>
        <w:tc>
          <w:tcPr/>
          <w:p>
            <w:pPr>
              <w:pStyle w:val="Compact"/>
              <w:jc w:val="right"/>
            </w:pPr>
            <w:r>
              <w:rPr>
                <w:sz w:val="17"/>
              </w:rPr>
              <w:t xml:space="preserve">Info</w:t>
            </w:r>
          </w:p>
        </w:tc>
      </w:tr>
      <w:tr>
        <w:tc>
          <w:tcPr/>
          <w:p>
            <w:pPr>
              <w:pStyle w:val="Compact"/>
              <w:jc w:val="left"/>
            </w:pPr>
            <w:r>
              <w:rPr>
                <w:sz w:val="17"/>
              </w:rPr>
              <w:t xml:space="preserve">challenger_vs_champion</w:t>
            </w:r>
          </w:p>
        </w:tc>
        <w:tc>
          <w:tcPr/>
          <w:p>
            <w:pPr>
              <w:pStyle w:val="Compact"/>
              <w:jc w:val="right"/>
            </w:pPr>
            <w:r>
              <w:rPr>
                <w:sz w:val="17"/>
              </w:rPr>
              <w:t xml:space="preserve">oot2</w:t>
            </w:r>
          </w:p>
        </w:tc>
        <w:tc>
          <w:tcPr/>
          <w:p>
            <w:pPr>
              <w:pStyle w:val="Compact"/>
              <w:jc w:val="right"/>
            </w:pPr>
            <w:r>
              <w:rPr>
                <w:sz w:val="17"/>
              </w:rPr>
              <w:t xml:space="preserve">lgbm</w:t>
            </w:r>
          </w:p>
        </w:tc>
        <w:tc>
          <w:tcPr/>
          <w:p>
            <w:pPr>
              <w:pStyle w:val="Compact"/>
              <w:jc w:val="right"/>
            </w:pPr>
            <w:r>
              <w:rPr>
                <w:sz w:val="17"/>
              </w:rPr>
              <w:t xml:space="preserve">sc_full</w:t>
            </w:r>
          </w:p>
        </w:tc>
        <w:tc>
          <w:tcPr/>
          <w:p>
            <w:pPr>
              <w:pStyle w:val="Compact"/>
              <w:jc w:val="right"/>
            </w:pPr>
            <w:r>
              <w:rPr>
                <w:sz w:val="17"/>
              </w:rPr>
              <w:t xml:space="preserve">0.6833</w:t>
            </w:r>
          </w:p>
        </w:tc>
        <w:tc>
          <w:tcPr/>
          <w:p>
            <w:pPr>
              <w:pStyle w:val="Compact"/>
              <w:jc w:val="right"/>
            </w:pPr>
            <w:r>
              <w:rPr>
                <w:sz w:val="17"/>
              </w:rPr>
              <w:t xml:space="preserve">0.6728</w:t>
            </w:r>
          </w:p>
        </w:tc>
        <w:tc>
          <w:tcPr/>
          <w:p>
            <w:pPr>
              <w:pStyle w:val="Compact"/>
              <w:jc w:val="right"/>
            </w:pPr>
            <w:r>
              <w:rPr>
                <w:sz w:val="17"/>
              </w:rPr>
              <w:t xml:space="preserve">+0.0105</w:t>
            </w:r>
          </w:p>
        </w:tc>
        <w:tc>
          <w:tcPr/>
          <w:p>
            <w:pPr>
              <w:pStyle w:val="Compact"/>
              <w:jc w:val="right"/>
            </w:pPr>
            <w:r>
              <w:rPr>
                <w:sz w:val="17"/>
              </w:rPr>
              <w:t xml:space="preserve">1.1e-23</w:t>
            </w:r>
          </w:p>
        </w:tc>
        <w:tc>
          <w:tcPr/>
          <w:p>
            <w:pPr>
              <w:pStyle w:val="Compact"/>
              <w:jc w:val="right"/>
            </w:pPr>
            <w:r>
              <w:rPr>
                <w:sz w:val="17"/>
              </w:rPr>
              <w:t xml:space="preserve">0.0074</w:t>
            </w:r>
          </w:p>
        </w:tc>
        <w:tc>
          <w:tcPr/>
          <w:p>
            <w:pPr>
              <w:pStyle w:val="Compact"/>
              <w:jc w:val="right"/>
            </w:pPr>
            <w:r>
              <w:rPr>
                <w:sz w:val="17"/>
              </w:rPr>
              <w:t xml:space="preserve">0.0159</w:t>
            </w:r>
          </w:p>
        </w:tc>
        <w:tc>
          <w:tcPr/>
          <w:p>
            <w:pPr>
              <w:pStyle w:val="Compact"/>
              <w:jc w:val="right"/>
            </w:pPr>
            <w:r>
              <w:rPr>
                <w:sz w:val="17"/>
              </w:rPr>
              <w:t xml:space="preserve">Info</w:t>
            </w:r>
          </w:p>
        </w:tc>
      </w:tr>
      <w:tr>
        <w:tc>
          <w:tcPr/>
          <w:p>
            <w:pPr>
              <w:pStyle w:val="Compact"/>
              <w:jc w:val="left"/>
            </w:pPr>
            <w:r>
              <w:rPr>
                <w:sz w:val="17"/>
              </w:rPr>
              <w:t xml:space="preserve">challenger_vs_champion</w:t>
            </w:r>
          </w:p>
        </w:tc>
        <w:tc>
          <w:tcPr/>
          <w:p>
            <w:pPr>
              <w:pStyle w:val="Compact"/>
              <w:jc w:val="right"/>
            </w:pPr>
            <w:r>
              <w:rPr>
                <w:sz w:val="17"/>
              </w:rPr>
              <w:t xml:space="preserve">oot2</w:t>
            </w:r>
          </w:p>
        </w:tc>
        <w:tc>
          <w:tcPr/>
          <w:p>
            <w:pPr>
              <w:pStyle w:val="Compact"/>
              <w:jc w:val="right"/>
            </w:pPr>
            <w:r>
              <w:rPr>
                <w:sz w:val="17"/>
              </w:rPr>
              <w:t xml:space="preserve">sc_full_recal</w:t>
            </w:r>
          </w:p>
        </w:tc>
        <w:tc>
          <w:tcPr/>
          <w:p>
            <w:pPr>
              <w:pStyle w:val="Compact"/>
              <w:jc w:val="right"/>
            </w:pPr>
            <w:r>
              <w:rPr>
                <w:sz w:val="17"/>
              </w:rPr>
              <w:t xml:space="preserve">sc_full</w:t>
            </w:r>
          </w:p>
        </w:tc>
        <w:tc>
          <w:tcPr/>
          <w:p>
            <w:pPr>
              <w:pStyle w:val="Compact"/>
              <w:jc w:val="right"/>
            </w:pPr>
            <w:r>
              <w:rPr>
                <w:sz w:val="17"/>
              </w:rPr>
              <w:t xml:space="preserve">0.6728</w:t>
            </w:r>
          </w:p>
        </w:tc>
        <w:tc>
          <w:tcPr/>
          <w:p>
            <w:pPr>
              <w:pStyle w:val="Compact"/>
              <w:jc w:val="right"/>
            </w:pPr>
            <w:r>
              <w:rPr>
                <w:sz w:val="17"/>
              </w:rPr>
              <w:t xml:space="preserve">0.6728</w:t>
            </w:r>
          </w:p>
        </w:tc>
        <w:tc>
          <w:tcPr/>
          <w:p>
            <w:pPr>
              <w:pStyle w:val="Compact"/>
              <w:jc w:val="right"/>
            </w:pPr>
            <w:r>
              <w:rPr>
                <w:sz w:val="17"/>
              </w:rPr>
              <w:t xml:space="preserve">+0.0000</w:t>
            </w:r>
          </w:p>
        </w:tc>
        <w:tc>
          <w:tcPr/>
          <w:p>
            <w:pPr>
              <w:pStyle w:val="Compact"/>
              <w:jc w:val="right"/>
            </w:pPr>
            <w:r>
              <w:rPr>
                <w:sz w:val="17"/>
              </w:rPr>
              <w:t xml:space="preserve">n/a</w:t>
            </w:r>
          </w:p>
        </w:tc>
        <w:tc>
          <w:tcPr/>
          <w:p>
            <w:pPr>
              <w:pStyle w:val="Compact"/>
              <w:jc w:val="right"/>
            </w:pPr>
            <w:r>
              <w:rPr>
                <w:sz w:val="17"/>
              </w:rPr>
              <w:t xml:space="preserve">0.0000</w:t>
            </w:r>
          </w:p>
        </w:tc>
        <w:tc>
          <w:tcPr/>
          <w:p>
            <w:pPr>
              <w:pStyle w:val="Compact"/>
              <w:jc w:val="right"/>
            </w:pPr>
            <w:r>
              <w:rPr>
                <w:sz w:val="17"/>
              </w:rPr>
              <w:t xml:space="preserve">0.0000</w:t>
            </w:r>
          </w:p>
        </w:tc>
        <w:tc>
          <w:tcPr/>
          <w:p>
            <w:pPr>
              <w:pStyle w:val="Compact"/>
              <w:jc w:val="right"/>
            </w:pPr>
            <w:r>
              <w:rPr>
                <w:sz w:val="17"/>
              </w:rPr>
              <w:t xml:space="preserve">Info</w:t>
            </w:r>
          </w:p>
        </w:tc>
      </w:tr>
      <w:tr>
        <w:tc>
          <w:tcPr/>
          <w:p>
            <w:pPr>
              <w:pStyle w:val="Compact"/>
              <w:jc w:val="left"/>
            </w:pPr>
            <w:r>
              <w:rPr>
                <w:sz w:val="17"/>
              </w:rPr>
              <w:t xml:space="preserve">challenger_vs_champion</w:t>
            </w:r>
          </w:p>
        </w:tc>
        <w:tc>
          <w:tcPr/>
          <w:p>
            <w:pPr>
              <w:pStyle w:val="Compact"/>
              <w:jc w:val="right"/>
            </w:pPr>
            <w:r>
              <w:rPr>
                <w:sz w:val="17"/>
              </w:rPr>
              <w:t xml:space="preserve">oot2</w:t>
            </w:r>
          </w:p>
        </w:tc>
        <w:tc>
          <w:tcPr/>
          <w:p>
            <w:pPr>
              <w:pStyle w:val="Compact"/>
              <w:jc w:val="right"/>
            </w:pPr>
            <w:r>
              <w:rPr>
                <w:sz w:val="17"/>
              </w:rPr>
              <w:t xml:space="preserve">repro_original</w:t>
            </w:r>
          </w:p>
        </w:tc>
        <w:tc>
          <w:tcPr/>
          <w:p>
            <w:pPr>
              <w:pStyle w:val="Compact"/>
              <w:jc w:val="right"/>
            </w:pPr>
            <w:r>
              <w:rPr>
                <w:sz w:val="17"/>
              </w:rPr>
              <w:t xml:space="preserve">sc_full</w:t>
            </w:r>
          </w:p>
        </w:tc>
        <w:tc>
          <w:tcPr/>
          <w:p>
            <w:pPr>
              <w:pStyle w:val="Compact"/>
              <w:jc w:val="right"/>
            </w:pPr>
            <w:r>
              <w:rPr>
                <w:sz w:val="17"/>
              </w:rPr>
              <w:t xml:space="preserve">0.6851</w:t>
            </w:r>
          </w:p>
        </w:tc>
        <w:tc>
          <w:tcPr/>
          <w:p>
            <w:pPr>
              <w:pStyle w:val="Compact"/>
              <w:jc w:val="right"/>
            </w:pPr>
            <w:r>
              <w:rPr>
                <w:sz w:val="17"/>
              </w:rPr>
              <w:t xml:space="preserve">0.6728</w:t>
            </w:r>
          </w:p>
        </w:tc>
        <w:tc>
          <w:tcPr/>
          <w:p>
            <w:pPr>
              <w:pStyle w:val="Compact"/>
              <w:jc w:val="right"/>
            </w:pPr>
            <w:r>
              <w:rPr>
                <w:sz w:val="17"/>
              </w:rPr>
              <w:t xml:space="preserve">+0.0123</w:t>
            </w:r>
          </w:p>
        </w:tc>
        <w:tc>
          <w:tcPr/>
          <w:p>
            <w:pPr>
              <w:pStyle w:val="Compact"/>
              <w:jc w:val="right"/>
            </w:pPr>
            <w:r>
              <w:rPr>
                <w:sz w:val="17"/>
              </w:rPr>
              <w:t xml:space="preserve">1.5e-14</w:t>
            </w:r>
          </w:p>
        </w:tc>
        <w:tc>
          <w:tcPr/>
          <w:p>
            <w:pPr>
              <w:pStyle w:val="Compact"/>
              <w:jc w:val="right"/>
            </w:pPr>
            <w:r>
              <w:rPr>
                <w:sz w:val="17"/>
              </w:rPr>
              <w:t xml:space="preserve">0.0053</w:t>
            </w:r>
          </w:p>
        </w:tc>
        <w:tc>
          <w:tcPr/>
          <w:p>
            <w:pPr>
              <w:pStyle w:val="Compact"/>
              <w:jc w:val="right"/>
            </w:pPr>
            <w:r>
              <w:rPr>
                <w:sz w:val="17"/>
              </w:rPr>
              <w:t xml:space="preserve">0.0183</w:t>
            </w:r>
          </w:p>
        </w:tc>
        <w:tc>
          <w:tcPr/>
          <w:p>
            <w:pPr>
              <w:pStyle w:val="Compact"/>
              <w:jc w:val="right"/>
            </w:pPr>
            <w:r>
              <w:rPr>
                <w:sz w:val="17"/>
              </w:rPr>
              <w:t xml:space="preserve">Info</w:t>
            </w:r>
          </w:p>
        </w:tc>
      </w:tr>
    </w:tbl>
    <w:p>
      <w:pPr>
        <w:pStyle w:val="BodyText"/>
      </w:pPr>
      <w:r>
        <w:t xml:space="preserve">XGBoost improves on SC_FULL by +0.0111 AUC on 2013 and +0.0141 on 2014 and LightGBM by +0.0067 and +0.0105. With this many loans the DeLong p-values are far below 0.001, so the improvement is real, and the bootstrap interval for XGBoost on 2013 (0.0063 to 0.0155) excludes zero. But the gain is about one AUC point, the trees remain Amber on Gini (0.375 and 0.366 on 2013) and they remain Red on Hosmer-Lemeshow. The trees also show strong overfitting in development (training Gini 0.521 for LightGBM against 0.366 out of time) and a training calibration slope far from one, which is why calibration is always done on the holdout. The pragmatic conclusion is that nonlinear structure adds little over the scorecard on these features, so the scorecard's transparency is not bought at a large accuracy cost.</w:t>
      </w:r>
    </w:p>
    <w:bookmarkEnd w:id="91"/>
    <w:bookmarkEnd w:id="92"/>
    <w:bookmarkStart w:id="99" w:name="Xce0660fc92e7e40b340f496117034a14fba9eb4"/>
    <w:p>
      <w:pPr>
        <w:pStyle w:val="Heading1"/>
      </w:pPr>
      <w:r>
        <w:rPr>
          <w:rStyle w:val="SectionNumber"/>
        </w:rPr>
        <w:t xml:space="preserve">13</w:t>
      </w:r>
      <w:r>
        <w:tab/>
      </w:r>
      <w:r>
        <w:t xml:space="preserve">Benchmark against the LendingClub grade and the circularity</w:t>
      </w:r>
    </w:p>
    <w:bookmarkStart w:id="93" w:name="the-benchmark"/>
    <w:p>
      <w:pPr>
        <w:pStyle w:val="Heading2"/>
      </w:pPr>
      <w:r>
        <w:rPr>
          <w:rStyle w:val="SectionNumber"/>
        </w:rPr>
        <w:t xml:space="preserve">13.1</w:t>
      </w:r>
      <w:r>
        <w:tab/>
      </w:r>
      <w:r>
        <w:t xml:space="preserve">The benchmark</w:t>
      </w:r>
    </w:p>
    <w:p>
      <w:pPr>
        <w:pStyle w:val="FirstParagraph"/>
      </w:pPr>
      <w:r>
        <w:t xml:space="preserve">Any new model should beat something simple. The obvious simple model on this data is the lender's own sub-grade (35 levels, A1 to G5) treated as an ordinal risk score, with the interest rate and the 7-level grade as alternatives. Each is evaluated alone, with no fitting.</w:t>
      </w:r>
    </w:p>
    <w:p>
      <w:pPr>
        <w:pStyle w:val="TableCaption"/>
      </w:pPr>
      <w:r>
        <w:t xml:space="preserve">AUC of the lender's own ratings used as scores.</w:t>
      </w:r>
    </w:p>
    <w:tbl>
      <w:tblPr>
        <w:tblStyle w:val="Table"/>
        <w:tblW w:type="auto" w:w="0"/>
        <w:tblLook w:firstRow="1" w:lastRow="0" w:firstColumn="0" w:lastColumn="0" w:noHBand="0" w:noVBand="0" w:val="0020"/>
        <w:tblCaption w:val="AUC of the lender's own ratings used as score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Score used alone</w:t>
            </w:r>
          </w:p>
        </w:tc>
        <w:tc>
          <w:tcPr/>
          <w:p>
            <w:pPr>
              <w:pStyle w:val="Compact"/>
              <w:jc w:val="right"/>
            </w:pPr>
            <w:r>
              <w:rPr>
                <w:sz w:val="17"/>
              </w:rPr>
              <w:t xml:space="preserve">AUC dev holdout</w:t>
            </w:r>
          </w:p>
        </w:tc>
        <w:tc>
          <w:tcPr/>
          <w:p>
            <w:pPr>
              <w:pStyle w:val="Compact"/>
              <w:jc w:val="right"/>
            </w:pPr>
            <w:r>
              <w:rPr>
                <w:sz w:val="17"/>
              </w:rPr>
              <w:t xml:space="preserve">AUC OOT 2013</w:t>
            </w:r>
          </w:p>
        </w:tc>
        <w:tc>
          <w:tcPr/>
          <w:p>
            <w:pPr>
              <w:pStyle w:val="Compact"/>
              <w:jc w:val="right"/>
            </w:pPr>
            <w:r>
              <w:rPr>
                <w:sz w:val="17"/>
              </w:rPr>
              <w:t xml:space="preserve">AUC OOT 2014</w:t>
            </w:r>
          </w:p>
        </w:tc>
      </w:tr>
      <w:tr>
        <w:tc>
          <w:tcPr/>
          <w:p>
            <w:pPr>
              <w:pStyle w:val="Compact"/>
              <w:jc w:val="left"/>
            </w:pPr>
            <w:r>
              <w:rPr>
                <w:sz w:val="17"/>
              </w:rPr>
              <w:t xml:space="preserve">grade_rank</w:t>
            </w:r>
          </w:p>
        </w:tc>
        <w:tc>
          <w:tcPr/>
          <w:p>
            <w:pPr>
              <w:pStyle w:val="Compact"/>
              <w:jc w:val="right"/>
            </w:pPr>
            <w:r>
              <w:rPr>
                <w:sz w:val="17"/>
              </w:rPr>
              <w:t xml:space="preserve">0.6306</w:t>
            </w:r>
          </w:p>
        </w:tc>
        <w:tc>
          <w:tcPr/>
          <w:p>
            <w:pPr>
              <w:pStyle w:val="Compact"/>
              <w:jc w:val="right"/>
            </w:pPr>
            <w:r>
              <w:rPr>
                <w:sz w:val="17"/>
              </w:rPr>
              <w:t xml:space="preserve">0.6657</w:t>
            </w:r>
          </w:p>
        </w:tc>
        <w:tc>
          <w:tcPr/>
          <w:p>
            <w:pPr>
              <w:pStyle w:val="Compact"/>
              <w:jc w:val="right"/>
            </w:pPr>
            <w:r>
              <w:rPr>
                <w:sz w:val="17"/>
              </w:rPr>
              <w:t xml:space="preserve">0.6763</w:t>
            </w:r>
          </w:p>
        </w:tc>
      </w:tr>
      <w:tr>
        <w:tc>
          <w:tcPr/>
          <w:p>
            <w:pPr>
              <w:pStyle w:val="Compact"/>
              <w:jc w:val="left"/>
            </w:pPr>
            <w:r>
              <w:rPr>
                <w:sz w:val="17"/>
              </w:rPr>
              <w:t xml:space="preserve">int_rate</w:t>
            </w:r>
          </w:p>
        </w:tc>
        <w:tc>
          <w:tcPr/>
          <w:p>
            <w:pPr>
              <w:pStyle w:val="Compact"/>
              <w:jc w:val="right"/>
            </w:pPr>
            <w:r>
              <w:rPr>
                <w:sz w:val="17"/>
              </w:rPr>
              <w:t xml:space="preserve">0.6366</w:t>
            </w:r>
          </w:p>
        </w:tc>
        <w:tc>
          <w:tcPr/>
          <w:p>
            <w:pPr>
              <w:pStyle w:val="Compact"/>
              <w:jc w:val="right"/>
            </w:pPr>
            <w:r>
              <w:rPr>
                <w:sz w:val="17"/>
              </w:rPr>
              <w:t xml:space="preserve">0.6735</w:t>
            </w:r>
          </w:p>
        </w:tc>
        <w:tc>
          <w:tcPr/>
          <w:p>
            <w:pPr>
              <w:pStyle w:val="Compact"/>
              <w:jc w:val="right"/>
            </w:pPr>
            <w:r>
              <w:rPr>
                <w:sz w:val="17"/>
              </w:rPr>
              <w:t xml:space="preserve">0.6808</w:t>
            </w:r>
          </w:p>
        </w:tc>
      </w:tr>
      <w:tr>
        <w:tc>
          <w:tcPr/>
          <w:p>
            <w:pPr>
              <w:pStyle w:val="Compact"/>
              <w:jc w:val="left"/>
            </w:pPr>
            <w:r>
              <w:rPr>
                <w:sz w:val="17"/>
              </w:rPr>
              <w:t xml:space="preserve">sub_grade_rank</w:t>
            </w:r>
          </w:p>
        </w:tc>
        <w:tc>
          <w:tcPr/>
          <w:p>
            <w:pPr>
              <w:pStyle w:val="Compact"/>
              <w:jc w:val="right"/>
            </w:pPr>
            <w:r>
              <w:rPr>
                <w:sz w:val="17"/>
              </w:rPr>
              <w:t xml:space="preserve">0.6368</w:t>
            </w:r>
          </w:p>
        </w:tc>
        <w:tc>
          <w:tcPr/>
          <w:p>
            <w:pPr>
              <w:pStyle w:val="Compact"/>
              <w:jc w:val="right"/>
            </w:pPr>
            <w:r>
              <w:rPr>
                <w:sz w:val="17"/>
              </w:rPr>
              <w:t xml:space="preserve">0.6736</w:t>
            </w:r>
          </w:p>
        </w:tc>
        <w:tc>
          <w:tcPr/>
          <w:p>
            <w:pPr>
              <w:pStyle w:val="Compact"/>
              <w:jc w:val="right"/>
            </w:pPr>
            <w:r>
              <w:rPr>
                <w:sz w:val="17"/>
              </w:rPr>
              <w:t xml:space="preserve">0.6830</w:t>
            </w:r>
          </w:p>
        </w:tc>
      </w:tr>
    </w:tbl>
    <w:p>
      <w:pPr>
        <w:pStyle w:val="BodyText"/>
      </w:pPr>
      <w:r>
        <w:t xml:space="preserve">On 2013 loans sub_grade alone has AUC 0.6736 and interest rate alone 0.6735; on 2014 loans the figures are 0.6830 and 0.6808. A one-variable score that costs nothing is the benchmark every candidate has to beat.</w:t>
      </w:r>
    </w:p>
    <w:bookmarkEnd w:id="93"/>
    <w:bookmarkStart w:id="94" w:name="does-the-scorecard-add-value"/>
    <w:p>
      <w:pPr>
        <w:pStyle w:val="Heading2"/>
      </w:pPr>
      <w:r>
        <w:rPr>
          <w:rStyle w:val="SectionNumber"/>
        </w:rPr>
        <w:t xml:space="preserve">13.2</w:t>
      </w:r>
      <w:r>
        <w:tab/>
      </w:r>
      <w:r>
        <w:t xml:space="preserve">Does the scorecard add value?</w:t>
      </w:r>
    </w:p>
    <w:p>
      <w:pPr>
        <w:pStyle w:val="FirstParagraph"/>
      </w:pPr>
      <w:r>
        <w:t xml:space="preserve">The comparison table in section 12 gives the answer. SC_FULL differs from sub_grade by +0.0029 AUC on 2013 loans (DeLong p = 0.257, not significant, Amber) and by -0.0102 on 2014 loans (p = 4.7e-07, significant and negative, Red). In other words, the champion does not add significant discrimination to the lender's own score, and in 2014 it is slightly worse. This is the headline negative result of the validation.</w:t>
      </w:r>
    </w:p>
    <w:bookmarkEnd w:id="94"/>
    <w:bookmarkStart w:id="98" w:name="the-circularity"/>
    <w:p>
      <w:pPr>
        <w:pStyle w:val="Heading2"/>
      </w:pPr>
      <w:r>
        <w:rPr>
          <w:rStyle w:val="SectionNumber"/>
        </w:rPr>
        <w:t xml:space="preserve">13.3</w:t>
      </w:r>
      <w:r>
        <w:tab/>
      </w:r>
      <w:r>
        <w:t xml:space="preserve">The circularity</w:t>
      </w:r>
    </w:p>
    <w:p>
      <w:pPr>
        <w:pStyle w:val="FirstParagraph"/>
      </w:pPr>
      <w:r>
        <w:t xml:space="preserve">The independent scorecard SC_INDEP, built only from borrower and loan characteristics other than LendingClub's outputs, is behind the benchmark by -0.0263 and -0.0501 AUC (both Red), and adding it to sub_grade in a combined logit does not help either: the combined model is below sub_grade alone on 2013 (-0.0017 AUC, p = 0.497) and on 2014 (-0.0161, p = 1.0e-16). The cost of excluding the lender's own score is a Gini drop from 0.353 to 0.295 on 2013 and from 0.346 to 0.266 on 2014, and the independent model also decays faster over time.</w:t>
      </w:r>
    </w:p>
    <w:p>
      <w:pPr>
        <w:pStyle w:val="CaptionedFigure"/>
      </w:pPr>
      <w:r>
        <w:drawing>
          <wp:inline>
            <wp:extent cx="3733800" cy="3159369"/>
            <wp:effectExtent b="0" l="0" r="0" t="0"/>
            <wp:docPr descr="Gini with and without LendingClub's risk outputs." title="" id="96" name="Picture"/>
            <a:graphic>
              <a:graphicData uri="http://schemas.openxmlformats.org/drawingml/2006/picture">
                <pic:pic>
                  <pic:nvPicPr>
                    <pic:cNvPr descr="../python/outputs/charts/gini_full_vs_indep.png" id="97" name="Picture"/>
                    <pic:cNvPicPr>
                      <a:picLocks noChangeArrowheads="1" noChangeAspect="1"/>
                    </pic:cNvPicPr>
                  </pic:nvPicPr>
                  <pic:blipFill>
                    <a:blip r:embed="rId95"/>
                    <a:stretch>
                      <a:fillRect/>
                    </a:stretch>
                  </pic:blipFill>
                  <pic:spPr bwMode="auto">
                    <a:xfrm>
                      <a:off x="0" y="0"/>
                      <a:ext cx="3733800" cy="3159369"/>
                    </a:xfrm>
                    <a:prstGeom prst="rect">
                      <a:avLst/>
                    </a:prstGeom>
                    <a:noFill/>
                    <a:ln w="9525">
                      <a:noFill/>
                      <a:headEnd/>
                      <a:tailEnd/>
                    </a:ln>
                  </pic:spPr>
                </pic:pic>
              </a:graphicData>
            </a:graphic>
          </wp:inline>
        </w:drawing>
      </w:r>
    </w:p>
    <w:p>
      <w:pPr>
        <w:pStyle w:val="ImageCaption"/>
      </w:pPr>
      <w:r>
        <w:t xml:space="preserve">Gini with and without LendingClub's risk outputs.</w:t>
      </w:r>
    </w:p>
    <w:p>
      <w:pPr>
        <w:pStyle w:val="BodyText"/>
      </w:pPr>
      <w:r>
        <w:t xml:space="preserve">How to interpret this. LendingClub's grade summarises information the lender had at origination, much of it not in the public file (credit bureau attributes such as a FICO band). A model without it is missing real signal, so the lower SC_INDEP performance is not "bad modelling" alone. At the same time, a model that leans on the grade inherits the lender's own score, its drift and any errors in it, and cannot be called independent evidence of credit quality. The recommended handling is to report both models, document the dependency, and treat the independent model as the measure of what the borrower characteristics add on their own.</w:t>
      </w:r>
    </w:p>
    <w:bookmarkEnd w:id="98"/>
    <w:bookmarkEnd w:id="99"/>
    <w:bookmarkStart w:id="110" w:name="stability-by-vintage-psi-and-csi"/>
    <w:p>
      <w:pPr>
        <w:pStyle w:val="Heading1"/>
      </w:pPr>
      <w:r>
        <w:rPr>
          <w:rStyle w:val="SectionNumber"/>
        </w:rPr>
        <w:t xml:space="preserve">14</w:t>
      </w:r>
      <w:r>
        <w:tab/>
      </w:r>
      <w:r>
        <w:t xml:space="preserve">Stability by vintage: PSI and CSI</w:t>
      </w:r>
    </w:p>
    <w:bookmarkStart w:id="100" w:name="intuition-and-formula"/>
    <w:p>
      <w:pPr>
        <w:pStyle w:val="Heading2"/>
      </w:pPr>
      <w:r>
        <w:rPr>
          <w:rStyle w:val="SectionNumber"/>
        </w:rPr>
        <w:t xml:space="preserve">14.1</w:t>
      </w:r>
      <w:r>
        <w:tab/>
      </w:r>
      <w:r>
        <w:t xml:space="preserve">Intuition and formula</w:t>
      </w:r>
    </w:p>
    <w:p>
      <w:pPr>
        <w:pStyle w:val="FirstParagraph"/>
      </w:pPr>
      <w:r>
        <w:t xml:space="preserve">A model is only valid for the population it was built on. The</w:t>
      </w:r>
      <w:r>
        <w:t xml:space="preserve"> </w:t>
      </w:r>
      <w:r>
        <w:rPr>
          <w:b/>
          <w:bCs/>
        </w:rPr>
        <w:t xml:space="preserve">population stability index</w:t>
      </w:r>
      <w:r>
        <w:t xml:space="preserve"> </w:t>
      </w:r>
      <w:r>
        <w:t xml:space="preserve">(PSI) measures how much a distribution has moved. Bin the development scores into deciles and let</w:t>
      </w:r>
      <w:r>
        <w:t xml:space="preserve"> </w:t>
      </w:r>
      <m:oMath>
        <m:sSub>
          <m:e>
            <m:r>
              <m:t>e</m:t>
            </m:r>
          </m:e>
          <m:sub>
            <m:r>
              <m:t>i</m:t>
            </m:r>
          </m:sub>
        </m:sSub>
      </m:oMath>
      <w:r>
        <w:t xml:space="preserve"> </w:t>
      </w:r>
      <w:r>
        <w:t xml:space="preserve">be the share of development loans in bin</w:t>
      </w:r>
      <w:r>
        <w:t xml:space="preserve"> </w:t>
      </w:r>
      <m:oMath>
        <m:r>
          <m:t>i</m:t>
        </m:r>
      </m:oMath>
      <w:r>
        <w:t xml:space="preserve"> </w:t>
      </w:r>
      <w:r>
        <w:t xml:space="preserve">and</w:t>
      </w:r>
      <w:r>
        <w:t xml:space="preserve"> </w:t>
      </w:r>
      <m:oMath>
        <m:sSub>
          <m:e>
            <m:r>
              <m:t>a</m:t>
            </m:r>
          </m:e>
          <m:sub>
            <m:r>
              <m:t>i</m:t>
            </m:r>
          </m:sub>
        </m:sSub>
      </m:oMath>
      <w:r>
        <w:t xml:space="preserve"> </w:t>
      </w:r>
      <w:r>
        <w:t xml:space="preserve">the share of a later sample in the same bins:</w:t>
      </w:r>
    </w:p>
    <w:p>
      <w:pPr>
        <w:pStyle w:val="BodyText"/>
      </w:pPr>
      <m:oMathPara>
        <m:oMathParaPr>
          <m:jc m:val="center"/>
        </m:oMathParaPr>
        <m:oMath>
          <m:r>
            <m:rPr>
              <m:sty m:val="p"/>
            </m:rPr>
            <m:t>P</m:t>
          </m:r>
          <m:r>
            <m:rPr>
              <m:sty m:val="p"/>
            </m:rPr>
            <m:t>S</m:t>
          </m:r>
          <m:r>
            <m:rPr>
              <m:sty m:val="p"/>
            </m:rPr>
            <m:t>I</m:t>
          </m:r>
          <m:r>
            <m:rPr>
              <m:sty m:val="p"/>
            </m:rPr>
            <m:t>=</m:t>
          </m:r>
          <m:nary>
            <m:naryPr>
              <m:chr m:val="∑"/>
              <m:limLoc m:val="undOvr"/>
              <m:subHide m:val="off"/>
              <m:supHide m:val="on"/>
            </m:naryPr>
            <m:sub>
              <m:r>
                <m:t>i</m:t>
              </m:r>
            </m:sub>
            <m:sup>
              <m:r>
                <m:t>​</m:t>
              </m:r>
            </m:sup>
            <m:e>
              <m:r>
                <m:rPr>
                  <m:sty m:val="p"/>
                </m:rPr>
                <m:t>(</m:t>
              </m:r>
            </m:e>
          </m:nary>
          <m:sSub>
            <m:e>
              <m:r>
                <m:t>a</m:t>
              </m:r>
            </m:e>
            <m:sub>
              <m:r>
                <m:t>i</m:t>
              </m:r>
            </m:sub>
          </m:sSub>
          <m:r>
            <m:rPr>
              <m:sty m:val="p"/>
            </m:rPr>
            <m:t>−</m:t>
          </m:r>
          <m:sSub>
            <m:e>
              <m:r>
                <m:t>e</m:t>
              </m:r>
            </m:e>
            <m:sub>
              <m:r>
                <m:t>i</m:t>
              </m:r>
            </m:sub>
          </m:sSub>
          <m:r>
            <m:rPr>
              <m:sty m:val="p"/>
            </m:rPr>
            <m:t>)</m:t>
          </m:r>
          <m:r>
            <m:rPr>
              <m:sty m:val="p"/>
            </m:rPr>
            <m:t>ln</m:t>
          </m:r>
          <m:f>
            <m:fPr>
              <m:type m:val="bar"/>
            </m:fPr>
            <m:num>
              <m:sSub>
                <m:e>
                  <m:r>
                    <m:t>a</m:t>
                  </m:r>
                </m:e>
                <m:sub>
                  <m:r>
                    <m:t>i</m:t>
                  </m:r>
                </m:sub>
              </m:sSub>
            </m:num>
            <m:den>
              <m:sSub>
                <m:e>
                  <m:r>
                    <m:t>e</m:t>
                  </m:r>
                </m:e>
                <m:sub>
                  <m:r>
                    <m:t>i</m:t>
                  </m:r>
                </m:sub>
              </m:sSub>
            </m:den>
          </m:f>
          <m:r>
            <m:rPr>
              <m:sty m:val="p"/>
            </m:rPr>
            <m:t>.</m:t>
          </m:r>
        </m:oMath>
      </m:oMathPara>
    </w:p>
    <w:p>
      <w:pPr>
        <w:pStyle w:val="FirstParagraph"/>
      </w:pPr>
      <w:r>
        <w:t xml:space="preserve">Every term is non-negative, the index is zero when the distributions match, and it equals the sum of the two Kullback-Leibler divergences between them. Shares are floored at</w:t>
      </w:r>
      <w:r>
        <w:t xml:space="preserve"> </w:t>
      </w:r>
      <m:oMath>
        <m:sSup>
          <m:e>
            <m:r>
              <m:t>10</m:t>
            </m:r>
          </m:e>
          <m:sup>
            <m:r>
              <m:rPr>
                <m:sty m:val="p"/>
              </m:rPr>
              <m:t>−</m:t>
            </m:r>
            <m:r>
              <m:t>4</m:t>
            </m:r>
          </m:sup>
        </m:sSup>
      </m:oMath>
      <w:r>
        <w:t xml:space="preserve"> </w:t>
      </w:r>
      <w:r>
        <w:t xml:space="preserve">before the logarithm so an empty bin does not produce infinity. Rules of thumb: below 0.10 stable, 0.10 to 0.25 some shift, above 0.25 material shift. Applied to a model input it is called the</w:t>
      </w:r>
      <w:r>
        <w:t xml:space="preserve"> </w:t>
      </w:r>
      <w:r>
        <w:rPr>
          <w:b/>
          <w:bCs/>
        </w:rPr>
        <w:t xml:space="preserve">characteristic stability index</w:t>
      </w:r>
      <w:r>
        <w:t xml:space="preserve"> </w:t>
      </w:r>
      <w:r>
        <w:t xml:space="preserve">(CSI); numeric inputs use development deciles plus a separate missing bin and categorical inputs use their categories (</w:t>
      </w:r>
      <w:r>
        <w:rPr>
          <w:rStyle w:val="VerbatimChar"/>
        </w:rPr>
        <w:t xml:space="preserve">stability.psi</w:t>
      </w:r>
      <w:r>
        <w:t xml:space="preserve">,</w:t>
      </w:r>
      <w:r>
        <w:t xml:space="preserve"> </w:t>
      </w:r>
      <w:r>
        <w:rPr>
          <w:rStyle w:val="VerbatimChar"/>
        </w:rPr>
        <w:t xml:space="preserve">csi</w:t>
      </w:r>
      <w:r>
        <w:t xml:space="preserve">,</w:t>
      </w:r>
      <w:r>
        <w:t xml:space="preserve"> </w:t>
      </w:r>
      <w:r>
        <w:rPr>
          <w:rStyle w:val="VerbatimChar"/>
        </w:rPr>
        <w:t xml:space="preserve">psi_by_quarter</w:t>
      </w:r>
      <w:r>
        <w:t xml:space="preserve">).</w:t>
      </w:r>
    </w:p>
    <w:bookmarkEnd w:id="100"/>
    <w:bookmarkStart w:id="101" w:name="worked-example-initial_list_status"/>
    <w:p>
      <w:pPr>
        <w:pStyle w:val="Heading2"/>
      </w:pPr>
      <w:r>
        <w:rPr>
          <w:rStyle w:val="SectionNumber"/>
        </w:rPr>
        <w:t xml:space="preserve">14.2</w:t>
      </w:r>
      <w:r>
        <w:tab/>
      </w:r>
      <w:r>
        <w:t xml:space="preserve">Worked example: initial_list_status</w:t>
      </w:r>
    </w:p>
    <w:p>
      <w:pPr>
        <w:pStyle w:val="FirstParagraph"/>
      </w:pPr>
      <w:r>
        <w:t xml:space="preserve">The field takes two values. In the development training sample and in 2014 loans the shares are:</w:t>
      </w:r>
    </w:p>
    <w:p>
      <w:pPr>
        <w:pStyle w:val="TableCaption"/>
      </w:pPr>
      <w:r>
        <w:t xml:space="preserve">PSI by hand for initial_list_status, development training sample versus 2014 loans. The total is 1.5775, matching the CSI in</w:t>
      </w:r>
      <w:r>
        <w:t xml:space="preserve"> </w:t>
      </w:r>
      <w:r>
        <w:rPr>
          <w:rStyle w:val="VerbatimChar"/>
        </w:rPr>
        <w:t xml:space="preserve">psi_csi.csv</w:t>
      </w:r>
      <w:r>
        <w:t xml:space="preserve">.</w:t>
      </w:r>
    </w:p>
    <w:tbl>
      <w:tblPr>
        <w:tblStyle w:val="Table"/>
        <w:tblW w:type="pct" w:w="5000"/>
        <w:tblLayout w:type="fixed"/>
        <w:tblLook w:firstRow="1" w:lastRow="0" w:firstColumn="0" w:lastColumn="0" w:noHBand="0" w:noVBand="0" w:val="0020"/>
        <w:tblCaption w:val="PSI by hand for initial_list_status, development training sample versus 2014 loans. The total is 1.5775, matching the CSI in psi_csi.csv."/>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18"/>
        <w:gridCol w:w="1447"/>
        <w:gridCol w:w="1192"/>
        <w:gridCol w:w="851"/>
        <w:gridCol w:w="1788"/>
        <w:gridCol w:w="1021"/>
      </w:tblGrid>
      <w:tr>
        <w:trPr>
          <w:tblHeader w:val="on"/>
        </w:trPr>
        <w:tc>
          <w:tcPr/>
          <w:p>
            <w:pPr>
              <w:pStyle w:val="Compact"/>
              <w:jc w:val="left"/>
            </w:pPr>
            <w:r>
              <w:rPr>
                <w:sz w:val="17"/>
              </w:rPr>
              <w:t xml:space="preserve">initial_list_status</w:t>
            </w:r>
          </w:p>
        </w:tc>
        <w:tc>
          <w:tcPr/>
          <w:p>
            <w:pPr>
              <w:pStyle w:val="Compact"/>
              <w:jc w:val="right"/>
            </w:pPr>
            <w:r>
              <w:rPr>
                <w:sz w:val="17"/>
              </w:rPr>
              <w:t xml:space="preserve">Development share</w:t>
            </w:r>
          </w:p>
        </w:tc>
        <w:tc>
          <w:tcPr/>
          <w:p>
            <w:pPr>
              <w:pStyle w:val="Compact"/>
              <w:jc w:val="right"/>
            </w:pPr>
            <w:r>
              <w:rPr>
                <w:sz w:val="17"/>
              </w:rPr>
              <w:t xml:space="preserve">OOT 2014 share</w:t>
            </w:r>
          </w:p>
        </w:tc>
        <w:tc>
          <w:tcPr/>
          <w:p>
            <w:pPr>
              <w:pStyle w:val="Compact"/>
              <w:jc w:val="right"/>
            </w:pPr>
            <w:r>
              <w:rPr>
                <w:sz w:val="17"/>
              </w:rPr>
              <w:t xml:space="preserve">Difference</w:t>
            </w:r>
          </w:p>
        </w:tc>
        <w:tc>
          <w:tcPr/>
          <w:p>
            <w:pPr>
              <w:pStyle w:val="Compact"/>
              <w:jc w:val="right"/>
            </w:pPr>
            <w:r>
              <w:rPr>
                <w:sz w:val="17"/>
              </w:rPr>
              <w:t xml:space="preserve">ln(actual / expected)</w:t>
            </w:r>
          </w:p>
        </w:tc>
        <w:tc>
          <w:tcPr/>
          <w:p>
            <w:pPr>
              <w:pStyle w:val="Compact"/>
              <w:jc w:val="right"/>
            </w:pPr>
            <w:r>
              <w:rPr>
                <w:sz w:val="17"/>
              </w:rPr>
              <w:t xml:space="preserve">Contribution</w:t>
            </w:r>
          </w:p>
        </w:tc>
      </w:tr>
      <w:tr>
        <w:tc>
          <w:tcPr/>
          <w:p>
            <w:pPr>
              <w:pStyle w:val="Compact"/>
              <w:jc w:val="left"/>
            </w:pPr>
            <w:r>
              <w:rPr>
                <w:sz w:val="17"/>
              </w:rPr>
              <w:t xml:space="preserve">f</w:t>
            </w:r>
          </w:p>
        </w:tc>
        <w:tc>
          <w:tcPr/>
          <w:p>
            <w:pPr>
              <w:pStyle w:val="Compact"/>
              <w:jc w:val="right"/>
            </w:pPr>
            <w:r>
              <w:rPr>
                <w:sz w:val="17"/>
              </w:rPr>
              <w:t xml:space="preserve">95.81%</w:t>
            </w:r>
          </w:p>
        </w:tc>
        <w:tc>
          <w:tcPr/>
          <w:p>
            <w:pPr>
              <w:pStyle w:val="Compact"/>
              <w:jc w:val="right"/>
            </w:pPr>
            <w:r>
              <w:rPr>
                <w:sz w:val="17"/>
              </w:rPr>
              <w:t xml:space="preserve">47.16%</w:t>
            </w:r>
          </w:p>
        </w:tc>
        <w:tc>
          <w:tcPr/>
          <w:p>
            <w:pPr>
              <w:pStyle w:val="Compact"/>
              <w:jc w:val="right"/>
            </w:pPr>
            <w:r>
              <w:rPr>
                <w:sz w:val="17"/>
              </w:rPr>
              <w:t xml:space="preserve">-48.65 pp</w:t>
            </w:r>
          </w:p>
        </w:tc>
        <w:tc>
          <w:tcPr/>
          <w:p>
            <w:pPr>
              <w:pStyle w:val="Compact"/>
              <w:jc w:val="right"/>
            </w:pPr>
            <w:r>
              <w:rPr>
                <w:sz w:val="17"/>
              </w:rPr>
              <w:t xml:space="preserve">-0.7088</w:t>
            </w:r>
          </w:p>
        </w:tc>
        <w:tc>
          <w:tcPr/>
          <w:p>
            <w:pPr>
              <w:pStyle w:val="Compact"/>
              <w:jc w:val="right"/>
            </w:pPr>
            <w:r>
              <w:rPr>
                <w:sz w:val="17"/>
              </w:rPr>
              <w:t xml:space="preserve">0.3448</w:t>
            </w:r>
          </w:p>
        </w:tc>
      </w:tr>
      <w:tr>
        <w:tc>
          <w:tcPr/>
          <w:p>
            <w:pPr>
              <w:pStyle w:val="Compact"/>
              <w:jc w:val="left"/>
            </w:pPr>
            <w:r>
              <w:rPr>
                <w:sz w:val="17"/>
              </w:rPr>
              <w:t xml:space="preserve">w</w:t>
            </w:r>
          </w:p>
        </w:tc>
        <w:tc>
          <w:tcPr/>
          <w:p>
            <w:pPr>
              <w:pStyle w:val="Compact"/>
              <w:jc w:val="right"/>
            </w:pPr>
            <w:r>
              <w:rPr>
                <w:sz w:val="17"/>
              </w:rPr>
              <w:t xml:space="preserve">4.19%</w:t>
            </w:r>
          </w:p>
        </w:tc>
        <w:tc>
          <w:tcPr/>
          <w:p>
            <w:pPr>
              <w:pStyle w:val="Compact"/>
              <w:jc w:val="right"/>
            </w:pPr>
            <w:r>
              <w:rPr>
                <w:sz w:val="17"/>
              </w:rPr>
              <w:t xml:space="preserve">52.84%</w:t>
            </w:r>
          </w:p>
        </w:tc>
        <w:tc>
          <w:tcPr/>
          <w:p>
            <w:pPr>
              <w:pStyle w:val="Compact"/>
              <w:jc w:val="right"/>
            </w:pPr>
            <w:r>
              <w:rPr>
                <w:sz w:val="17"/>
              </w:rPr>
              <w:t xml:space="preserve">+48.65 pp</w:t>
            </w:r>
          </w:p>
        </w:tc>
        <w:tc>
          <w:tcPr/>
          <w:p>
            <w:pPr>
              <w:pStyle w:val="Compact"/>
              <w:jc w:val="right"/>
            </w:pPr>
            <w:r>
              <w:rPr>
                <w:sz w:val="17"/>
              </w:rPr>
              <w:t xml:space="preserve">2.5341</w:t>
            </w:r>
          </w:p>
        </w:tc>
        <w:tc>
          <w:tcPr/>
          <w:p>
            <w:pPr>
              <w:pStyle w:val="Compact"/>
              <w:jc w:val="right"/>
            </w:pPr>
            <w:r>
              <w:rPr>
                <w:sz w:val="17"/>
              </w:rPr>
              <w:t xml:space="preserve">1.2327</w:t>
            </w:r>
          </w:p>
        </w:tc>
      </w:tr>
    </w:tbl>
    <w:p>
      <w:pPr>
        <w:pStyle w:val="BodyText"/>
      </w:pPr>
      <w:r>
        <w:t xml:space="preserve">Each row contributes (actual minus expected) times the log ratio; the "w" row dominates because its share moved from a few percent to about half of the loans. That is the structural break from section 3, not borrower behaviour.</w:t>
      </w:r>
    </w:p>
    <w:bookmarkEnd w:id="101"/>
    <w:bookmarkStart w:id="102" w:name="results-1"/>
    <w:p>
      <w:pPr>
        <w:pStyle w:val="Heading2"/>
      </w:pPr>
      <w:r>
        <w:rPr>
          <w:rStyle w:val="SectionNumber"/>
        </w:rPr>
        <w:t xml:space="preserve">14.3</w:t>
      </w:r>
      <w:r>
        <w:tab/>
      </w:r>
      <w:r>
        <w:t xml:space="preserve">Results</w:t>
      </w:r>
    </w:p>
    <w:p>
      <w:pPr>
        <w:pStyle w:val="TableCaption"/>
      </w:pPr>
      <w:r>
        <w:t xml:space="preserve">Score PSI against the development training sample.</w:t>
      </w:r>
    </w:p>
    <w:tbl>
      <w:tblPr>
        <w:tblStyle w:val="Table"/>
        <w:tblW w:type="auto" w:w="0"/>
        <w:tblLook w:firstRow="1" w:lastRow="0" w:firstColumn="0" w:lastColumn="0" w:noHBand="0" w:noVBand="0" w:val="0020"/>
        <w:tblCaption w:val="Score PSI against the development training sampl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p>
            <w:pPr>
              <w:pStyle w:val="Compact"/>
              <w:jc w:val="left"/>
            </w:pPr>
            <w:r>
              <w:rPr>
                <w:sz w:val="17"/>
              </w:rPr>
              <w:t xml:space="preserve">Model</w:t>
            </w:r>
          </w:p>
        </w:tc>
        <w:tc>
          <w:tcPr/>
          <w:p>
            <w:pPr>
              <w:pStyle w:val="Compact"/>
              <w:jc w:val="right"/>
            </w:pPr>
            <w:r>
              <w:rPr>
                <w:sz w:val="17"/>
              </w:rPr>
              <w:t xml:space="preserve">Dev holdout</w:t>
            </w:r>
          </w:p>
        </w:tc>
        <w:tc>
          <w:tcPr/>
          <w:p>
            <w:pPr>
              <w:pStyle w:val="Compact"/>
              <w:jc w:val="right"/>
            </w:pPr>
            <w:r>
              <w:rPr>
                <w:sz w:val="17"/>
              </w:rPr>
              <w:t xml:space="preserve">OOT 2013</w:t>
            </w:r>
          </w:p>
        </w:tc>
        <w:tc>
          <w:tcPr/>
          <w:p>
            <w:pPr>
              <w:pStyle w:val="Compact"/>
              <w:jc w:val="right"/>
            </w:pPr>
            <w:r>
              <w:rPr>
                <w:sz w:val="17"/>
              </w:rPr>
              <w:t xml:space="preserve">OOT 2014</w:t>
            </w:r>
          </w:p>
        </w:tc>
      </w:tr>
      <w:tr>
        <w:tc>
          <w:tcPr/>
          <w:p>
            <w:pPr>
              <w:pStyle w:val="Compact"/>
              <w:jc w:val="left"/>
            </w:pPr>
            <w:r>
              <w:rPr>
                <w:sz w:val="17"/>
              </w:rPr>
              <w:t xml:space="preserve">lgbm</w:t>
            </w:r>
          </w:p>
        </w:tc>
        <w:tc>
          <w:tcPr/>
          <w:p>
            <w:pPr>
              <w:pStyle w:val="Compact"/>
              <w:jc w:val="right"/>
            </w:pPr>
            <w:r>
              <w:rPr>
                <w:sz w:val="17"/>
              </w:rPr>
              <w:t xml:space="preserve">0.0006</w:t>
            </w:r>
          </w:p>
        </w:tc>
        <w:tc>
          <w:tcPr/>
          <w:p>
            <w:pPr>
              <w:pStyle w:val="Compact"/>
              <w:jc w:val="right"/>
            </w:pPr>
            <w:r>
              <w:rPr>
                <w:sz w:val="17"/>
              </w:rPr>
              <w:t xml:space="preserve">0.0100</w:t>
            </w:r>
          </w:p>
        </w:tc>
        <w:tc>
          <w:tcPr/>
          <w:p>
            <w:pPr>
              <w:pStyle w:val="Compact"/>
              <w:jc w:val="right"/>
            </w:pPr>
            <w:r>
              <w:rPr>
                <w:sz w:val="17"/>
              </w:rPr>
              <w:t xml:space="preserve">0.0152</w:t>
            </w:r>
          </w:p>
        </w:tc>
      </w:tr>
      <w:tr>
        <w:tc>
          <w:tcPr/>
          <w:p>
            <w:pPr>
              <w:pStyle w:val="Compact"/>
              <w:jc w:val="left"/>
            </w:pPr>
            <w:r>
              <w:rPr>
                <w:sz w:val="17"/>
              </w:rPr>
              <w:t xml:space="preserve">repro_original</w:t>
            </w:r>
          </w:p>
        </w:tc>
        <w:tc>
          <w:tcPr/>
          <w:p>
            <w:pPr>
              <w:pStyle w:val="Compact"/>
              <w:jc w:val="right"/>
            </w:pPr>
            <w:r>
              <w:rPr>
                <w:sz w:val="17"/>
              </w:rPr>
              <w:t xml:space="preserve">0.0009</w:t>
            </w:r>
          </w:p>
        </w:tc>
        <w:tc>
          <w:tcPr/>
          <w:p>
            <w:pPr>
              <w:pStyle w:val="Compact"/>
              <w:jc w:val="right"/>
            </w:pPr>
            <w:r>
              <w:rPr>
                <w:sz w:val="17"/>
              </w:rPr>
              <w:t xml:space="preserve">0.0822</w:t>
            </w:r>
          </w:p>
        </w:tc>
        <w:tc>
          <w:tcPr/>
          <w:p>
            <w:pPr>
              <w:pStyle w:val="Compact"/>
              <w:jc w:val="right"/>
            </w:pPr>
            <w:r>
              <w:rPr>
                <w:sz w:val="17"/>
              </w:rPr>
              <w:t xml:space="preserve">0.9117</w:t>
            </w:r>
          </w:p>
        </w:tc>
      </w:tr>
      <w:tr>
        <w:tc>
          <w:tcPr/>
          <w:p>
            <w:pPr>
              <w:pStyle w:val="Compact"/>
              <w:jc w:val="left"/>
            </w:pPr>
            <w:r>
              <w:rPr>
                <w:sz w:val="17"/>
              </w:rPr>
              <w:t xml:space="preserve">sc_full</w:t>
            </w:r>
          </w:p>
        </w:tc>
        <w:tc>
          <w:tcPr/>
          <w:p>
            <w:pPr>
              <w:pStyle w:val="Compact"/>
              <w:jc w:val="right"/>
            </w:pPr>
            <w:r>
              <w:rPr>
                <w:sz w:val="17"/>
              </w:rPr>
              <w:t xml:space="preserve">0.0007</w:t>
            </w:r>
          </w:p>
        </w:tc>
        <w:tc>
          <w:tcPr/>
          <w:p>
            <w:pPr>
              <w:pStyle w:val="Compact"/>
              <w:jc w:val="right"/>
            </w:pPr>
            <w:r>
              <w:rPr>
                <w:sz w:val="17"/>
              </w:rPr>
              <w:t xml:space="preserve">0.0026</w:t>
            </w:r>
          </w:p>
        </w:tc>
        <w:tc>
          <w:tcPr/>
          <w:p>
            <w:pPr>
              <w:pStyle w:val="Compact"/>
              <w:jc w:val="right"/>
            </w:pPr>
            <w:r>
              <w:rPr>
                <w:sz w:val="17"/>
              </w:rPr>
              <w:t xml:space="preserve">0.0067</w:t>
            </w:r>
          </w:p>
        </w:tc>
      </w:tr>
      <w:tr>
        <w:tc>
          <w:tcPr/>
          <w:p>
            <w:pPr>
              <w:pStyle w:val="Compact"/>
              <w:jc w:val="left"/>
            </w:pPr>
            <w:r>
              <w:rPr>
                <w:sz w:val="17"/>
              </w:rPr>
              <w:t xml:space="preserve">sc_indep</w:t>
            </w:r>
          </w:p>
        </w:tc>
        <w:tc>
          <w:tcPr/>
          <w:p>
            <w:pPr>
              <w:pStyle w:val="Compact"/>
              <w:jc w:val="right"/>
            </w:pPr>
            <w:r>
              <w:rPr>
                <w:sz w:val="17"/>
              </w:rPr>
              <w:t xml:space="preserve">0.0007</w:t>
            </w:r>
          </w:p>
        </w:tc>
        <w:tc>
          <w:tcPr/>
          <w:p>
            <w:pPr>
              <w:pStyle w:val="Compact"/>
              <w:jc w:val="right"/>
            </w:pPr>
            <w:r>
              <w:rPr>
                <w:sz w:val="17"/>
              </w:rPr>
              <w:t xml:space="preserve">0.0098</w:t>
            </w:r>
          </w:p>
        </w:tc>
        <w:tc>
          <w:tcPr/>
          <w:p>
            <w:pPr>
              <w:pStyle w:val="Compact"/>
              <w:jc w:val="right"/>
            </w:pPr>
            <w:r>
              <w:rPr>
                <w:sz w:val="17"/>
              </w:rPr>
              <w:t xml:space="preserve">0.0095</w:t>
            </w:r>
          </w:p>
        </w:tc>
      </w:tr>
      <w:tr>
        <w:tc>
          <w:tcPr/>
          <w:p>
            <w:pPr>
              <w:pStyle w:val="Compact"/>
              <w:jc w:val="left"/>
            </w:pPr>
            <w:r>
              <w:rPr>
                <w:sz w:val="17"/>
              </w:rPr>
              <w:t xml:space="preserve">xgb</w:t>
            </w:r>
          </w:p>
        </w:tc>
        <w:tc>
          <w:tcPr/>
          <w:p>
            <w:pPr>
              <w:pStyle w:val="Compact"/>
              <w:jc w:val="right"/>
            </w:pPr>
            <w:r>
              <w:rPr>
                <w:sz w:val="17"/>
              </w:rPr>
              <w:t xml:space="preserve">0.0007</w:t>
            </w:r>
          </w:p>
        </w:tc>
        <w:tc>
          <w:tcPr/>
          <w:p>
            <w:pPr>
              <w:pStyle w:val="Compact"/>
              <w:jc w:val="right"/>
            </w:pPr>
            <w:r>
              <w:rPr>
                <w:sz w:val="17"/>
              </w:rPr>
              <w:t xml:space="preserve">0.0149</w:t>
            </w:r>
          </w:p>
        </w:tc>
        <w:tc>
          <w:tcPr/>
          <w:p>
            <w:pPr>
              <w:pStyle w:val="Compact"/>
              <w:jc w:val="right"/>
            </w:pPr>
            <w:r>
              <w:rPr>
                <w:sz w:val="17"/>
              </w:rPr>
              <w:t xml:space="preserve">0.0078</w:t>
            </w:r>
          </w:p>
        </w:tc>
      </w:tr>
    </w:tbl>
    <w:p>
      <w:pPr>
        <w:pStyle w:val="BodyText"/>
      </w:pPr>
      <w:r>
        <w:t xml:space="preserve">Score PSI is tiny for the scorecard and the trees (SC_FULL 0.0026 in 2013 and 0.0067 in 2014), and the largest quarterly PSI over the out-of-time quarters is 0.0175 for SC_FULL across all quarters. The score distribution is stable because the models rank on a handful of characteristics whose joint distribution did not move much. The reproduced original model is the exception (section 9).</w:t>
      </w:r>
    </w:p>
    <w:p>
      <w:pPr>
        <w:pStyle w:val="TableCaption"/>
      </w:pPr>
      <w:r>
        <w:t xml:space="preserve">Largest characteristic stability indices, ranked by 2014. The development reference is the training sample of the champion.</w:t>
      </w:r>
    </w:p>
    <w:tbl>
      <w:tblPr>
        <w:tblStyle w:val="Table"/>
        <w:tblW w:type="auto" w:w="0"/>
        <w:tblLook w:firstRow="1" w:lastRow="0" w:firstColumn="0" w:lastColumn="0" w:noHBand="0" w:noVBand="0" w:val="0020"/>
        <w:tblCaption w:val="Largest characteristic stability indices, ranked by 2014. The development reference is the training sample of the champio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Feature</w:t>
            </w:r>
          </w:p>
        </w:tc>
        <w:tc>
          <w:tcPr/>
          <w:p>
            <w:pPr>
              <w:pStyle w:val="Compact"/>
              <w:jc w:val="right"/>
            </w:pPr>
            <w:r>
              <w:rPr>
                <w:sz w:val="17"/>
              </w:rPr>
              <w:t xml:space="preserve">CSI OOT 2013</w:t>
            </w:r>
          </w:p>
        </w:tc>
        <w:tc>
          <w:tcPr/>
          <w:p>
            <w:pPr>
              <w:pStyle w:val="Compact"/>
              <w:jc w:val="right"/>
            </w:pPr>
            <w:r>
              <w:rPr>
                <w:sz w:val="17"/>
              </w:rPr>
              <w:t xml:space="preserve">CSI OOT 2014</w:t>
            </w:r>
          </w:p>
        </w:tc>
      </w:tr>
      <w:tr>
        <w:tc>
          <w:tcPr/>
          <w:p>
            <w:pPr>
              <w:pStyle w:val="Compact"/>
              <w:jc w:val="left"/>
            </w:pPr>
            <w:r>
              <w:rPr>
                <w:sz w:val="17"/>
              </w:rPr>
              <w:t xml:space="preserve">initial_list_status</w:t>
            </w:r>
          </w:p>
        </w:tc>
        <w:tc>
          <w:tcPr/>
          <w:p>
            <w:pPr>
              <w:pStyle w:val="Compact"/>
              <w:jc w:val="right"/>
            </w:pPr>
            <w:r>
              <w:rPr>
                <w:sz w:val="17"/>
              </w:rPr>
              <w:t xml:space="preserve">0.4752</w:t>
            </w:r>
          </w:p>
        </w:tc>
        <w:tc>
          <w:tcPr/>
          <w:p>
            <w:pPr>
              <w:pStyle w:val="Compact"/>
              <w:jc w:val="right"/>
            </w:pPr>
            <w:r>
              <w:rPr>
                <w:sz w:val="17"/>
              </w:rPr>
              <w:t xml:space="preserve">1.5775</w:t>
            </w:r>
          </w:p>
        </w:tc>
      </w:tr>
      <w:tr>
        <w:tc>
          <w:tcPr/>
          <w:p>
            <w:pPr>
              <w:pStyle w:val="Compact"/>
              <w:jc w:val="left"/>
            </w:pPr>
            <w:r>
              <w:rPr>
                <w:sz w:val="17"/>
              </w:rPr>
              <w:t xml:space="preserve">mths_since_last_record</w:t>
            </w:r>
          </w:p>
        </w:tc>
        <w:tc>
          <w:tcPr/>
          <w:p>
            <w:pPr>
              <w:pStyle w:val="Compact"/>
              <w:jc w:val="right"/>
            </w:pPr>
            <w:r>
              <w:rPr>
                <w:sz w:val="17"/>
              </w:rPr>
              <w:t xml:space="preserve">0.1368</w:t>
            </w:r>
          </w:p>
        </w:tc>
        <w:tc>
          <w:tcPr/>
          <w:p>
            <w:pPr>
              <w:pStyle w:val="Compact"/>
              <w:jc w:val="right"/>
            </w:pPr>
            <w:r>
              <w:rPr>
                <w:sz w:val="17"/>
              </w:rPr>
              <w:t xml:space="preserve">0.3647</w:t>
            </w:r>
          </w:p>
        </w:tc>
      </w:tr>
      <w:tr>
        <w:tc>
          <w:tcPr/>
          <w:p>
            <w:pPr>
              <w:pStyle w:val="Compact"/>
              <w:jc w:val="left"/>
            </w:pPr>
            <w:r>
              <w:rPr>
                <w:sz w:val="17"/>
              </w:rPr>
              <w:t xml:space="preserve">purpose</w:t>
            </w:r>
          </w:p>
        </w:tc>
        <w:tc>
          <w:tcPr/>
          <w:p>
            <w:pPr>
              <w:pStyle w:val="Compact"/>
              <w:jc w:val="right"/>
            </w:pPr>
            <w:r>
              <w:rPr>
                <w:sz w:val="17"/>
              </w:rPr>
              <w:t xml:space="preserve">0.1755</w:t>
            </w:r>
          </w:p>
        </w:tc>
        <w:tc>
          <w:tcPr/>
          <w:p>
            <w:pPr>
              <w:pStyle w:val="Compact"/>
              <w:jc w:val="right"/>
            </w:pPr>
            <w:r>
              <w:rPr>
                <w:sz w:val="17"/>
              </w:rPr>
              <w:t xml:space="preserve">0.2485</w:t>
            </w:r>
          </w:p>
        </w:tc>
      </w:tr>
      <w:tr>
        <w:tc>
          <w:tcPr/>
          <w:p>
            <w:pPr>
              <w:pStyle w:val="Compact"/>
              <w:jc w:val="left"/>
            </w:pPr>
            <w:r>
              <w:rPr>
                <w:sz w:val="17"/>
              </w:rPr>
              <w:t xml:space="preserve">pub_rec</w:t>
            </w:r>
          </w:p>
        </w:tc>
        <w:tc>
          <w:tcPr/>
          <w:p>
            <w:pPr>
              <w:pStyle w:val="Compact"/>
              <w:jc w:val="right"/>
            </w:pPr>
            <w:r>
              <w:rPr>
                <w:sz w:val="17"/>
              </w:rPr>
              <w:t xml:space="preserve">0.0964</w:t>
            </w:r>
          </w:p>
        </w:tc>
        <w:tc>
          <w:tcPr/>
          <w:p>
            <w:pPr>
              <w:pStyle w:val="Compact"/>
              <w:jc w:val="right"/>
            </w:pPr>
            <w:r>
              <w:rPr>
                <w:sz w:val="17"/>
              </w:rPr>
              <w:t xml:space="preserve">0.2327</w:t>
            </w:r>
          </w:p>
        </w:tc>
      </w:tr>
      <w:tr>
        <w:tc>
          <w:tcPr/>
          <w:p>
            <w:pPr>
              <w:pStyle w:val="Compact"/>
              <w:jc w:val="left"/>
            </w:pPr>
            <w:r>
              <w:rPr>
                <w:sz w:val="17"/>
              </w:rPr>
              <w:t xml:space="preserve">addr_state</w:t>
            </w:r>
          </w:p>
        </w:tc>
        <w:tc>
          <w:tcPr/>
          <w:p>
            <w:pPr>
              <w:pStyle w:val="Compact"/>
              <w:jc w:val="right"/>
            </w:pPr>
            <w:r>
              <w:rPr>
                <w:sz w:val="17"/>
              </w:rPr>
              <w:t xml:space="preserve">0.1392</w:t>
            </w:r>
          </w:p>
        </w:tc>
        <w:tc>
          <w:tcPr/>
          <w:p>
            <w:pPr>
              <w:pStyle w:val="Compact"/>
              <w:jc w:val="right"/>
            </w:pPr>
            <w:r>
              <w:rPr>
                <w:sz w:val="17"/>
              </w:rPr>
              <w:t xml:space="preserve">0.1739</w:t>
            </w:r>
          </w:p>
        </w:tc>
      </w:tr>
      <w:tr>
        <w:tc>
          <w:tcPr/>
          <w:p>
            <w:pPr>
              <w:pStyle w:val="Compact"/>
              <w:jc w:val="left"/>
            </w:pPr>
            <w:r>
              <w:rPr>
                <w:sz w:val="17"/>
              </w:rPr>
              <w:t xml:space="preserve">dti</w:t>
            </w:r>
          </w:p>
        </w:tc>
        <w:tc>
          <w:tcPr/>
          <w:p>
            <w:pPr>
              <w:pStyle w:val="Compact"/>
              <w:jc w:val="right"/>
            </w:pPr>
            <w:r>
              <w:rPr>
                <w:sz w:val="17"/>
              </w:rPr>
              <w:t xml:space="preserve">0.0878</w:t>
            </w:r>
          </w:p>
        </w:tc>
        <w:tc>
          <w:tcPr/>
          <w:p>
            <w:pPr>
              <w:pStyle w:val="Compact"/>
              <w:jc w:val="right"/>
            </w:pPr>
            <w:r>
              <w:rPr>
                <w:sz w:val="17"/>
              </w:rPr>
              <w:t xml:space="preserve">0.1458</w:t>
            </w:r>
          </w:p>
        </w:tc>
      </w:tr>
      <w:tr>
        <w:tc>
          <w:tcPr/>
          <w:p>
            <w:pPr>
              <w:pStyle w:val="Compact"/>
              <w:jc w:val="left"/>
            </w:pPr>
            <w:r>
              <w:rPr>
                <w:sz w:val="17"/>
              </w:rPr>
              <w:t xml:space="preserve">verification_status</w:t>
            </w:r>
          </w:p>
        </w:tc>
        <w:tc>
          <w:tcPr/>
          <w:p>
            <w:pPr>
              <w:pStyle w:val="Compact"/>
              <w:jc w:val="right"/>
            </w:pPr>
            <w:r>
              <w:rPr>
                <w:sz w:val="17"/>
              </w:rPr>
              <w:t xml:space="preserve">0.0721</w:t>
            </w:r>
          </w:p>
        </w:tc>
        <w:tc>
          <w:tcPr/>
          <w:p>
            <w:pPr>
              <w:pStyle w:val="Compact"/>
              <w:jc w:val="right"/>
            </w:pPr>
            <w:r>
              <w:rPr>
                <w:sz w:val="17"/>
              </w:rPr>
              <w:t xml:space="preserve">0.1434</w:t>
            </w:r>
          </w:p>
        </w:tc>
      </w:tr>
      <w:tr>
        <w:tc>
          <w:tcPr/>
          <w:p>
            <w:pPr>
              <w:pStyle w:val="Compact"/>
              <w:jc w:val="left"/>
            </w:pPr>
            <w:r>
              <w:rPr>
                <w:sz w:val="17"/>
              </w:rPr>
              <w:t xml:space="preserve">credit_age_m</w:t>
            </w:r>
          </w:p>
        </w:tc>
        <w:tc>
          <w:tcPr/>
          <w:p>
            <w:pPr>
              <w:pStyle w:val="Compact"/>
              <w:jc w:val="right"/>
            </w:pPr>
            <w:r>
              <w:rPr>
                <w:sz w:val="17"/>
              </w:rPr>
              <w:t xml:space="preserve">0.0729</w:t>
            </w:r>
          </w:p>
        </w:tc>
        <w:tc>
          <w:tcPr/>
          <w:p>
            <w:pPr>
              <w:pStyle w:val="Compact"/>
              <w:jc w:val="right"/>
            </w:pPr>
            <w:r>
              <w:rPr>
                <w:sz w:val="17"/>
              </w:rPr>
              <w:t xml:space="preserve">0.1350</w:t>
            </w:r>
          </w:p>
        </w:tc>
      </w:tr>
    </w:tbl>
    <w:p>
      <w:pPr>
        <w:pStyle w:val="BodyText"/>
      </w:pPr>
      <w:r>
        <w:t xml:space="preserve">initial_list_status is Red in both years (0.475 and 1.578); mths_since_last_record rises from 0.137 to 0.365 (Red in 2014); purpose and state also drift into the Amber range. The maximum CSI is rated Red on both samples (0.475 and 1.578) with 1 and 2 features in the Red zone. This does not invalidate the score (it is stable) but confirms that the development period mixes data regimes, and it argues for monitoring the inputs as well as the output.</w:t>
      </w:r>
    </w:p>
    <w:bookmarkEnd w:id="102"/>
    <w:bookmarkStart w:id="109" w:name="performance-by-vintage"/>
    <w:p>
      <w:pPr>
        <w:pStyle w:val="Heading2"/>
      </w:pPr>
      <w:r>
        <w:rPr>
          <w:rStyle w:val="SectionNumber"/>
        </w:rPr>
        <w:t xml:space="preserve">14.4</w:t>
      </w:r>
      <w:r>
        <w:tab/>
      </w:r>
      <w:r>
        <w:t xml:space="preserve">Performance by vintage</w:t>
      </w:r>
    </w:p>
    <w:p>
      <w:pPr>
        <w:pStyle w:val="TableCaption"/>
      </w:pPr>
      <w:r>
        <w:t xml:space="preserve">Gini by issue year on the development and out-of-time samples (champion, independent scorecard and LightGBM). Early years are small samples.</w:t>
      </w:r>
    </w:p>
    <w:tbl>
      <w:tblPr>
        <w:tblStyle w:val="Table"/>
        <w:tblW w:type="auto" w:w="0"/>
        <w:tblLook w:firstRow="1" w:lastRow="0" w:firstColumn="0" w:lastColumn="0" w:noHBand="0" w:noVBand="0" w:val="0020"/>
        <w:tblCaption w:val="Gini by issue year on the development and out-of-time samples (champion, independent scorecard and LightGBM). Early years are small sample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Issue year</w:t>
            </w:r>
          </w:p>
        </w:tc>
        <w:tc>
          <w:tcPr/>
          <w:p>
            <w:pPr>
              <w:pStyle w:val="Compact"/>
              <w:jc w:val="right"/>
            </w:pPr>
            <w:r>
              <w:rPr>
                <w:sz w:val="17"/>
              </w:rPr>
              <w:t xml:space="preserve">Loans</w:t>
            </w:r>
          </w:p>
        </w:tc>
        <w:tc>
          <w:tcPr/>
          <w:p>
            <w:pPr>
              <w:pStyle w:val="Compact"/>
              <w:jc w:val="right"/>
            </w:pPr>
            <w:r>
              <w:rPr>
                <w:sz w:val="17"/>
              </w:rPr>
              <w:t xml:space="preserve">Gini SC_FULL</w:t>
            </w:r>
          </w:p>
        </w:tc>
        <w:tc>
          <w:tcPr/>
          <w:p>
            <w:pPr>
              <w:pStyle w:val="Compact"/>
              <w:jc w:val="right"/>
            </w:pPr>
            <w:r>
              <w:rPr>
                <w:sz w:val="17"/>
              </w:rPr>
              <w:t xml:space="preserve">Gini SC_INDEP</w:t>
            </w:r>
          </w:p>
        </w:tc>
        <w:tc>
          <w:tcPr/>
          <w:p>
            <w:pPr>
              <w:pStyle w:val="Compact"/>
              <w:jc w:val="right"/>
            </w:pPr>
            <w:r>
              <w:rPr>
                <w:sz w:val="17"/>
              </w:rPr>
              <w:t xml:space="preserve">Gini LightGBM</w:t>
            </w:r>
          </w:p>
        </w:tc>
      </w:tr>
      <w:tr>
        <w:tc>
          <w:tcPr/>
          <w:p>
            <w:pPr>
              <w:pStyle w:val="Compact"/>
              <w:jc w:val="left"/>
            </w:pPr>
            <w:r>
              <w:rPr>
                <w:sz w:val="17"/>
              </w:rPr>
              <w:t xml:space="preserve">2007</w:t>
            </w:r>
          </w:p>
        </w:tc>
        <w:tc>
          <w:tcPr/>
          <w:p>
            <w:pPr>
              <w:pStyle w:val="Compact"/>
              <w:jc w:val="right"/>
            </w:pPr>
            <w:r>
              <w:rPr>
                <w:sz w:val="17"/>
              </w:rPr>
              <w:t xml:space="preserve">251</w:t>
            </w:r>
          </w:p>
        </w:tc>
        <w:tc>
          <w:tcPr/>
          <w:p>
            <w:pPr>
              <w:pStyle w:val="Compact"/>
              <w:jc w:val="right"/>
            </w:pPr>
            <w:r>
              <w:rPr>
                <w:sz w:val="17"/>
              </w:rPr>
              <w:t xml:space="preserve">0.607</w:t>
            </w:r>
          </w:p>
        </w:tc>
        <w:tc>
          <w:tcPr/>
          <w:p>
            <w:pPr>
              <w:pStyle w:val="Compact"/>
              <w:jc w:val="right"/>
            </w:pPr>
            <w:r>
              <w:rPr>
                <w:sz w:val="17"/>
              </w:rPr>
              <w:t xml:space="preserve">0.536</w:t>
            </w:r>
          </w:p>
        </w:tc>
        <w:tc>
          <w:tcPr/>
          <w:p>
            <w:pPr>
              <w:pStyle w:val="Compact"/>
              <w:jc w:val="right"/>
            </w:pPr>
            <w:r>
              <w:rPr>
                <w:sz w:val="17"/>
              </w:rPr>
              <w:t xml:space="preserve">0.767</w:t>
            </w:r>
          </w:p>
        </w:tc>
      </w:tr>
      <w:tr>
        <w:tc>
          <w:tcPr/>
          <w:p>
            <w:pPr>
              <w:pStyle w:val="Compact"/>
              <w:jc w:val="left"/>
            </w:pPr>
            <w:r>
              <w:rPr>
                <w:sz w:val="17"/>
              </w:rPr>
              <w:t xml:space="preserve">2008</w:t>
            </w:r>
          </w:p>
        </w:tc>
        <w:tc>
          <w:tcPr/>
          <w:p>
            <w:pPr>
              <w:pStyle w:val="Compact"/>
              <w:jc w:val="right"/>
            </w:pPr>
            <w:r>
              <w:rPr>
                <w:sz w:val="17"/>
              </w:rPr>
              <w:t xml:space="preserve">1,562</w:t>
            </w:r>
          </w:p>
        </w:tc>
        <w:tc>
          <w:tcPr/>
          <w:p>
            <w:pPr>
              <w:pStyle w:val="Compact"/>
              <w:jc w:val="right"/>
            </w:pPr>
            <w:r>
              <w:rPr>
                <w:sz w:val="17"/>
              </w:rPr>
              <w:t xml:space="preserve">0.394</w:t>
            </w:r>
          </w:p>
        </w:tc>
        <w:tc>
          <w:tcPr/>
          <w:p>
            <w:pPr>
              <w:pStyle w:val="Compact"/>
              <w:jc w:val="right"/>
            </w:pPr>
            <w:r>
              <w:rPr>
                <w:sz w:val="17"/>
              </w:rPr>
              <w:t xml:space="preserve">0.347</w:t>
            </w:r>
          </w:p>
        </w:tc>
        <w:tc>
          <w:tcPr/>
          <w:p>
            <w:pPr>
              <w:pStyle w:val="Compact"/>
              <w:jc w:val="right"/>
            </w:pPr>
            <w:r>
              <w:rPr>
                <w:sz w:val="17"/>
              </w:rPr>
              <w:t xml:space="preserve">0.491</w:t>
            </w:r>
          </w:p>
        </w:tc>
      </w:tr>
      <w:tr>
        <w:tc>
          <w:tcPr/>
          <w:p>
            <w:pPr>
              <w:pStyle w:val="Compact"/>
              <w:jc w:val="left"/>
            </w:pPr>
            <w:r>
              <w:rPr>
                <w:sz w:val="17"/>
              </w:rPr>
              <w:t xml:space="preserve">2009</w:t>
            </w:r>
          </w:p>
        </w:tc>
        <w:tc>
          <w:tcPr/>
          <w:p>
            <w:pPr>
              <w:pStyle w:val="Compact"/>
              <w:jc w:val="right"/>
            </w:pPr>
            <w:r>
              <w:rPr>
                <w:sz w:val="17"/>
              </w:rPr>
              <w:t xml:space="preserve">4,716</w:t>
            </w:r>
          </w:p>
        </w:tc>
        <w:tc>
          <w:tcPr/>
          <w:p>
            <w:pPr>
              <w:pStyle w:val="Compact"/>
              <w:jc w:val="right"/>
            </w:pPr>
            <w:r>
              <w:rPr>
                <w:sz w:val="17"/>
              </w:rPr>
              <w:t xml:space="preserve">0.345</w:t>
            </w:r>
          </w:p>
        </w:tc>
        <w:tc>
          <w:tcPr/>
          <w:p>
            <w:pPr>
              <w:pStyle w:val="Compact"/>
              <w:jc w:val="right"/>
            </w:pPr>
            <w:r>
              <w:rPr>
                <w:sz w:val="17"/>
              </w:rPr>
              <w:t xml:space="preserve">0.304</w:t>
            </w:r>
          </w:p>
        </w:tc>
        <w:tc>
          <w:tcPr/>
          <w:p>
            <w:pPr>
              <w:pStyle w:val="Compact"/>
              <w:jc w:val="right"/>
            </w:pPr>
            <w:r>
              <w:rPr>
                <w:sz w:val="17"/>
              </w:rPr>
              <w:t xml:space="preserve">0.504</w:t>
            </w:r>
          </w:p>
        </w:tc>
      </w:tr>
      <w:tr>
        <w:tc>
          <w:tcPr/>
          <w:p>
            <w:pPr>
              <w:pStyle w:val="Compact"/>
              <w:jc w:val="left"/>
            </w:pPr>
            <w:r>
              <w:rPr>
                <w:sz w:val="17"/>
              </w:rPr>
              <w:t xml:space="preserve">2010</w:t>
            </w:r>
          </w:p>
        </w:tc>
        <w:tc>
          <w:tcPr/>
          <w:p>
            <w:pPr>
              <w:pStyle w:val="Compact"/>
              <w:jc w:val="right"/>
            </w:pPr>
            <w:r>
              <w:rPr>
                <w:sz w:val="17"/>
              </w:rPr>
              <w:t xml:space="preserve">11,536</w:t>
            </w:r>
          </w:p>
        </w:tc>
        <w:tc>
          <w:tcPr/>
          <w:p>
            <w:pPr>
              <w:pStyle w:val="Compact"/>
              <w:jc w:val="right"/>
            </w:pPr>
            <w:r>
              <w:rPr>
                <w:sz w:val="17"/>
              </w:rPr>
              <w:t xml:space="preserve">0.427</w:t>
            </w:r>
          </w:p>
        </w:tc>
        <w:tc>
          <w:tcPr/>
          <w:p>
            <w:pPr>
              <w:pStyle w:val="Compact"/>
              <w:jc w:val="right"/>
            </w:pPr>
            <w:r>
              <w:rPr>
                <w:sz w:val="17"/>
              </w:rPr>
              <w:t xml:space="preserve">0.368</w:t>
            </w:r>
          </w:p>
        </w:tc>
        <w:tc>
          <w:tcPr/>
          <w:p>
            <w:pPr>
              <w:pStyle w:val="Compact"/>
              <w:jc w:val="right"/>
            </w:pPr>
            <w:r>
              <w:rPr>
                <w:sz w:val="17"/>
              </w:rPr>
              <w:t xml:space="preserve">0.552</w:t>
            </w:r>
          </w:p>
        </w:tc>
      </w:tr>
      <w:tr>
        <w:tc>
          <w:tcPr/>
          <w:p>
            <w:pPr>
              <w:pStyle w:val="Compact"/>
              <w:jc w:val="left"/>
            </w:pPr>
            <w:r>
              <w:rPr>
                <w:sz w:val="17"/>
              </w:rPr>
              <w:t xml:space="preserve">2011</w:t>
            </w:r>
          </w:p>
        </w:tc>
        <w:tc>
          <w:tcPr/>
          <w:p>
            <w:pPr>
              <w:pStyle w:val="Compact"/>
              <w:jc w:val="right"/>
            </w:pPr>
            <w:r>
              <w:rPr>
                <w:sz w:val="17"/>
              </w:rPr>
              <w:t xml:space="preserve">21,721</w:t>
            </w:r>
          </w:p>
        </w:tc>
        <w:tc>
          <w:tcPr/>
          <w:p>
            <w:pPr>
              <w:pStyle w:val="Compact"/>
              <w:jc w:val="right"/>
            </w:pPr>
            <w:r>
              <w:rPr>
                <w:sz w:val="17"/>
              </w:rPr>
              <w:t xml:space="preserve">0.432</w:t>
            </w:r>
          </w:p>
        </w:tc>
        <w:tc>
          <w:tcPr/>
          <w:p>
            <w:pPr>
              <w:pStyle w:val="Compact"/>
              <w:jc w:val="right"/>
            </w:pPr>
            <w:r>
              <w:rPr>
                <w:sz w:val="17"/>
              </w:rPr>
              <w:t xml:space="preserve">0.399</w:t>
            </w:r>
          </w:p>
        </w:tc>
        <w:tc>
          <w:tcPr/>
          <w:p>
            <w:pPr>
              <w:pStyle w:val="Compact"/>
              <w:jc w:val="right"/>
            </w:pPr>
            <w:r>
              <w:rPr>
                <w:sz w:val="17"/>
              </w:rPr>
              <w:t xml:space="preserve">0.533</w:t>
            </w:r>
          </w:p>
        </w:tc>
      </w:tr>
      <w:tr>
        <w:tc>
          <w:tcPr/>
          <w:p>
            <w:pPr>
              <w:pStyle w:val="Compact"/>
              <w:jc w:val="left"/>
            </w:pPr>
            <w:r>
              <w:rPr>
                <w:sz w:val="17"/>
              </w:rPr>
              <w:t xml:space="preserve">2012</w:t>
            </w:r>
          </w:p>
        </w:tc>
        <w:tc>
          <w:tcPr/>
          <w:p>
            <w:pPr>
              <w:pStyle w:val="Compact"/>
              <w:jc w:val="right"/>
            </w:pPr>
            <w:r>
              <w:rPr>
                <w:sz w:val="17"/>
              </w:rPr>
              <w:t xml:space="preserve">53,367</w:t>
            </w:r>
          </w:p>
        </w:tc>
        <w:tc>
          <w:tcPr/>
          <w:p>
            <w:pPr>
              <w:pStyle w:val="Compact"/>
              <w:jc w:val="right"/>
            </w:pPr>
            <w:r>
              <w:rPr>
                <w:sz w:val="17"/>
              </w:rPr>
              <w:t xml:space="preserve">0.352</w:t>
            </w:r>
          </w:p>
        </w:tc>
        <w:tc>
          <w:tcPr/>
          <w:p>
            <w:pPr>
              <w:pStyle w:val="Compact"/>
              <w:jc w:val="right"/>
            </w:pPr>
            <w:r>
              <w:rPr>
                <w:sz w:val="17"/>
              </w:rPr>
              <w:t xml:space="preserve">0.314</w:t>
            </w:r>
          </w:p>
        </w:tc>
        <w:tc>
          <w:tcPr/>
          <w:p>
            <w:pPr>
              <w:pStyle w:val="Compact"/>
              <w:jc w:val="right"/>
            </w:pPr>
            <w:r>
              <w:rPr>
                <w:sz w:val="17"/>
              </w:rPr>
              <w:t xml:space="preserve">0.463</w:t>
            </w:r>
          </w:p>
        </w:tc>
      </w:tr>
      <w:tr>
        <w:tc>
          <w:tcPr/>
          <w:p>
            <w:pPr>
              <w:pStyle w:val="Compact"/>
              <w:jc w:val="left"/>
            </w:pPr>
            <w:r>
              <w:rPr>
                <w:sz w:val="17"/>
              </w:rPr>
              <w:t xml:space="preserve">2013</w:t>
            </w:r>
          </w:p>
        </w:tc>
        <w:tc>
          <w:tcPr/>
          <w:p>
            <w:pPr>
              <w:pStyle w:val="Compact"/>
              <w:jc w:val="right"/>
            </w:pPr>
            <w:r>
              <w:rPr>
                <w:sz w:val="17"/>
              </w:rPr>
              <w:t xml:space="preserve">134,755</w:t>
            </w:r>
          </w:p>
        </w:tc>
        <w:tc>
          <w:tcPr/>
          <w:p>
            <w:pPr>
              <w:pStyle w:val="Compact"/>
              <w:jc w:val="right"/>
            </w:pPr>
            <w:r>
              <w:rPr>
                <w:sz w:val="17"/>
              </w:rPr>
              <w:t xml:space="preserve">0.353</w:t>
            </w:r>
          </w:p>
        </w:tc>
        <w:tc>
          <w:tcPr/>
          <w:p>
            <w:pPr>
              <w:pStyle w:val="Compact"/>
              <w:jc w:val="right"/>
            </w:pPr>
            <w:r>
              <w:rPr>
                <w:sz w:val="17"/>
              </w:rPr>
              <w:t xml:space="preserve">0.295</w:t>
            </w:r>
          </w:p>
        </w:tc>
        <w:tc>
          <w:tcPr/>
          <w:p>
            <w:pPr>
              <w:pStyle w:val="Compact"/>
              <w:jc w:val="right"/>
            </w:pPr>
            <w:r>
              <w:rPr>
                <w:sz w:val="17"/>
              </w:rPr>
              <w:t xml:space="preserve">0.366</w:t>
            </w:r>
          </w:p>
        </w:tc>
      </w:tr>
      <w:tr>
        <w:tc>
          <w:tcPr/>
          <w:p>
            <w:pPr>
              <w:pStyle w:val="Compact"/>
              <w:jc w:val="left"/>
            </w:pPr>
            <w:r>
              <w:rPr>
                <w:sz w:val="17"/>
              </w:rPr>
              <w:t xml:space="preserve">2014</w:t>
            </w:r>
          </w:p>
        </w:tc>
        <w:tc>
          <w:tcPr/>
          <w:p>
            <w:pPr>
              <w:pStyle w:val="Compact"/>
              <w:jc w:val="right"/>
            </w:pPr>
            <w:r>
              <w:rPr>
                <w:sz w:val="17"/>
              </w:rPr>
              <w:t xml:space="preserve">225,321</w:t>
            </w:r>
          </w:p>
        </w:tc>
        <w:tc>
          <w:tcPr/>
          <w:p>
            <w:pPr>
              <w:pStyle w:val="Compact"/>
              <w:jc w:val="right"/>
            </w:pPr>
            <w:r>
              <w:rPr>
                <w:sz w:val="17"/>
              </w:rPr>
              <w:t xml:space="preserve">0.346</w:t>
            </w:r>
          </w:p>
        </w:tc>
        <w:tc>
          <w:tcPr/>
          <w:p>
            <w:pPr>
              <w:pStyle w:val="Compact"/>
              <w:jc w:val="right"/>
            </w:pPr>
            <w:r>
              <w:rPr>
                <w:sz w:val="17"/>
              </w:rPr>
              <w:t xml:space="preserve">0.266</w:t>
            </w:r>
          </w:p>
        </w:tc>
        <w:tc>
          <w:tcPr/>
          <w:p>
            <w:pPr>
              <w:pStyle w:val="Compact"/>
              <w:jc w:val="right"/>
            </w:pPr>
            <w:r>
              <w:rPr>
                <w:sz w:val="17"/>
              </w:rPr>
              <w:t xml:space="preserve">0.367</w:t>
            </w:r>
          </w:p>
        </w:tc>
      </w:tr>
    </w:tbl>
    <w:p>
      <w:pPr>
        <w:pStyle w:val="BodyText"/>
      </w:pPr>
      <w:r>
        <w:t xml:space="preserve">Discrimination is similar across 2012 to 2014 for the scorecard. The high values for 2007 to 2011 are partly in-sample (these loans are in the development sample) and partly small-sample noise (251 loans in 2007), so they are not evidence of better performance in those years.</w:t>
      </w:r>
    </w:p>
    <w:p>
      <w:pPr>
        <w:pStyle w:val="CaptionedFigure"/>
      </w:pPr>
      <w:r>
        <w:drawing>
          <wp:inline>
            <wp:extent cx="4267200" cy="1920240"/>
            <wp:effectExtent b="0" l="0" r="0" t="0"/>
            <wp:docPr descr="Gini by vintage." title="" id="104" name="Picture"/>
            <a:graphic>
              <a:graphicData uri="http://schemas.openxmlformats.org/drawingml/2006/picture">
                <pic:pic>
                  <pic:nvPicPr>
                    <pic:cNvPr descr="../python/outputs/charts/gini_by_vintage.png" id="105" name="Picture"/>
                    <pic:cNvPicPr>
                      <a:picLocks noChangeArrowheads="1" noChangeAspect="1"/>
                    </pic:cNvPicPr>
                  </pic:nvPicPr>
                  <pic:blipFill>
                    <a:blip r:embed="rId103"/>
                    <a:stretch>
                      <a:fillRect/>
                    </a:stretch>
                  </pic:blipFill>
                  <pic:spPr bwMode="auto">
                    <a:xfrm>
                      <a:off x="0" y="0"/>
                      <a:ext cx="4267200" cy="1920240"/>
                    </a:xfrm>
                    <a:prstGeom prst="rect">
                      <a:avLst/>
                    </a:prstGeom>
                    <a:noFill/>
                    <a:ln w="9525">
                      <a:noFill/>
                      <a:headEnd/>
                      <a:tailEnd/>
                    </a:ln>
                  </pic:spPr>
                </pic:pic>
              </a:graphicData>
            </a:graphic>
          </wp:inline>
        </w:drawing>
      </w:r>
    </w:p>
    <w:p>
      <w:pPr>
        <w:pStyle w:val="ImageCaption"/>
      </w:pPr>
      <w:r>
        <w:t xml:space="preserve">Gini by vintage.</w:t>
      </w:r>
    </w:p>
    <w:p>
      <w:pPr>
        <w:pStyle w:val="CaptionedFigure"/>
      </w:pPr>
      <w:r>
        <w:drawing>
          <wp:inline>
            <wp:extent cx="4267200" cy="3733800"/>
            <wp:effectExtent b="0" l="0" r="0" t="0"/>
            <wp:docPr descr="Largest characteristic stability indices." title="" id="107" name="Picture"/>
            <a:graphic>
              <a:graphicData uri="http://schemas.openxmlformats.org/drawingml/2006/picture">
                <pic:pic>
                  <pic:nvPicPr>
                    <pic:cNvPr descr="../python/outputs/charts/csi_top_variables.png" id="108" name="Picture"/>
                    <pic:cNvPicPr>
                      <a:picLocks noChangeArrowheads="1" noChangeAspect="1"/>
                    </pic:cNvPicPr>
                  </pic:nvPicPr>
                  <pic:blipFill>
                    <a:blip r:embed="rId106"/>
                    <a:stretch>
                      <a:fillRect/>
                    </a:stretch>
                  </pic:blipFill>
                  <pic:spPr bwMode="auto">
                    <a:xfrm>
                      <a:off x="0" y="0"/>
                      <a:ext cx="4267200" cy="3733800"/>
                    </a:xfrm>
                    <a:prstGeom prst="rect">
                      <a:avLst/>
                    </a:prstGeom>
                    <a:noFill/>
                    <a:ln w="9525">
                      <a:noFill/>
                      <a:headEnd/>
                      <a:tailEnd/>
                    </a:ln>
                  </pic:spPr>
                </pic:pic>
              </a:graphicData>
            </a:graphic>
          </wp:inline>
        </w:drawing>
      </w:r>
    </w:p>
    <w:p>
      <w:pPr>
        <w:pStyle w:val="ImageCaption"/>
      </w:pPr>
      <w:r>
        <w:t xml:space="preserve">Largest characteristic stability indices.</w:t>
      </w:r>
    </w:p>
    <w:bookmarkEnd w:id="109"/>
    <w:bookmarkEnd w:id="110"/>
    <w:bookmarkStart w:id="122" w:name="lgd-ead-and-expected-loss-back-tests"/>
    <w:p>
      <w:pPr>
        <w:pStyle w:val="Heading1"/>
      </w:pPr>
      <w:r>
        <w:rPr>
          <w:rStyle w:val="SectionNumber"/>
        </w:rPr>
        <w:t xml:space="preserve">15</w:t>
      </w:r>
      <w:r>
        <w:tab/>
      </w:r>
      <w:r>
        <w:t xml:space="preserve">LGD, EAD and expected-loss back-tests</w:t>
      </w:r>
    </w:p>
    <w:bookmarkStart w:id="111" w:name="population-and-the-two-stage-lgd-design"/>
    <w:p>
      <w:pPr>
        <w:pStyle w:val="Heading2"/>
      </w:pPr>
      <w:r>
        <w:rPr>
          <w:rStyle w:val="SectionNumber"/>
        </w:rPr>
        <w:t xml:space="preserve">15.1</w:t>
      </w:r>
      <w:r>
        <w:tab/>
      </w:r>
      <w:r>
        <w:t xml:space="preserve">Population and the two-stage LGD design</w:t>
      </w:r>
    </w:p>
    <w:p>
      <w:pPr>
        <w:pStyle w:val="FirstParagraph"/>
      </w:pPr>
      <w:r>
        <w:t xml:space="preserve">LGD and EAD are modeled on loans that actually defaulted. The charged-off population is recomputed from the raw file (43,236 loans, including the charged-off status under the old credit policy) and reconciled to the original project's</w:t>
      </w:r>
      <w:r>
        <w:t xml:space="preserve"> </w:t>
      </w:r>
      <w:r>
        <w:rPr>
          <w:rStyle w:val="VerbatimChar"/>
        </w:rPr>
        <w:t xml:space="preserve">loan_data_defaults.csv</w:t>
      </w:r>
      <w:r>
        <w:t xml:space="preserve">: 43,236 loans match and the recovery-rate and credit-conversion-factor columns agree to within 1.1e-16. The mean recovery rate (recoveries divided by funded amount) is 0.0608 and the mean credit conversion factor is 0.7360.</w:t>
      </w:r>
    </w:p>
    <w:p>
      <w:pPr>
        <w:pStyle w:val="BodyText"/>
      </w:pPr>
      <w:r>
        <w:t xml:space="preserve">LGD follows the original two-stage design.</w:t>
      </w:r>
      <w:r>
        <w:t xml:space="preserve"> </w:t>
      </w:r>
      <w:r>
        <w:rPr>
          <w:b/>
          <w:bCs/>
        </w:rPr>
        <w:t xml:space="preserve">Stage 1</w:t>
      </w:r>
      <w:r>
        <w:t xml:space="preserve"> </w:t>
      </w:r>
      <w:r>
        <w:t xml:space="preserve">is a logistic regression for whether any recovery occurs.</w:t>
      </w:r>
      <w:r>
        <w:t xml:space="preserve"> </w:t>
      </w:r>
      <w:r>
        <w:rPr>
          <w:b/>
          <w:bCs/>
        </w:rPr>
        <w:t xml:space="preserve">Stage 2</w:t>
      </w:r>
      <w:r>
        <w:t xml:space="preserve"> </w:t>
      </w:r>
      <w:r>
        <w:t xml:space="preserve">is a linear regression for the recovery rate among loans that do recover. The expected LGD is</w:t>
      </w:r>
    </w:p>
    <w:p>
      <w:pPr>
        <w:pStyle w:val="BodyText"/>
      </w:pPr>
      <m:oMathPara>
        <m:oMathParaPr>
          <m:jc m:val="center"/>
        </m:oMathParaPr>
        <m:oMath>
          <m:r>
            <m:rPr>
              <m:sty m:val="p"/>
            </m:rPr>
            <m:t>L</m:t>
          </m:r>
          <m:r>
            <m:rPr>
              <m:sty m:val="p"/>
            </m:rPr>
            <m:t>G</m:t>
          </m:r>
          <m:r>
            <m:rPr>
              <m:sty m:val="p"/>
            </m:rPr>
            <m:t>D</m:t>
          </m:r>
          <m:r>
            <m:rPr>
              <m:sty m:val="p"/>
            </m:rPr>
            <m:t>=</m:t>
          </m:r>
          <m:r>
            <m:t>1</m:t>
          </m:r>
          <m:r>
            <m:rPr>
              <m:sty m:val="p"/>
            </m:rPr>
            <m:t>−</m:t>
          </m:r>
          <m:r>
            <m:t>P</m:t>
          </m:r>
          <m:r>
            <m:rPr>
              <m:sty m:val="p"/>
            </m:rPr>
            <m:t>(</m:t>
          </m:r>
          <m:r>
            <m:rPr>
              <m:nor/>
              <m:sty m:val="p"/>
            </m:rPr>
            <m:t>recovery</m:t>
          </m:r>
          <m:r>
            <m:rPr>
              <m:sty m:val="p"/>
            </m:rPr>
            <m:t>)</m:t>
          </m:r>
          <m:r>
            <m:rPr>
              <m:sty m:val="p"/>
            </m:rPr>
            <m:t>×</m:t>
          </m:r>
          <m:r>
            <m:t>E</m:t>
          </m:r>
          <m:r>
            <m:rPr>
              <m:sty m:val="p"/>
            </m:rPr>
            <m:t>[</m:t>
          </m:r>
          <m:r>
            <m:rPr>
              <m:nor/>
              <m:sty m:val="p"/>
            </m:rPr>
            <m:t>recovery rate</m:t>
          </m:r>
          <m:r>
            <m:rPr>
              <m:sty m:val="p"/>
            </m:rPr>
            <m:t>∣</m:t>
          </m:r>
          <m:r>
            <m:rPr>
              <m:nor/>
              <m:sty m:val="p"/>
            </m:rPr>
            <m:t>recovery</m:t>
          </m:r>
          <m:r>
            <m:rPr>
              <m:sty m:val="p"/>
            </m:rPr>
            <m:t>]</m:t>
          </m:r>
          <m:r>
            <m:rPr>
              <m:sty m:val="p"/>
            </m:rPr>
            <m:t>,</m:t>
          </m:r>
        </m:oMath>
      </m:oMathPara>
    </w:p>
    <w:p>
      <w:pPr>
        <w:pStyle w:val="FirstParagraph"/>
      </w:pPr>
      <w:r>
        <w:t xml:space="preserve">clipped to</w:t>
      </w:r>
      <w:r>
        <w:t xml:space="preserve"> </w:t>
      </w:r>
      <m:oMath>
        <m:r>
          <m:rPr>
            <m:sty m:val="p"/>
          </m:rPr>
          <m:t>[</m:t>
        </m:r>
        <m:r>
          <m:t>0</m:t>
        </m:r>
        <m:r>
          <m:rPr>
            <m:sty m:val="p"/>
          </m:rPr>
          <m:t>,</m:t>
        </m:r>
        <m:r>
          <m:t>1</m:t>
        </m:r>
        <m:r>
          <m:rPr>
            <m:sty m:val="p"/>
          </m:rPr>
          <m:t>]</m:t>
        </m:r>
      </m:oMath>
      <w:r>
        <w:t xml:space="preserve">, so the stage 1 probability is used as a probability and not as a 0/1 label (the original applied a hard cut, finding F-05; the hard-class version is kept as a comparison).</w:t>
      </w:r>
      <w:r>
        <w:t xml:space="preserve"> </w:t>
      </w:r>
      <w:r>
        <w:rPr>
          <w:b/>
          <w:bCs/>
        </w:rPr>
        <w:t xml:space="preserve">EAD</w:t>
      </w:r>
      <w:r>
        <w:t xml:space="preserve"> </w:t>
      </w:r>
      <w:r>
        <w:t xml:space="preserve">is the credit conversion factor</w:t>
      </w:r>
      <w:r>
        <w:t xml:space="preserve"> </w:t>
      </w:r>
      <m:oMath>
        <m:r>
          <m:rPr>
            <m:sty m:val="p"/>
          </m:rPr>
          <m:t>C</m:t>
        </m:r>
        <m:r>
          <m:rPr>
            <m:sty m:val="p"/>
          </m:rPr>
          <m:t>C</m:t>
        </m:r>
        <m:r>
          <m:rPr>
            <m:sty m:val="p"/>
          </m:rPr>
          <m:t>F</m:t>
        </m:r>
        <m:r>
          <m:rPr>
            <m:sty m:val="p"/>
          </m:rPr>
          <m:t>=</m:t>
        </m:r>
        <m:r>
          <m:rPr>
            <m:sty m:val="p"/>
          </m:rPr>
          <m:t>(</m:t>
        </m:r>
        <m:r>
          <m:rPr>
            <m:nor/>
            <m:sty m:val="p"/>
          </m:rPr>
          <m:t>funded</m:t>
        </m:r>
        <m:r>
          <m:rPr>
            <m:sty m:val="p"/>
          </m:rPr>
          <m:t>−</m:t>
        </m:r>
        <m:r>
          <m:rPr>
            <m:nor/>
            <m:sty m:val="p"/>
          </m:rPr>
          <m:t>principal repaid</m:t>
        </m:r>
        <m:r>
          <m:rPr>
            <m:sty m:val="p"/>
          </m:rPr>
          <m:t>)</m:t>
        </m:r>
        <m:r>
          <m:rPr>
            <m:sty m:val="p"/>
          </m:rPr>
          <m:t>/</m:t>
        </m:r>
        <m:r>
          <m:rPr>
            <m:nor/>
            <m:sty m:val="p"/>
          </m:rPr>
          <m:t>funded</m:t>
        </m:r>
      </m:oMath>
      <w:r>
        <w:t xml:space="preserve"> </w:t>
      </w:r>
      <w:r>
        <w:t xml:space="preserve">predicted by a linear regression and multiplied by the funded amount. All three are fitted on defaults of loans issued to 2012 (14,419 loans for stage 1; 10,687 with a recovery for stage 2), evaluated on 2013 loans (14,836 defaults) and reported but not fitted on 2014 loans (13,981). The design uses winsorized, standardized application variables, with grade and state left out (grade is nearly collinear with interest rate and state is sparse) and uses the corrected p-value classes of section 8.</w:t>
      </w:r>
    </w:p>
    <w:bookmarkEnd w:id="111"/>
    <w:bookmarkStart w:id="115" w:name="results-2"/>
    <w:p>
      <w:pPr>
        <w:pStyle w:val="Heading2"/>
      </w:pPr>
      <w:r>
        <w:rPr>
          <w:rStyle w:val="SectionNumber"/>
        </w:rPr>
        <w:t xml:space="preserve">15.2</w:t>
      </w:r>
      <w:r>
        <w:tab/>
      </w:r>
      <w:r>
        <w:t xml:space="preserve">Results</w:t>
      </w:r>
    </w:p>
    <w:p>
      <w:pPr>
        <w:pStyle w:val="TableCaption"/>
      </w:pPr>
      <w:r>
        <w:t xml:space="preserve">LGD and EAD diagnostics by sample (</w:t>
      </w:r>
      <w:r>
        <w:rPr>
          <w:rStyle w:val="VerbatimChar"/>
        </w:rPr>
        <w:t xml:space="preserve">lgd_ead_diagnostics.csv</w:t>
      </w:r>
      <w:r>
        <w:t xml:space="preserve">).</w:t>
      </w:r>
    </w:p>
    <w:tbl>
      <w:tblPr>
        <w:tblStyle w:val="Table"/>
        <w:tblW w:type="pct" w:w="5000"/>
        <w:tblLayout w:type="fixed"/>
        <w:tblLook w:firstRow="1" w:lastRow="0" w:firstColumn="0" w:lastColumn="0" w:noHBand="0" w:noVBand="0" w:val="0020"/>
        <w:tblCaption w:val="LGD and EAD diagnostics by sample (lgd_ead_diagnostics.csv)."/>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57"/>
        <w:gridCol w:w="1796"/>
        <w:gridCol w:w="1306"/>
        <w:gridCol w:w="1959"/>
      </w:tblGrid>
      <w:tr>
        <w:trPr>
          <w:tblHeader w:val="on"/>
        </w:trPr>
        <w:tc>
          <w:tcPr/>
          <w:p>
            <w:pPr>
              <w:pStyle w:val="Compact"/>
              <w:jc w:val="left"/>
            </w:pPr>
            <w:r>
              <w:rPr>
                <w:sz w:val="17"/>
              </w:rPr>
              <w:t xml:space="preserve">Metric</w:t>
            </w:r>
          </w:p>
        </w:tc>
        <w:tc>
          <w:tcPr/>
          <w:p>
            <w:pPr>
              <w:pStyle w:val="Compact"/>
              <w:jc w:val="right"/>
            </w:pPr>
            <w:r>
              <w:rPr>
                <w:sz w:val="17"/>
              </w:rPr>
              <w:t xml:space="preserve">Dev (defaults to 2012)</w:t>
            </w:r>
          </w:p>
        </w:tc>
        <w:tc>
          <w:tcPr/>
          <w:p>
            <w:pPr>
              <w:pStyle w:val="Compact"/>
              <w:jc w:val="right"/>
            </w:pPr>
            <w:r>
              <w:rPr>
                <w:sz w:val="17"/>
              </w:rPr>
              <w:t xml:space="preserve">OOT (2013 loans)</w:t>
            </w:r>
          </w:p>
        </w:tc>
        <w:tc>
          <w:tcPr/>
          <w:p>
            <w:pPr>
              <w:pStyle w:val="Compact"/>
              <w:jc w:val="right"/>
            </w:pPr>
            <w:r>
              <w:rPr>
                <w:sz w:val="17"/>
              </w:rPr>
              <w:t xml:space="preserve">Report only (2014 loans)</w:t>
            </w:r>
          </w:p>
        </w:tc>
      </w:tr>
      <w:tr>
        <w:tc>
          <w:tcPr/>
          <w:p>
            <w:pPr>
              <w:pStyle w:val="Compact"/>
              <w:jc w:val="left"/>
            </w:pPr>
            <w:r>
              <w:rPr>
                <w:sz w:val="17"/>
              </w:rPr>
              <w:t xml:space="preserve">Stage 1 AUC (any recovery)</w:t>
            </w:r>
          </w:p>
        </w:tc>
        <w:tc>
          <w:tcPr/>
          <w:p>
            <w:pPr>
              <w:pStyle w:val="Compact"/>
              <w:jc w:val="right"/>
            </w:pPr>
            <w:r>
              <w:rPr>
                <w:sz w:val="17"/>
              </w:rPr>
              <w:t xml:space="preserve">0.612</w:t>
            </w:r>
          </w:p>
        </w:tc>
        <w:tc>
          <w:tcPr/>
          <w:p>
            <w:pPr>
              <w:pStyle w:val="Compact"/>
              <w:jc w:val="right"/>
            </w:pPr>
            <w:r>
              <w:rPr>
                <w:sz w:val="17"/>
              </w:rPr>
              <w:t xml:space="preserve">0.572</w:t>
            </w:r>
          </w:p>
        </w:tc>
        <w:tc>
          <w:tcPr/>
          <w:p>
            <w:pPr>
              <w:pStyle w:val="Compact"/>
              <w:jc w:val="right"/>
            </w:pPr>
            <w:r>
              <w:rPr>
                <w:sz w:val="17"/>
              </w:rPr>
              <w:t xml:space="preserve">0.548</w:t>
            </w:r>
          </w:p>
        </w:tc>
      </w:tr>
      <w:tr>
        <w:tc>
          <w:tcPr/>
          <w:p>
            <w:pPr>
              <w:pStyle w:val="Compact"/>
              <w:jc w:val="left"/>
            </w:pPr>
            <w:r>
              <w:rPr>
                <w:sz w:val="17"/>
              </w:rPr>
              <w:t xml:space="preserve">LGD R-squared, expected value</w:t>
            </w:r>
          </w:p>
        </w:tc>
        <w:tc>
          <w:tcPr/>
          <w:p>
            <w:pPr>
              <w:pStyle w:val="Compact"/>
              <w:jc w:val="right"/>
            </w:pPr>
            <w:r>
              <w:rPr>
                <w:sz w:val="17"/>
              </w:rPr>
              <w:t xml:space="preserve">0.018</w:t>
            </w:r>
          </w:p>
        </w:tc>
        <w:tc>
          <w:tcPr/>
          <w:p>
            <w:pPr>
              <w:pStyle w:val="Compact"/>
              <w:jc w:val="right"/>
            </w:pPr>
            <w:r>
              <w:rPr>
                <w:sz w:val="17"/>
              </w:rPr>
              <w:t xml:space="preserve">0.009</w:t>
            </w:r>
          </w:p>
        </w:tc>
        <w:tc>
          <w:tcPr/>
          <w:p>
            <w:pPr>
              <w:pStyle w:val="Compact"/>
              <w:jc w:val="right"/>
            </w:pPr>
            <w:r>
              <w:rPr>
                <w:sz w:val="17"/>
              </w:rPr>
              <w:t xml:space="preserve">0.004</w:t>
            </w:r>
          </w:p>
        </w:tc>
      </w:tr>
      <w:tr>
        <w:tc>
          <w:tcPr/>
          <w:p>
            <w:pPr>
              <w:pStyle w:val="Compact"/>
              <w:jc w:val="left"/>
            </w:pPr>
            <w:r>
              <w:rPr>
                <w:sz w:val="17"/>
              </w:rPr>
              <w:t xml:space="preserve">LGD R-squared, hard classes</w:t>
            </w:r>
          </w:p>
        </w:tc>
        <w:tc>
          <w:tcPr/>
          <w:p>
            <w:pPr>
              <w:pStyle w:val="Compact"/>
              <w:jc w:val="right"/>
            </w:pPr>
            <w:r>
              <w:rPr>
                <w:sz w:val="17"/>
              </w:rPr>
              <w:t xml:space="preserve">-0.025</w:t>
            </w:r>
          </w:p>
        </w:tc>
        <w:tc>
          <w:tcPr/>
          <w:p>
            <w:pPr>
              <w:pStyle w:val="Compact"/>
              <w:jc w:val="right"/>
            </w:pPr>
            <w:r>
              <w:rPr>
                <w:sz w:val="17"/>
              </w:rPr>
              <w:t xml:space="preserve">-0.012</w:t>
            </w:r>
          </w:p>
        </w:tc>
        <w:tc>
          <w:tcPr/>
          <w:p>
            <w:pPr>
              <w:pStyle w:val="Compact"/>
              <w:jc w:val="right"/>
            </w:pPr>
            <w:r>
              <w:rPr>
                <w:sz w:val="17"/>
              </w:rPr>
              <w:t xml:space="preserve">-0.084</w:t>
            </w:r>
          </w:p>
        </w:tc>
      </w:tr>
      <w:tr>
        <w:tc>
          <w:tcPr/>
          <w:p>
            <w:pPr>
              <w:pStyle w:val="Compact"/>
              <w:jc w:val="left"/>
            </w:pPr>
            <w:r>
              <w:rPr>
                <w:sz w:val="17"/>
              </w:rPr>
              <w:t xml:space="preserve">LGD actual vs predicted correlation</w:t>
            </w:r>
          </w:p>
        </w:tc>
        <w:tc>
          <w:tcPr/>
          <w:p>
            <w:pPr>
              <w:pStyle w:val="Compact"/>
              <w:jc w:val="right"/>
            </w:pPr>
            <w:r>
              <w:rPr>
                <w:sz w:val="17"/>
              </w:rPr>
              <w:t xml:space="preserve">0.135</w:t>
            </w:r>
          </w:p>
        </w:tc>
        <w:tc>
          <w:tcPr/>
          <w:p>
            <w:pPr>
              <w:pStyle w:val="Compact"/>
              <w:jc w:val="right"/>
            </w:pPr>
            <w:r>
              <w:rPr>
                <w:sz w:val="17"/>
              </w:rPr>
              <w:t xml:space="preserve">0.144</w:t>
            </w:r>
          </w:p>
        </w:tc>
        <w:tc>
          <w:tcPr/>
          <w:p>
            <w:pPr>
              <w:pStyle w:val="Compact"/>
              <w:jc w:val="right"/>
            </w:pPr>
            <w:r>
              <w:rPr>
                <w:sz w:val="17"/>
              </w:rPr>
              <w:t xml:space="preserve">0.098</w:t>
            </w:r>
          </w:p>
        </w:tc>
      </w:tr>
      <w:tr>
        <w:tc>
          <w:tcPr/>
          <w:p>
            <w:pPr>
              <w:pStyle w:val="Compact"/>
              <w:jc w:val="left"/>
            </w:pPr>
            <w:r>
              <w:rPr>
                <w:sz w:val="17"/>
              </w:rPr>
              <w:t xml:space="preserve">Mean actual LGD</w:t>
            </w:r>
          </w:p>
        </w:tc>
        <w:tc>
          <w:tcPr/>
          <w:p>
            <w:pPr>
              <w:pStyle w:val="Compact"/>
              <w:jc w:val="right"/>
            </w:pPr>
            <w:r>
              <w:rPr>
                <w:sz w:val="17"/>
              </w:rPr>
              <w:t xml:space="preserve">0.9427</w:t>
            </w:r>
          </w:p>
        </w:tc>
        <w:tc>
          <w:tcPr/>
          <w:p>
            <w:pPr>
              <w:pStyle w:val="Compact"/>
              <w:jc w:val="right"/>
            </w:pPr>
            <w:r>
              <w:rPr>
                <w:sz w:val="17"/>
              </w:rPr>
              <w:t xml:space="preserve">0.9311</w:t>
            </w:r>
          </w:p>
        </w:tc>
        <w:tc>
          <w:tcPr/>
          <w:p>
            <w:pPr>
              <w:pStyle w:val="Compact"/>
              <w:jc w:val="right"/>
            </w:pPr>
            <w:r>
              <w:rPr>
                <w:sz w:val="17"/>
              </w:rPr>
              <w:t xml:space="preserve">0.9442</w:t>
            </w:r>
          </w:p>
        </w:tc>
      </w:tr>
      <w:tr>
        <w:tc>
          <w:tcPr/>
          <w:p>
            <w:pPr>
              <w:pStyle w:val="Compact"/>
              <w:jc w:val="left"/>
            </w:pPr>
            <w:r>
              <w:rPr>
                <w:sz w:val="17"/>
              </w:rPr>
              <w:t xml:space="preserve">Mean predicted LGD</w:t>
            </w:r>
          </w:p>
        </w:tc>
        <w:tc>
          <w:tcPr/>
          <w:p>
            <w:pPr>
              <w:pStyle w:val="Compact"/>
              <w:jc w:val="right"/>
            </w:pPr>
            <w:r>
              <w:rPr>
                <w:sz w:val="17"/>
              </w:rPr>
              <w:t xml:space="preserve">0.9427</w:t>
            </w:r>
          </w:p>
        </w:tc>
        <w:tc>
          <w:tcPr/>
          <w:p>
            <w:pPr>
              <w:pStyle w:val="Compact"/>
              <w:jc w:val="right"/>
            </w:pPr>
            <w:r>
              <w:rPr>
                <w:sz w:val="17"/>
              </w:rPr>
              <w:t xml:space="preserve">0.9400</w:t>
            </w:r>
          </w:p>
        </w:tc>
        <w:tc>
          <w:tcPr/>
          <w:p>
            <w:pPr>
              <w:pStyle w:val="Compact"/>
              <w:jc w:val="right"/>
            </w:pPr>
            <w:r>
              <w:rPr>
                <w:sz w:val="17"/>
              </w:rPr>
              <w:t xml:space="preserve">0.9416</w:t>
            </w:r>
          </w:p>
        </w:tc>
      </w:tr>
      <w:tr>
        <w:tc>
          <w:tcPr/>
          <w:p>
            <w:pPr>
              <w:pStyle w:val="Compact"/>
              <w:jc w:val="left"/>
            </w:pPr>
            <w:r>
              <w:rPr>
                <w:sz w:val="17"/>
              </w:rPr>
              <w:t xml:space="preserve">CCF R-squared</w:t>
            </w:r>
          </w:p>
        </w:tc>
        <w:tc>
          <w:tcPr/>
          <w:p>
            <w:pPr>
              <w:pStyle w:val="Compact"/>
              <w:jc w:val="right"/>
            </w:pPr>
            <w:r>
              <w:rPr>
                <w:sz w:val="17"/>
              </w:rPr>
              <w:t xml:space="preserve">0.126</w:t>
            </w:r>
          </w:p>
        </w:tc>
        <w:tc>
          <w:tcPr/>
          <w:p>
            <w:pPr>
              <w:pStyle w:val="Compact"/>
              <w:jc w:val="right"/>
            </w:pPr>
            <w:r>
              <w:rPr>
                <w:sz w:val="17"/>
              </w:rPr>
              <w:t xml:space="preserve">0.091</w:t>
            </w:r>
          </w:p>
        </w:tc>
        <w:tc>
          <w:tcPr/>
          <w:p>
            <w:pPr>
              <w:pStyle w:val="Compact"/>
              <w:jc w:val="right"/>
            </w:pPr>
            <w:r>
              <w:rPr>
                <w:sz w:val="17"/>
              </w:rPr>
              <w:t xml:space="preserve">-2.580</w:t>
            </w:r>
          </w:p>
        </w:tc>
      </w:tr>
      <w:tr>
        <w:tc>
          <w:tcPr/>
          <w:p>
            <w:pPr>
              <w:pStyle w:val="Compact"/>
              <w:jc w:val="left"/>
            </w:pPr>
            <w:r>
              <w:rPr>
                <w:sz w:val="17"/>
              </w:rPr>
              <w:t xml:space="preserve">CCF correlation</w:t>
            </w:r>
          </w:p>
        </w:tc>
        <w:tc>
          <w:tcPr/>
          <w:p>
            <w:pPr>
              <w:pStyle w:val="Compact"/>
              <w:jc w:val="right"/>
            </w:pPr>
            <w:r>
              <w:rPr>
                <w:sz w:val="17"/>
              </w:rPr>
              <w:t xml:space="preserve">0.356</w:t>
            </w:r>
          </w:p>
        </w:tc>
        <w:tc>
          <w:tcPr/>
          <w:p>
            <w:pPr>
              <w:pStyle w:val="Compact"/>
              <w:jc w:val="right"/>
            </w:pPr>
            <w:r>
              <w:rPr>
                <w:sz w:val="17"/>
              </w:rPr>
              <w:t xml:space="preserve">0.465</w:t>
            </w:r>
          </w:p>
        </w:tc>
        <w:tc>
          <w:tcPr/>
          <w:p>
            <w:pPr>
              <w:pStyle w:val="Compact"/>
              <w:jc w:val="right"/>
            </w:pPr>
            <w:r>
              <w:rPr>
                <w:sz w:val="17"/>
              </w:rPr>
              <w:t xml:space="preserve">0.457</w:t>
            </w:r>
          </w:p>
        </w:tc>
      </w:tr>
      <w:tr>
        <w:tc>
          <w:tcPr/>
          <w:p>
            <w:pPr>
              <w:pStyle w:val="Compact"/>
              <w:jc w:val="left"/>
            </w:pPr>
            <w:r>
              <w:rPr>
                <w:sz w:val="17"/>
              </w:rPr>
              <w:t xml:space="preserve">Mean actual CCF</w:t>
            </w:r>
          </w:p>
        </w:tc>
        <w:tc>
          <w:tcPr/>
          <w:p>
            <w:pPr>
              <w:pStyle w:val="Compact"/>
              <w:jc w:val="right"/>
            </w:pPr>
            <w:r>
              <w:rPr>
                <w:sz w:val="17"/>
              </w:rPr>
              <w:t xml:space="preserve">0.6492</w:t>
            </w:r>
          </w:p>
        </w:tc>
        <w:tc>
          <w:tcPr/>
          <w:p>
            <w:pPr>
              <w:pStyle w:val="Compact"/>
              <w:jc w:val="right"/>
            </w:pPr>
            <w:r>
              <w:rPr>
                <w:sz w:val="17"/>
              </w:rPr>
              <w:t xml:space="preserve">0.7232</w:t>
            </w:r>
          </w:p>
        </w:tc>
        <w:tc>
          <w:tcPr/>
          <w:p>
            <w:pPr>
              <w:pStyle w:val="Compact"/>
              <w:jc w:val="right"/>
            </w:pPr>
            <w:r>
              <w:rPr>
                <w:sz w:val="17"/>
              </w:rPr>
              <w:t xml:space="preserve">0.8389</w:t>
            </w:r>
          </w:p>
        </w:tc>
      </w:tr>
      <w:tr>
        <w:tc>
          <w:tcPr/>
          <w:p>
            <w:pPr>
              <w:pStyle w:val="Compact"/>
              <w:jc w:val="left"/>
            </w:pPr>
            <w:r>
              <w:rPr>
                <w:sz w:val="17"/>
              </w:rPr>
              <w:t xml:space="preserve">Mean predicted CCF</w:t>
            </w:r>
          </w:p>
        </w:tc>
        <w:tc>
          <w:tcPr/>
          <w:p>
            <w:pPr>
              <w:pStyle w:val="Compact"/>
              <w:jc w:val="right"/>
            </w:pPr>
            <w:r>
              <w:rPr>
                <w:sz w:val="17"/>
              </w:rPr>
              <w:t xml:space="preserve">0.6492</w:t>
            </w:r>
          </w:p>
        </w:tc>
        <w:tc>
          <w:tcPr/>
          <w:p>
            <w:pPr>
              <w:pStyle w:val="Compact"/>
              <w:jc w:val="right"/>
            </w:pPr>
            <w:r>
              <w:rPr>
                <w:sz w:val="17"/>
              </w:rPr>
              <w:t xml:space="preserve">0.6594</w:t>
            </w:r>
          </w:p>
        </w:tc>
        <w:tc>
          <w:tcPr/>
          <w:p>
            <w:pPr>
              <w:pStyle w:val="Compact"/>
              <w:jc w:val="right"/>
            </w:pPr>
            <w:r>
              <w:rPr>
                <w:sz w:val="17"/>
              </w:rPr>
              <w:t xml:space="preserve">0.6600</w:t>
            </w:r>
          </w:p>
        </w:tc>
      </w:tr>
      <w:tr>
        <w:tc>
          <w:tcPr/>
          <w:p>
            <w:pPr>
              <w:pStyle w:val="Compact"/>
              <w:jc w:val="left"/>
            </w:pPr>
            <w:r>
              <w:rPr>
                <w:sz w:val="17"/>
              </w:rPr>
              <w:t xml:space="preserve">EAD in USD, R-squared</w:t>
            </w:r>
          </w:p>
        </w:tc>
        <w:tc>
          <w:tcPr/>
          <w:p>
            <w:pPr>
              <w:pStyle w:val="Compact"/>
              <w:jc w:val="right"/>
            </w:pPr>
            <w:r>
              <w:rPr>
                <w:sz w:val="17"/>
              </w:rPr>
              <w:t xml:space="preserve">0.801</w:t>
            </w:r>
          </w:p>
        </w:tc>
        <w:tc>
          <w:tcPr/>
          <w:p>
            <w:pPr>
              <w:pStyle w:val="Compact"/>
              <w:jc w:val="right"/>
            </w:pPr>
            <w:r>
              <w:rPr>
                <w:sz w:val="17"/>
              </w:rPr>
              <w:t xml:space="preserve">0.861</w:t>
            </w:r>
          </w:p>
        </w:tc>
        <w:tc>
          <w:tcPr/>
          <w:p>
            <w:pPr>
              <w:pStyle w:val="Compact"/>
              <w:jc w:val="right"/>
            </w:pPr>
            <w:r>
              <w:rPr>
                <w:sz w:val="17"/>
              </w:rPr>
              <w:t xml:space="preserve">0.802</w:t>
            </w:r>
          </w:p>
        </w:tc>
      </w:tr>
    </w:tbl>
    <w:p>
      <w:pPr>
        <w:pStyle w:val="Compact"/>
        <w:numPr>
          <w:ilvl w:val="0"/>
          <w:numId w:val="1004"/>
        </w:numPr>
      </w:pPr>
      <w:r>
        <w:rPr>
          <w:b/>
          <w:bCs/>
        </w:rPr>
        <w:t xml:space="preserve">Stage 1 has little power.</w:t>
      </w:r>
      <w:r>
        <w:t xml:space="preserve"> </w:t>
      </w:r>
      <w:r>
        <w:t xml:space="preserve">AUC is 0.612 on development defaults, 0.572 on 2013 loans and 0.548 on 2014 loans. Only 11 of 31 terms are significant at 5%.</w:t>
      </w:r>
    </w:p>
    <w:p>
      <w:pPr>
        <w:pStyle w:val="Compact"/>
        <w:numPr>
          <w:ilvl w:val="0"/>
          <w:numId w:val="1004"/>
        </w:numPr>
      </w:pPr>
      <w:r>
        <w:rPr>
          <w:b/>
          <w:bCs/>
        </w:rPr>
        <w:t xml:space="preserve">LGD is nearly constant.</w:t>
      </w:r>
      <w:r>
        <w:t xml:space="preserve"> </w:t>
      </w:r>
      <w:r>
        <w:t xml:space="preserve">Mean actual LGD is 0.943 in development and 0.931 out of time; the model predicts 0.940 for 2013 loans. R-squared is 0.018 in development and 0.009 out of time and the correlation between predicted and actual LGD is 0.144. The expected-value combination is slightly better than the hard-class version (R-squared -0.012 out of time), confirming the remediation, but both are weak.</w:t>
      </w:r>
    </w:p>
    <w:p>
      <w:pPr>
        <w:pStyle w:val="Compact"/>
        <w:numPr>
          <w:ilvl w:val="0"/>
          <w:numId w:val="1004"/>
        </w:numPr>
      </w:pPr>
      <w:r>
        <w:rPr>
          <w:b/>
          <w:bCs/>
        </w:rPr>
        <w:t xml:space="preserve">The CCF model has modest power and shifts over time.</w:t>
      </w:r>
      <w:r>
        <w:t xml:space="preserve"> </w:t>
      </w:r>
      <w:r>
        <w:t xml:space="preserve">R-squared is 0.126 in development, 0.091 on 2013 loans and -2.580 on 2014 loans. The 2014 value is strongly negative because loans issued in 2014 that charged off did so very early, so little principal had been repaid: actual mean CCF is 0.839 against a prediction of 0.660. The model captures the ranking (correlation 0.465 on 2013 loans) but not the level shift.</w:t>
      </w:r>
    </w:p>
    <w:p>
      <w:pPr>
        <w:pStyle w:val="Compact"/>
        <w:numPr>
          <w:ilvl w:val="0"/>
          <w:numId w:val="1004"/>
        </w:numPr>
      </w:pPr>
      <w:r>
        <w:rPr>
          <w:b/>
          <w:bCs/>
        </w:rPr>
        <w:t xml:space="preserve">Dollar EAD looks good only because of the funded amount.</w:t>
      </w:r>
      <w:r>
        <w:t xml:space="preserve"> </w:t>
      </w:r>
      <w:r>
        <w:t xml:space="preserve">R-squared of predicted EAD in dollars is 0.861 out of time, but it is dominated by the loan size multiplied into both the actual and the predicted value; the CCF R-squared above is the honest measure.</w:t>
      </w:r>
    </w:p>
    <w:p>
      <w:pPr>
        <w:pStyle w:val="Compact"/>
        <w:numPr>
          <w:ilvl w:val="0"/>
          <w:numId w:val="1004"/>
        </w:numPr>
      </w:pPr>
      <w:r>
        <w:rPr>
          <w:b/>
          <w:bCs/>
        </w:rPr>
        <w:t xml:space="preserve">Heteroskedasticity.</w:t>
      </w:r>
      <w:r>
        <w:t xml:space="preserve"> </w:t>
      </w:r>
      <w:r>
        <w:t xml:space="preserve">The Breusch-Pagan test rejects constant variance for stage 2 (p = 1.8e-15) and EAD (p = 2.9e-135), so classical standard errors for those two regressions are unreliable and heteroskedasticity-robust errors should be used in a production version.</w:t>
      </w:r>
    </w:p>
    <w:p>
      <w:pPr>
        <w:pStyle w:val="CaptionedFigure"/>
      </w:pPr>
      <w:r>
        <w:drawing>
          <wp:inline>
            <wp:extent cx="4800600" cy="2077182"/>
            <wp:effectExtent b="0" l="0" r="0" t="0"/>
            <wp:docPr descr="Predicted versus actual CCF and LGD by decile on 2013 defaults." title="" id="113" name="Picture"/>
            <a:graphic>
              <a:graphicData uri="http://schemas.openxmlformats.org/drawingml/2006/picture">
                <pic:pic>
                  <pic:nvPicPr>
                    <pic:cNvPr descr="../python/outputs/charts/lgd_ccf_deciles.png" id="114" name="Picture"/>
                    <pic:cNvPicPr>
                      <a:picLocks noChangeArrowheads="1" noChangeAspect="1"/>
                    </pic:cNvPicPr>
                  </pic:nvPicPr>
                  <pic:blipFill>
                    <a:blip r:embed="rId112"/>
                    <a:stretch>
                      <a:fillRect/>
                    </a:stretch>
                  </pic:blipFill>
                  <pic:spPr bwMode="auto">
                    <a:xfrm>
                      <a:off x="0" y="0"/>
                      <a:ext cx="4800600" cy="2077182"/>
                    </a:xfrm>
                    <a:prstGeom prst="rect">
                      <a:avLst/>
                    </a:prstGeom>
                    <a:noFill/>
                    <a:ln w="9525">
                      <a:noFill/>
                      <a:headEnd/>
                      <a:tailEnd/>
                    </a:ln>
                  </pic:spPr>
                </pic:pic>
              </a:graphicData>
            </a:graphic>
          </wp:inline>
        </w:drawing>
      </w:r>
    </w:p>
    <w:p>
      <w:pPr>
        <w:pStyle w:val="ImageCaption"/>
      </w:pPr>
      <w:r>
        <w:t xml:space="preserve">Predicted versus actual CCF and LGD by decile on 2013 defaults.</w:t>
      </w:r>
    </w:p>
    <w:p>
      <w:pPr>
        <w:pStyle w:val="BodyText"/>
      </w:pPr>
      <w:r>
        <w:t xml:space="preserve">Coefficients with the largest absolute z for the two main regressions are below.</w:t>
      </w:r>
    </w:p>
    <w:p>
      <w:pPr>
        <w:pStyle w:val="TableCaption"/>
      </w:pPr>
      <w:r>
        <w:t xml:space="preserve">LGD stage 1 (any recovery), largest |z| terms.</w:t>
      </w:r>
    </w:p>
    <w:tbl>
      <w:tblPr>
        <w:tblStyle w:val="Table"/>
        <w:tblW w:type="auto" w:w="0"/>
        <w:tblLook w:firstRow="1" w:lastRow="0" w:firstColumn="0" w:lastColumn="0" w:noHBand="0" w:noVBand="0" w:val="0020"/>
        <w:tblCaption w:val="LGD stage 1 (any recovery), largest |z| term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Term</w:t>
            </w:r>
          </w:p>
        </w:tc>
        <w:tc>
          <w:tcPr/>
          <w:p>
            <w:pPr>
              <w:pStyle w:val="Compact"/>
              <w:jc w:val="right"/>
            </w:pPr>
            <w:r>
              <w:rPr>
                <w:sz w:val="17"/>
              </w:rPr>
              <w:t xml:space="preserve">Coefficient</w:t>
            </w:r>
          </w:p>
        </w:tc>
        <w:tc>
          <w:tcPr/>
          <w:p>
            <w:pPr>
              <w:pStyle w:val="Compact"/>
              <w:jc w:val="right"/>
            </w:pPr>
            <w:r>
              <w:rPr>
                <w:sz w:val="17"/>
              </w:rPr>
              <w:t xml:space="preserve">Std. error</w:t>
            </w:r>
          </w:p>
        </w:tc>
        <w:tc>
          <w:tcPr/>
          <w:p>
            <w:pPr>
              <w:pStyle w:val="Compact"/>
              <w:jc w:val="right"/>
            </w:pPr>
            <w:r>
              <w:rPr>
                <w:sz w:val="17"/>
              </w:rPr>
              <w:t xml:space="preserve">z</w:t>
            </w:r>
          </w:p>
        </w:tc>
        <w:tc>
          <w:tcPr/>
          <w:p>
            <w:pPr>
              <w:pStyle w:val="Compact"/>
              <w:jc w:val="right"/>
            </w:pPr>
            <w:r>
              <w:rPr>
                <w:sz w:val="17"/>
              </w:rPr>
              <w:t xml:space="preserve">p-value</w:t>
            </w:r>
          </w:p>
        </w:tc>
      </w:tr>
      <w:tr>
        <w:tc>
          <w:tcPr/>
          <w:p>
            <w:pPr>
              <w:pStyle w:val="Compact"/>
              <w:jc w:val="left"/>
            </w:pPr>
            <w:r>
              <w:rPr>
                <w:sz w:val="17"/>
              </w:rPr>
              <w:t xml:space="preserve">const</w:t>
            </w:r>
          </w:p>
        </w:tc>
        <w:tc>
          <w:tcPr/>
          <w:p>
            <w:pPr>
              <w:pStyle w:val="Compact"/>
              <w:jc w:val="right"/>
            </w:pPr>
            <w:r>
              <w:rPr>
                <w:sz w:val="17"/>
              </w:rPr>
              <w:t xml:space="preserve">1.1294</w:t>
            </w:r>
          </w:p>
        </w:tc>
        <w:tc>
          <w:tcPr/>
          <w:p>
            <w:pPr>
              <w:pStyle w:val="Compact"/>
              <w:jc w:val="right"/>
            </w:pPr>
            <w:r>
              <w:rPr>
                <w:sz w:val="17"/>
              </w:rPr>
              <w:t xml:space="preserve">0.0473</w:t>
            </w:r>
          </w:p>
        </w:tc>
        <w:tc>
          <w:tcPr/>
          <w:p>
            <w:pPr>
              <w:pStyle w:val="Compact"/>
              <w:jc w:val="right"/>
            </w:pPr>
            <w:r>
              <w:rPr>
                <w:sz w:val="17"/>
              </w:rPr>
              <w:t xml:space="preserve">23.86</w:t>
            </w:r>
          </w:p>
        </w:tc>
        <w:tc>
          <w:tcPr/>
          <w:p>
            <w:pPr>
              <w:pStyle w:val="Compact"/>
              <w:jc w:val="right"/>
            </w:pPr>
            <w:r>
              <w:rPr>
                <w:sz w:val="17"/>
              </w:rPr>
              <w:t xml:space="preserve">7.4e-126</w:t>
            </w:r>
          </w:p>
        </w:tc>
      </w:tr>
      <w:tr>
        <w:tc>
          <w:tcPr/>
          <w:p>
            <w:pPr>
              <w:pStyle w:val="Compact"/>
              <w:jc w:val="left"/>
            </w:pPr>
            <w:r>
              <w:rPr>
                <w:sz w:val="17"/>
              </w:rPr>
              <w:t xml:space="preserve">total_acc</w:t>
            </w:r>
          </w:p>
        </w:tc>
        <w:tc>
          <w:tcPr/>
          <w:p>
            <w:pPr>
              <w:pStyle w:val="Compact"/>
              <w:jc w:val="right"/>
            </w:pPr>
            <w:r>
              <w:rPr>
                <w:sz w:val="17"/>
              </w:rPr>
              <w:t xml:space="preserve">-0.2582</w:t>
            </w:r>
          </w:p>
        </w:tc>
        <w:tc>
          <w:tcPr/>
          <w:p>
            <w:pPr>
              <w:pStyle w:val="Compact"/>
              <w:jc w:val="right"/>
            </w:pPr>
            <w:r>
              <w:rPr>
                <w:sz w:val="17"/>
              </w:rPr>
              <w:t xml:space="preserve">0.0290</w:t>
            </w:r>
          </w:p>
        </w:tc>
        <w:tc>
          <w:tcPr/>
          <w:p>
            <w:pPr>
              <w:pStyle w:val="Compact"/>
              <w:jc w:val="right"/>
            </w:pPr>
            <w:r>
              <w:rPr>
                <w:sz w:val="17"/>
              </w:rPr>
              <w:t xml:space="preserve">-8.91</w:t>
            </w:r>
          </w:p>
        </w:tc>
        <w:tc>
          <w:tcPr/>
          <w:p>
            <w:pPr>
              <w:pStyle w:val="Compact"/>
              <w:jc w:val="right"/>
            </w:pPr>
            <w:r>
              <w:rPr>
                <w:sz w:val="17"/>
              </w:rPr>
              <w:t xml:space="preserve">5.2e-19</w:t>
            </w:r>
          </w:p>
        </w:tc>
      </w:tr>
      <w:tr>
        <w:tc>
          <w:tcPr/>
          <w:p>
            <w:pPr>
              <w:pStyle w:val="Compact"/>
              <w:jc w:val="left"/>
            </w:pPr>
            <w:r>
              <w:rPr>
                <w:sz w:val="17"/>
              </w:rPr>
              <w:t xml:space="preserve">mths_since_last_record_reported</w:t>
            </w:r>
          </w:p>
        </w:tc>
        <w:tc>
          <w:tcPr/>
          <w:p>
            <w:pPr>
              <w:pStyle w:val="Compact"/>
              <w:jc w:val="right"/>
            </w:pPr>
            <w:r>
              <w:rPr>
                <w:sz w:val="17"/>
              </w:rPr>
              <w:t xml:space="preserve">-0.7956</w:t>
            </w:r>
          </w:p>
        </w:tc>
        <w:tc>
          <w:tcPr/>
          <w:p>
            <w:pPr>
              <w:pStyle w:val="Compact"/>
              <w:jc w:val="right"/>
            </w:pPr>
            <w:r>
              <w:rPr>
                <w:sz w:val="17"/>
              </w:rPr>
              <w:t xml:space="preserve">0.1288</w:t>
            </w:r>
          </w:p>
        </w:tc>
        <w:tc>
          <w:tcPr/>
          <w:p>
            <w:pPr>
              <w:pStyle w:val="Compact"/>
              <w:jc w:val="right"/>
            </w:pPr>
            <w:r>
              <w:rPr>
                <w:sz w:val="17"/>
              </w:rPr>
              <w:t xml:space="preserve">-6.18</w:t>
            </w:r>
          </w:p>
        </w:tc>
        <w:tc>
          <w:tcPr/>
          <w:p>
            <w:pPr>
              <w:pStyle w:val="Compact"/>
              <w:jc w:val="right"/>
            </w:pPr>
            <w:r>
              <w:rPr>
                <w:sz w:val="17"/>
              </w:rPr>
              <w:t xml:space="preserve">6.6e-10</w:t>
            </w:r>
          </w:p>
        </w:tc>
      </w:tr>
      <w:tr>
        <w:tc>
          <w:tcPr/>
          <w:p>
            <w:pPr>
              <w:pStyle w:val="Compact"/>
              <w:jc w:val="left"/>
            </w:pPr>
            <w:r>
              <w:rPr>
                <w:sz w:val="17"/>
              </w:rPr>
              <w:t xml:space="preserve">revol_bal</w:t>
            </w:r>
          </w:p>
        </w:tc>
        <w:tc>
          <w:tcPr/>
          <w:p>
            <w:pPr>
              <w:pStyle w:val="Compact"/>
              <w:jc w:val="right"/>
            </w:pPr>
            <w:r>
              <w:rPr>
                <w:sz w:val="17"/>
              </w:rPr>
              <w:t xml:space="preserve">-0.1692</w:t>
            </w:r>
          </w:p>
        </w:tc>
        <w:tc>
          <w:tcPr/>
          <w:p>
            <w:pPr>
              <w:pStyle w:val="Compact"/>
              <w:jc w:val="right"/>
            </w:pPr>
            <w:r>
              <w:rPr>
                <w:sz w:val="17"/>
              </w:rPr>
              <w:t xml:space="preserve">0.0304</w:t>
            </w:r>
          </w:p>
        </w:tc>
        <w:tc>
          <w:tcPr/>
          <w:p>
            <w:pPr>
              <w:pStyle w:val="Compact"/>
              <w:jc w:val="right"/>
            </w:pPr>
            <w:r>
              <w:rPr>
                <w:sz w:val="17"/>
              </w:rPr>
              <w:t xml:space="preserve">-5.56</w:t>
            </w:r>
          </w:p>
        </w:tc>
        <w:tc>
          <w:tcPr/>
          <w:p>
            <w:pPr>
              <w:pStyle w:val="Compact"/>
              <w:jc w:val="right"/>
            </w:pPr>
            <w:r>
              <w:rPr>
                <w:sz w:val="17"/>
              </w:rPr>
              <w:t xml:space="preserve">2.7e-08</w:t>
            </w:r>
          </w:p>
        </w:tc>
      </w:tr>
      <w:tr>
        <w:tc>
          <w:tcPr/>
          <w:p>
            <w:pPr>
              <w:pStyle w:val="Compact"/>
              <w:jc w:val="left"/>
            </w:pPr>
            <w:r>
              <w:rPr>
                <w:sz w:val="17"/>
              </w:rPr>
              <w:t xml:space="preserve">int_rate</w:t>
            </w:r>
          </w:p>
        </w:tc>
        <w:tc>
          <w:tcPr/>
          <w:p>
            <w:pPr>
              <w:pStyle w:val="Compact"/>
              <w:jc w:val="right"/>
            </w:pPr>
            <w:r>
              <w:rPr>
                <w:sz w:val="17"/>
              </w:rPr>
              <w:t xml:space="preserve">0.1403</w:t>
            </w:r>
          </w:p>
        </w:tc>
        <w:tc>
          <w:tcPr/>
          <w:p>
            <w:pPr>
              <w:pStyle w:val="Compact"/>
              <w:jc w:val="right"/>
            </w:pPr>
            <w:r>
              <w:rPr>
                <w:sz w:val="17"/>
              </w:rPr>
              <w:t xml:space="preserve">0.0289</w:t>
            </w:r>
          </w:p>
        </w:tc>
        <w:tc>
          <w:tcPr/>
          <w:p>
            <w:pPr>
              <w:pStyle w:val="Compact"/>
              <w:jc w:val="right"/>
            </w:pPr>
            <w:r>
              <w:rPr>
                <w:sz w:val="17"/>
              </w:rPr>
              <w:t xml:space="preserve">4.86</w:t>
            </w:r>
          </w:p>
        </w:tc>
        <w:tc>
          <w:tcPr/>
          <w:p>
            <w:pPr>
              <w:pStyle w:val="Compact"/>
              <w:jc w:val="right"/>
            </w:pPr>
            <w:r>
              <w:rPr>
                <w:sz w:val="17"/>
              </w:rPr>
              <w:t xml:space="preserve">1.2e-06</w:t>
            </w:r>
          </w:p>
        </w:tc>
      </w:tr>
      <w:tr>
        <w:tc>
          <w:tcPr/>
          <w:p>
            <w:pPr>
              <w:pStyle w:val="Compact"/>
              <w:jc w:val="left"/>
            </w:pPr>
            <w:r>
              <w:rPr>
                <w:sz w:val="17"/>
              </w:rPr>
              <w:t xml:space="preserve">open_acc</w:t>
            </w:r>
          </w:p>
        </w:tc>
        <w:tc>
          <w:tcPr/>
          <w:p>
            <w:pPr>
              <w:pStyle w:val="Compact"/>
              <w:jc w:val="right"/>
            </w:pPr>
            <w:r>
              <w:rPr>
                <w:sz w:val="17"/>
              </w:rPr>
              <w:t xml:space="preserve">0.1319</w:t>
            </w:r>
          </w:p>
        </w:tc>
        <w:tc>
          <w:tcPr/>
          <w:p>
            <w:pPr>
              <w:pStyle w:val="Compact"/>
              <w:jc w:val="right"/>
            </w:pPr>
            <w:r>
              <w:rPr>
                <w:sz w:val="17"/>
              </w:rPr>
              <w:t xml:space="preserve">0.0292</w:t>
            </w:r>
          </w:p>
        </w:tc>
        <w:tc>
          <w:tcPr/>
          <w:p>
            <w:pPr>
              <w:pStyle w:val="Compact"/>
              <w:jc w:val="right"/>
            </w:pPr>
            <w:r>
              <w:rPr>
                <w:sz w:val="17"/>
              </w:rPr>
              <w:t xml:space="preserve">4.51</w:t>
            </w:r>
          </w:p>
        </w:tc>
        <w:tc>
          <w:tcPr/>
          <w:p>
            <w:pPr>
              <w:pStyle w:val="Compact"/>
              <w:jc w:val="right"/>
            </w:pPr>
            <w:r>
              <w:rPr>
                <w:sz w:val="17"/>
              </w:rPr>
              <w:t xml:space="preserve">6.3e-06</w:t>
            </w:r>
          </w:p>
        </w:tc>
      </w:tr>
      <w:tr>
        <w:tc>
          <w:tcPr/>
          <w:p>
            <w:pPr>
              <w:pStyle w:val="Compact"/>
              <w:jc w:val="left"/>
            </w:pPr>
            <w:r>
              <w:rPr>
                <w:sz w:val="17"/>
              </w:rPr>
              <w:t xml:space="preserve">dti</w:t>
            </w:r>
          </w:p>
        </w:tc>
        <w:tc>
          <w:tcPr/>
          <w:p>
            <w:pPr>
              <w:pStyle w:val="Compact"/>
              <w:jc w:val="right"/>
            </w:pPr>
            <w:r>
              <w:rPr>
                <w:sz w:val="17"/>
              </w:rPr>
              <w:t xml:space="preserve">-0.0785</w:t>
            </w:r>
          </w:p>
        </w:tc>
        <w:tc>
          <w:tcPr/>
          <w:p>
            <w:pPr>
              <w:pStyle w:val="Compact"/>
              <w:jc w:val="right"/>
            </w:pPr>
            <w:r>
              <w:rPr>
                <w:sz w:val="17"/>
              </w:rPr>
              <w:t xml:space="preserve">0.0232</w:t>
            </w:r>
          </w:p>
        </w:tc>
        <w:tc>
          <w:tcPr/>
          <w:p>
            <w:pPr>
              <w:pStyle w:val="Compact"/>
              <w:jc w:val="right"/>
            </w:pPr>
            <w:r>
              <w:rPr>
                <w:sz w:val="17"/>
              </w:rPr>
              <w:t xml:space="preserve">-3.39</w:t>
            </w:r>
          </w:p>
        </w:tc>
        <w:tc>
          <w:tcPr/>
          <w:p>
            <w:pPr>
              <w:pStyle w:val="Compact"/>
              <w:jc w:val="right"/>
            </w:pPr>
            <w:r>
              <w:rPr>
                <w:sz w:val="17"/>
              </w:rPr>
              <w:t xml:space="preserve">7.1e-04</w:t>
            </w:r>
          </w:p>
        </w:tc>
      </w:tr>
      <w:tr>
        <w:tc>
          <w:tcPr/>
          <w:p>
            <w:pPr>
              <w:pStyle w:val="Compact"/>
              <w:jc w:val="left"/>
            </w:pPr>
            <w:r>
              <w:rPr>
                <w:sz w:val="17"/>
              </w:rPr>
              <w:t xml:space="preserve">credit_age_m</w:t>
            </w:r>
          </w:p>
        </w:tc>
        <w:tc>
          <w:tcPr/>
          <w:p>
            <w:pPr>
              <w:pStyle w:val="Compact"/>
              <w:jc w:val="right"/>
            </w:pPr>
            <w:r>
              <w:rPr>
                <w:sz w:val="17"/>
              </w:rPr>
              <w:t xml:space="preserve">-0.0725</w:t>
            </w:r>
          </w:p>
        </w:tc>
        <w:tc>
          <w:tcPr/>
          <w:p>
            <w:pPr>
              <w:pStyle w:val="Compact"/>
              <w:jc w:val="right"/>
            </w:pPr>
            <w:r>
              <w:rPr>
                <w:sz w:val="17"/>
              </w:rPr>
              <w:t xml:space="preserve">0.0216</w:t>
            </w:r>
          </w:p>
        </w:tc>
        <w:tc>
          <w:tcPr/>
          <w:p>
            <w:pPr>
              <w:pStyle w:val="Compact"/>
              <w:jc w:val="right"/>
            </w:pPr>
            <w:r>
              <w:rPr>
                <w:sz w:val="17"/>
              </w:rPr>
              <w:t xml:space="preserve">-3.36</w:t>
            </w:r>
          </w:p>
        </w:tc>
        <w:tc>
          <w:tcPr/>
          <w:p>
            <w:pPr>
              <w:pStyle w:val="Compact"/>
              <w:jc w:val="right"/>
            </w:pPr>
            <w:r>
              <w:rPr>
                <w:sz w:val="17"/>
              </w:rPr>
              <w:t xml:space="preserve">7.8e-04</w:t>
            </w:r>
          </w:p>
        </w:tc>
      </w:tr>
    </w:tbl>
    <w:p/>
    <w:p>
      <w:pPr>
        <w:pStyle w:val="TableCaption"/>
      </w:pPr>
      <w:r>
        <w:t xml:space="preserve">EAD (CCF) regression, largest |t| terms.</w:t>
      </w:r>
    </w:p>
    <w:tbl>
      <w:tblPr>
        <w:tblStyle w:val="Table"/>
        <w:tblW w:type="auto" w:w="0"/>
        <w:tblLook w:firstRow="1" w:lastRow="0" w:firstColumn="0" w:lastColumn="0" w:noHBand="0" w:noVBand="0" w:val="0020"/>
        <w:tblCaption w:val="EAD (CCF) regression, largest |t| term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p>
            <w:pPr>
              <w:pStyle w:val="Compact"/>
              <w:jc w:val="left"/>
            </w:pPr>
            <w:r>
              <w:rPr>
                <w:sz w:val="17"/>
              </w:rPr>
              <w:t xml:space="preserve">Term</w:t>
            </w:r>
          </w:p>
        </w:tc>
        <w:tc>
          <w:tcPr/>
          <w:p>
            <w:pPr>
              <w:pStyle w:val="Compact"/>
              <w:jc w:val="right"/>
            </w:pPr>
            <w:r>
              <w:rPr>
                <w:sz w:val="17"/>
              </w:rPr>
              <w:t xml:space="preserve">Coefficient</w:t>
            </w:r>
          </w:p>
        </w:tc>
        <w:tc>
          <w:tcPr/>
          <w:p>
            <w:pPr>
              <w:pStyle w:val="Compact"/>
              <w:jc w:val="right"/>
            </w:pPr>
            <w:r>
              <w:rPr>
                <w:sz w:val="17"/>
              </w:rPr>
              <w:t xml:space="preserve">Std. error</w:t>
            </w:r>
          </w:p>
        </w:tc>
        <w:tc>
          <w:tcPr/>
          <w:p>
            <w:pPr>
              <w:pStyle w:val="Compact"/>
              <w:jc w:val="right"/>
            </w:pPr>
            <w:r>
              <w:rPr>
                <w:sz w:val="17"/>
              </w:rPr>
              <w:t xml:space="preserve">t</w:t>
            </w:r>
          </w:p>
        </w:tc>
        <w:tc>
          <w:tcPr/>
          <w:p>
            <w:pPr>
              <w:pStyle w:val="Compact"/>
              <w:jc w:val="right"/>
            </w:pPr>
            <w:r>
              <w:rPr>
                <w:sz w:val="17"/>
              </w:rPr>
              <w:t xml:space="preserve">p-value</w:t>
            </w:r>
          </w:p>
        </w:tc>
      </w:tr>
      <w:tr>
        <w:tc>
          <w:tcPr/>
          <w:p>
            <w:pPr>
              <w:pStyle w:val="Compact"/>
              <w:jc w:val="left"/>
            </w:pPr>
            <w:r>
              <w:rPr>
                <w:sz w:val="17"/>
              </w:rPr>
              <w:t xml:space="preserve">const</w:t>
            </w:r>
          </w:p>
        </w:tc>
        <w:tc>
          <w:tcPr/>
          <w:p>
            <w:pPr>
              <w:pStyle w:val="Compact"/>
              <w:jc w:val="right"/>
            </w:pPr>
            <w:r>
              <w:rPr>
                <w:sz w:val="17"/>
              </w:rPr>
              <w:t xml:space="preserve">0.6661</w:t>
            </w:r>
          </w:p>
        </w:tc>
        <w:tc>
          <w:tcPr/>
          <w:p>
            <w:pPr>
              <w:pStyle w:val="Compact"/>
              <w:jc w:val="right"/>
            </w:pPr>
            <w:r>
              <w:rPr>
                <w:sz w:val="17"/>
              </w:rPr>
              <w:t xml:space="preserve">0.0046</w:t>
            </w:r>
          </w:p>
        </w:tc>
        <w:tc>
          <w:tcPr/>
          <w:p>
            <w:pPr>
              <w:pStyle w:val="Compact"/>
              <w:jc w:val="right"/>
            </w:pPr>
            <w:r>
              <w:rPr>
                <w:sz w:val="17"/>
              </w:rPr>
              <w:t xml:space="preserve">145.96</w:t>
            </w:r>
          </w:p>
        </w:tc>
        <w:tc>
          <w:tcPr/>
          <w:p>
            <w:pPr>
              <w:pStyle w:val="Compact"/>
              <w:jc w:val="right"/>
            </w:pPr>
            <w:r>
              <w:rPr>
                <w:sz w:val="17"/>
              </w:rPr>
              <w:t xml:space="preserve">0.0e+00</w:t>
            </w:r>
          </w:p>
        </w:tc>
      </w:tr>
      <w:tr>
        <w:tc>
          <w:tcPr/>
          <w:p>
            <w:pPr>
              <w:pStyle w:val="Compact"/>
              <w:jc w:val="left"/>
            </w:pPr>
            <w:r>
              <w:rPr>
                <w:sz w:val="17"/>
              </w:rPr>
              <w:t xml:space="preserve">term_m</w:t>
            </w:r>
          </w:p>
        </w:tc>
        <w:tc>
          <w:tcPr/>
          <w:p>
            <w:pPr>
              <w:pStyle w:val="Compact"/>
              <w:jc w:val="right"/>
            </w:pPr>
            <w:r>
              <w:rPr>
                <w:sz w:val="17"/>
              </w:rPr>
              <w:t xml:space="preserve">0.0479</w:t>
            </w:r>
          </w:p>
        </w:tc>
        <w:tc>
          <w:tcPr/>
          <w:p>
            <w:pPr>
              <w:pStyle w:val="Compact"/>
              <w:jc w:val="right"/>
            </w:pPr>
            <w:r>
              <w:rPr>
                <w:sz w:val="17"/>
              </w:rPr>
              <w:t xml:space="preserve">0.0024</w:t>
            </w:r>
          </w:p>
        </w:tc>
        <w:tc>
          <w:tcPr/>
          <w:p>
            <w:pPr>
              <w:pStyle w:val="Compact"/>
              <w:jc w:val="right"/>
            </w:pPr>
            <w:r>
              <w:rPr>
                <w:sz w:val="17"/>
              </w:rPr>
              <w:t xml:space="preserve">20.33</w:t>
            </w:r>
          </w:p>
        </w:tc>
        <w:tc>
          <w:tcPr/>
          <w:p>
            <w:pPr>
              <w:pStyle w:val="Compact"/>
              <w:jc w:val="right"/>
            </w:pPr>
            <w:r>
              <w:rPr>
                <w:sz w:val="17"/>
              </w:rPr>
              <w:t xml:space="preserve">1.2e-90</w:t>
            </w:r>
          </w:p>
        </w:tc>
      </w:tr>
      <w:tr>
        <w:tc>
          <w:tcPr/>
          <w:p>
            <w:pPr>
              <w:pStyle w:val="Compact"/>
              <w:jc w:val="left"/>
            </w:pPr>
            <w:r>
              <w:rPr>
                <w:sz w:val="17"/>
              </w:rPr>
              <w:t xml:space="preserve">int_rate</w:t>
            </w:r>
          </w:p>
        </w:tc>
        <w:tc>
          <w:tcPr/>
          <w:p>
            <w:pPr>
              <w:pStyle w:val="Compact"/>
              <w:jc w:val="right"/>
            </w:pPr>
            <w:r>
              <w:rPr>
                <w:sz w:val="17"/>
              </w:rPr>
              <w:t xml:space="preserve">0.0414</w:t>
            </w:r>
          </w:p>
        </w:tc>
        <w:tc>
          <w:tcPr/>
          <w:p>
            <w:pPr>
              <w:pStyle w:val="Compact"/>
              <w:jc w:val="right"/>
            </w:pPr>
            <w:r>
              <w:rPr>
                <w:sz w:val="17"/>
              </w:rPr>
              <w:t xml:space="preserve">0.0028</w:t>
            </w:r>
          </w:p>
        </w:tc>
        <w:tc>
          <w:tcPr/>
          <w:p>
            <w:pPr>
              <w:pStyle w:val="Compact"/>
              <w:jc w:val="right"/>
            </w:pPr>
            <w:r>
              <w:rPr>
                <w:sz w:val="17"/>
              </w:rPr>
              <w:t xml:space="preserve">14.96</w:t>
            </w:r>
          </w:p>
        </w:tc>
        <w:tc>
          <w:tcPr/>
          <w:p>
            <w:pPr>
              <w:pStyle w:val="Compact"/>
              <w:jc w:val="right"/>
            </w:pPr>
            <w:r>
              <w:rPr>
                <w:sz w:val="17"/>
              </w:rPr>
              <w:t xml:space="preserve">3.3e-50</w:t>
            </w:r>
          </w:p>
        </w:tc>
      </w:tr>
      <w:tr>
        <w:tc>
          <w:tcPr/>
          <w:p>
            <w:pPr>
              <w:pStyle w:val="Compact"/>
              <w:jc w:val="left"/>
            </w:pPr>
            <w:r>
              <w:rPr>
                <w:sz w:val="17"/>
              </w:rPr>
              <w:t xml:space="preserve">inq_last_6mths</w:t>
            </w:r>
          </w:p>
        </w:tc>
        <w:tc>
          <w:tcPr/>
          <w:p>
            <w:pPr>
              <w:pStyle w:val="Compact"/>
              <w:jc w:val="right"/>
            </w:pPr>
            <w:r>
              <w:rPr>
                <w:sz w:val="17"/>
              </w:rPr>
              <w:t xml:space="preserve">0.0173</w:t>
            </w:r>
          </w:p>
        </w:tc>
        <w:tc>
          <w:tcPr/>
          <w:p>
            <w:pPr>
              <w:pStyle w:val="Compact"/>
              <w:jc w:val="right"/>
            </w:pPr>
            <w:r>
              <w:rPr>
                <w:sz w:val="17"/>
              </w:rPr>
              <w:t xml:space="preserve">0.0020</w:t>
            </w:r>
          </w:p>
        </w:tc>
        <w:tc>
          <w:tcPr/>
          <w:p>
            <w:pPr>
              <w:pStyle w:val="Compact"/>
              <w:jc w:val="right"/>
            </w:pPr>
            <w:r>
              <w:rPr>
                <w:sz w:val="17"/>
              </w:rPr>
              <w:t xml:space="preserve">8.65</w:t>
            </w:r>
          </w:p>
        </w:tc>
        <w:tc>
          <w:tcPr/>
          <w:p>
            <w:pPr>
              <w:pStyle w:val="Compact"/>
              <w:jc w:val="right"/>
            </w:pPr>
            <w:r>
              <w:rPr>
                <w:sz w:val="17"/>
              </w:rPr>
              <w:t xml:space="preserve">5.9e-18</w:t>
            </w:r>
          </w:p>
        </w:tc>
      </w:tr>
      <w:tr>
        <w:tc>
          <w:tcPr/>
          <w:p>
            <w:pPr>
              <w:pStyle w:val="Compact"/>
              <w:jc w:val="left"/>
            </w:pPr>
            <w:r>
              <w:rPr>
                <w:sz w:val="17"/>
              </w:rPr>
              <w:t xml:space="preserve">mths_since_last_delinq_reported</w:t>
            </w:r>
          </w:p>
        </w:tc>
        <w:tc>
          <w:tcPr/>
          <w:p>
            <w:pPr>
              <w:pStyle w:val="Compact"/>
              <w:jc w:val="right"/>
            </w:pPr>
            <w:r>
              <w:rPr>
                <w:sz w:val="17"/>
              </w:rPr>
              <w:t xml:space="preserve">-0.0313</w:t>
            </w:r>
          </w:p>
        </w:tc>
        <w:tc>
          <w:tcPr/>
          <w:p>
            <w:pPr>
              <w:pStyle w:val="Compact"/>
              <w:jc w:val="right"/>
            </w:pPr>
            <w:r>
              <w:rPr>
                <w:sz w:val="17"/>
              </w:rPr>
              <w:t xml:space="preserve">0.0045</w:t>
            </w:r>
          </w:p>
        </w:tc>
        <w:tc>
          <w:tcPr/>
          <w:p>
            <w:pPr>
              <w:pStyle w:val="Compact"/>
              <w:jc w:val="right"/>
            </w:pPr>
            <w:r>
              <w:rPr>
                <w:sz w:val="17"/>
              </w:rPr>
              <w:t xml:space="preserve">-6.94</w:t>
            </w:r>
          </w:p>
        </w:tc>
        <w:tc>
          <w:tcPr/>
          <w:p>
            <w:pPr>
              <w:pStyle w:val="Compact"/>
              <w:jc w:val="right"/>
            </w:pPr>
            <w:r>
              <w:rPr>
                <w:sz w:val="17"/>
              </w:rPr>
              <w:t xml:space="preserve">4.0e-12</w:t>
            </w:r>
          </w:p>
        </w:tc>
      </w:tr>
      <w:tr>
        <w:tc>
          <w:tcPr/>
          <w:p>
            <w:pPr>
              <w:pStyle w:val="Compact"/>
              <w:jc w:val="left"/>
            </w:pPr>
            <w:r>
              <w:rPr>
                <w:sz w:val="17"/>
              </w:rPr>
              <w:t xml:space="preserve">open_acc</w:t>
            </w:r>
          </w:p>
        </w:tc>
        <w:tc>
          <w:tcPr/>
          <w:p>
            <w:pPr>
              <w:pStyle w:val="Compact"/>
              <w:jc w:val="right"/>
            </w:pPr>
            <w:r>
              <w:rPr>
                <w:sz w:val="17"/>
              </w:rPr>
              <w:t xml:space="preserve">-0.0196</w:t>
            </w:r>
          </w:p>
        </w:tc>
        <w:tc>
          <w:tcPr/>
          <w:p>
            <w:pPr>
              <w:pStyle w:val="Compact"/>
              <w:jc w:val="right"/>
            </w:pPr>
            <w:r>
              <w:rPr>
                <w:sz w:val="17"/>
              </w:rPr>
              <w:t xml:space="preserve">0.0028</w:t>
            </w:r>
          </w:p>
        </w:tc>
        <w:tc>
          <w:tcPr/>
          <w:p>
            <w:pPr>
              <w:pStyle w:val="Compact"/>
              <w:jc w:val="right"/>
            </w:pPr>
            <w:r>
              <w:rPr>
                <w:sz w:val="17"/>
              </w:rPr>
              <w:t xml:space="preserve">-6.90</w:t>
            </w:r>
          </w:p>
        </w:tc>
        <w:tc>
          <w:tcPr/>
          <w:p>
            <w:pPr>
              <w:pStyle w:val="Compact"/>
              <w:jc w:val="right"/>
            </w:pPr>
            <w:r>
              <w:rPr>
                <w:sz w:val="17"/>
              </w:rPr>
              <w:t xml:space="preserve">5.5e-12</w:t>
            </w:r>
          </w:p>
        </w:tc>
      </w:tr>
      <w:tr>
        <w:tc>
          <w:tcPr/>
          <w:p>
            <w:pPr>
              <w:pStyle w:val="Compact"/>
              <w:jc w:val="left"/>
            </w:pPr>
            <w:r>
              <w:rPr>
                <w:sz w:val="17"/>
              </w:rPr>
              <w:t xml:space="preserve">total_acc</w:t>
            </w:r>
          </w:p>
        </w:tc>
        <w:tc>
          <w:tcPr/>
          <w:p>
            <w:pPr>
              <w:pStyle w:val="Compact"/>
              <w:jc w:val="right"/>
            </w:pPr>
            <w:r>
              <w:rPr>
                <w:sz w:val="17"/>
              </w:rPr>
              <w:t xml:space="preserve">0.0157</w:t>
            </w:r>
          </w:p>
        </w:tc>
        <w:tc>
          <w:tcPr/>
          <w:p>
            <w:pPr>
              <w:pStyle w:val="Compact"/>
              <w:jc w:val="right"/>
            </w:pPr>
            <w:r>
              <w:rPr>
                <w:sz w:val="17"/>
              </w:rPr>
              <w:t xml:space="preserve">0.0029</w:t>
            </w:r>
          </w:p>
        </w:tc>
        <w:tc>
          <w:tcPr/>
          <w:p>
            <w:pPr>
              <w:pStyle w:val="Compact"/>
              <w:jc w:val="right"/>
            </w:pPr>
            <w:r>
              <w:rPr>
                <w:sz w:val="17"/>
              </w:rPr>
              <w:t xml:space="preserve">5.41</w:t>
            </w:r>
          </w:p>
        </w:tc>
        <w:tc>
          <w:tcPr/>
          <w:p>
            <w:pPr>
              <w:pStyle w:val="Compact"/>
              <w:jc w:val="right"/>
            </w:pPr>
            <w:r>
              <w:rPr>
                <w:sz w:val="17"/>
              </w:rPr>
              <w:t xml:space="preserve">6.4e-08</w:t>
            </w:r>
          </w:p>
        </w:tc>
      </w:tr>
      <w:tr>
        <w:tc>
          <w:tcPr/>
          <w:p>
            <w:pPr>
              <w:pStyle w:val="Compact"/>
              <w:jc w:val="left"/>
            </w:pPr>
            <w:r>
              <w:rPr>
                <w:sz w:val="17"/>
              </w:rPr>
              <w:t xml:space="preserve">purpose=small_business</w:t>
            </w:r>
          </w:p>
        </w:tc>
        <w:tc>
          <w:tcPr/>
          <w:p>
            <w:pPr>
              <w:pStyle w:val="Compact"/>
              <w:jc w:val="right"/>
            </w:pPr>
            <w:r>
              <w:rPr>
                <w:sz w:val="17"/>
              </w:rPr>
              <w:t xml:space="preserve">0.0435</w:t>
            </w:r>
          </w:p>
        </w:tc>
        <w:tc>
          <w:tcPr/>
          <w:p>
            <w:pPr>
              <w:pStyle w:val="Compact"/>
              <w:jc w:val="right"/>
            </w:pPr>
            <w:r>
              <w:rPr>
                <w:sz w:val="17"/>
              </w:rPr>
              <w:t xml:space="preserve">0.0082</w:t>
            </w:r>
          </w:p>
        </w:tc>
        <w:tc>
          <w:tcPr/>
          <w:p>
            <w:pPr>
              <w:pStyle w:val="Compact"/>
              <w:jc w:val="right"/>
            </w:pPr>
            <w:r>
              <w:rPr>
                <w:sz w:val="17"/>
              </w:rPr>
              <w:t xml:space="preserve">5.33</w:t>
            </w:r>
          </w:p>
        </w:tc>
        <w:tc>
          <w:tcPr/>
          <w:p>
            <w:pPr>
              <w:pStyle w:val="Compact"/>
              <w:jc w:val="right"/>
            </w:pPr>
            <w:r>
              <w:rPr>
                <w:sz w:val="17"/>
              </w:rPr>
              <w:t xml:space="preserve">1.0e-07</w:t>
            </w:r>
          </w:p>
        </w:tc>
      </w:tr>
    </w:tbl>
    <w:bookmarkEnd w:id="115"/>
    <w:bookmarkStart w:id="116" w:name="immature-recoveries"/>
    <w:p>
      <w:pPr>
        <w:pStyle w:val="Heading2"/>
      </w:pPr>
      <w:r>
        <w:rPr>
          <w:rStyle w:val="SectionNumber"/>
        </w:rPr>
        <w:t xml:space="preserve">15.3</w:t>
      </w:r>
      <w:r>
        <w:tab/>
      </w:r>
      <w:r>
        <w:t xml:space="preserve">Immature recoveries</w:t>
      </w:r>
    </w:p>
    <w:p>
      <w:pPr>
        <w:pStyle w:val="FirstParagraph"/>
      </w:pPr>
      <w:r>
        <w:t xml:space="preserve">Recoveries arrive months or years after charge-off. Loans that defaulted late in the observation window have had little time to recover, so recovery rates and the share with any recovery are understated for them.</w:t>
      </w:r>
    </w:p>
    <w:p>
      <w:pPr>
        <w:pStyle w:val="TableCaption"/>
      </w:pPr>
      <w:r>
        <w:t xml:space="preserve">Charged-off loans by year of last payment (a proxy for default year, because the file has no default date).</w:t>
      </w:r>
    </w:p>
    <w:tbl>
      <w:tblPr>
        <w:tblStyle w:val="Table"/>
        <w:tblW w:type="pct" w:w="5000"/>
        <w:tblLayout w:type="fixed"/>
        <w:tblLook w:firstRow="1" w:lastRow="0" w:firstColumn="0" w:lastColumn="0" w:noHBand="0" w:noVBand="0" w:val="0020"/>
        <w:tblCaption w:val="Charged-off loans by year of last payment (a proxy for default year, because the file has no default dat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12"/>
        <w:gridCol w:w="1795"/>
        <w:gridCol w:w="1267"/>
        <w:gridCol w:w="1900"/>
        <w:gridCol w:w="844"/>
      </w:tblGrid>
      <w:tr>
        <w:trPr>
          <w:tblHeader w:val="on"/>
        </w:trPr>
        <w:tc>
          <w:tcPr/>
          <w:p>
            <w:pPr>
              <w:pStyle w:val="Compact"/>
              <w:jc w:val="left"/>
            </w:pPr>
            <w:r>
              <w:rPr>
                <w:sz w:val="17"/>
              </w:rPr>
              <w:t xml:space="preserve">Year of last payment</w:t>
            </w:r>
          </w:p>
        </w:tc>
        <w:tc>
          <w:tcPr/>
          <w:p>
            <w:pPr>
              <w:pStyle w:val="Compact"/>
              <w:jc w:val="right"/>
            </w:pPr>
            <w:r>
              <w:rPr>
                <w:sz w:val="17"/>
              </w:rPr>
              <w:t xml:space="preserve">Charged-off loans</w:t>
            </w:r>
          </w:p>
        </w:tc>
        <w:tc>
          <w:tcPr/>
          <w:p>
            <w:pPr>
              <w:pStyle w:val="Compact"/>
              <w:jc w:val="right"/>
            </w:pPr>
            <w:r>
              <w:rPr>
                <w:sz w:val="17"/>
              </w:rPr>
              <w:t xml:space="preserve">Any recovery</w:t>
            </w:r>
          </w:p>
        </w:tc>
        <w:tc>
          <w:tcPr/>
          <w:p>
            <w:pPr>
              <w:pStyle w:val="Compact"/>
              <w:jc w:val="right"/>
            </w:pPr>
            <w:r>
              <w:rPr>
                <w:sz w:val="17"/>
              </w:rPr>
              <w:t xml:space="preserve">Mean recovery rate</w:t>
            </w:r>
          </w:p>
        </w:tc>
        <w:tc>
          <w:tcPr/>
          <w:p>
            <w:pPr>
              <w:pStyle w:val="Compact"/>
              <w:jc w:val="right"/>
            </w:pPr>
            <w:r>
              <w:rPr>
                <w:sz w:val="17"/>
              </w:rPr>
              <w:t xml:space="preserve">Mean CCF</w:t>
            </w:r>
          </w:p>
        </w:tc>
      </w:tr>
      <w:tr>
        <w:tc>
          <w:tcPr/>
          <w:p>
            <w:pPr>
              <w:pStyle w:val="Compact"/>
              <w:jc w:val="left"/>
            </w:pPr>
            <w:r>
              <w:rPr>
                <w:sz w:val="17"/>
              </w:rPr>
              <w:t xml:space="preserve">2007</w:t>
            </w:r>
          </w:p>
        </w:tc>
        <w:tc>
          <w:tcPr/>
          <w:p>
            <w:pPr>
              <w:pStyle w:val="Compact"/>
              <w:jc w:val="right"/>
            </w:pPr>
            <w:r>
              <w:rPr>
                <w:sz w:val="17"/>
              </w:rPr>
              <w:t xml:space="preserve">1</w:t>
            </w:r>
          </w:p>
        </w:tc>
        <w:tc>
          <w:tcPr/>
          <w:p>
            <w:pPr>
              <w:pStyle w:val="Compact"/>
              <w:jc w:val="right"/>
            </w:pPr>
            <w:r>
              <w:rPr>
                <w:sz w:val="17"/>
              </w:rPr>
              <w:t xml:space="preserve">100.00%</w:t>
            </w:r>
          </w:p>
        </w:tc>
        <w:tc>
          <w:tcPr/>
          <w:p>
            <w:pPr>
              <w:pStyle w:val="Compact"/>
              <w:jc w:val="right"/>
            </w:pPr>
            <w:r>
              <w:rPr>
                <w:sz w:val="17"/>
              </w:rPr>
              <w:t xml:space="preserve">0.0428</w:t>
            </w:r>
          </w:p>
        </w:tc>
        <w:tc>
          <w:tcPr/>
          <w:p>
            <w:pPr>
              <w:pStyle w:val="Compact"/>
              <w:jc w:val="right"/>
            </w:pPr>
            <w:r>
              <w:rPr>
                <w:sz w:val="17"/>
              </w:rPr>
              <w:t xml:space="preserve">0.951</w:t>
            </w:r>
          </w:p>
        </w:tc>
      </w:tr>
      <w:tr>
        <w:tc>
          <w:tcPr/>
          <w:p>
            <w:pPr>
              <w:pStyle w:val="Compact"/>
              <w:jc w:val="left"/>
            </w:pPr>
            <w:r>
              <w:rPr>
                <w:sz w:val="17"/>
              </w:rPr>
              <w:t xml:space="preserve">2008</w:t>
            </w:r>
          </w:p>
        </w:tc>
        <w:tc>
          <w:tcPr/>
          <w:p>
            <w:pPr>
              <w:pStyle w:val="Compact"/>
              <w:jc w:val="right"/>
            </w:pPr>
            <w:r>
              <w:rPr>
                <w:sz w:val="17"/>
              </w:rPr>
              <w:t xml:space="preserve">188</w:t>
            </w:r>
          </w:p>
        </w:tc>
        <w:tc>
          <w:tcPr/>
          <w:p>
            <w:pPr>
              <w:pStyle w:val="Compact"/>
              <w:jc w:val="right"/>
            </w:pPr>
            <w:r>
              <w:rPr>
                <w:sz w:val="17"/>
              </w:rPr>
              <w:t xml:space="preserve">50.53%</w:t>
            </w:r>
          </w:p>
        </w:tc>
        <w:tc>
          <w:tcPr/>
          <w:p>
            <w:pPr>
              <w:pStyle w:val="Compact"/>
              <w:jc w:val="right"/>
            </w:pPr>
            <w:r>
              <w:rPr>
                <w:sz w:val="17"/>
              </w:rPr>
              <w:t xml:space="preserve">0.0680</w:t>
            </w:r>
          </w:p>
        </w:tc>
        <w:tc>
          <w:tcPr/>
          <w:p>
            <w:pPr>
              <w:pStyle w:val="Compact"/>
              <w:jc w:val="right"/>
            </w:pPr>
            <w:r>
              <w:rPr>
                <w:sz w:val="17"/>
              </w:rPr>
              <w:t xml:space="preserve">0.846</w:t>
            </w:r>
          </w:p>
        </w:tc>
      </w:tr>
      <w:tr>
        <w:tc>
          <w:tcPr/>
          <w:p>
            <w:pPr>
              <w:pStyle w:val="Compact"/>
              <w:jc w:val="left"/>
            </w:pPr>
            <w:r>
              <w:rPr>
                <w:sz w:val="17"/>
              </w:rPr>
              <w:t xml:space="preserve">2009</w:t>
            </w:r>
          </w:p>
        </w:tc>
        <w:tc>
          <w:tcPr/>
          <w:p>
            <w:pPr>
              <w:pStyle w:val="Compact"/>
              <w:jc w:val="right"/>
            </w:pPr>
            <w:r>
              <w:rPr>
                <w:sz w:val="17"/>
              </w:rPr>
              <w:t xml:space="preserve">405</w:t>
            </w:r>
          </w:p>
        </w:tc>
        <w:tc>
          <w:tcPr/>
          <w:p>
            <w:pPr>
              <w:pStyle w:val="Compact"/>
              <w:jc w:val="right"/>
            </w:pPr>
            <w:r>
              <w:rPr>
                <w:sz w:val="17"/>
              </w:rPr>
              <w:t xml:space="preserve">56.54%</w:t>
            </w:r>
          </w:p>
        </w:tc>
        <w:tc>
          <w:tcPr/>
          <w:p>
            <w:pPr>
              <w:pStyle w:val="Compact"/>
              <w:jc w:val="right"/>
            </w:pPr>
            <w:r>
              <w:rPr>
                <w:sz w:val="17"/>
              </w:rPr>
              <w:t xml:space="preserve">0.0594</w:t>
            </w:r>
          </w:p>
        </w:tc>
        <w:tc>
          <w:tcPr/>
          <w:p>
            <w:pPr>
              <w:pStyle w:val="Compact"/>
              <w:jc w:val="right"/>
            </w:pPr>
            <w:r>
              <w:rPr>
                <w:sz w:val="17"/>
              </w:rPr>
              <w:t xml:space="preserve">0.752</w:t>
            </w:r>
          </w:p>
        </w:tc>
      </w:tr>
      <w:tr>
        <w:tc>
          <w:tcPr/>
          <w:p>
            <w:pPr>
              <w:pStyle w:val="Compact"/>
              <w:jc w:val="left"/>
            </w:pPr>
            <w:r>
              <w:rPr>
                <w:sz w:val="17"/>
              </w:rPr>
              <w:t xml:space="preserve">2010</w:t>
            </w:r>
          </w:p>
        </w:tc>
        <w:tc>
          <w:tcPr/>
          <w:p>
            <w:pPr>
              <w:pStyle w:val="Compact"/>
              <w:jc w:val="right"/>
            </w:pPr>
            <w:r>
              <w:rPr>
                <w:sz w:val="17"/>
              </w:rPr>
              <w:t xml:space="preserve">706</w:t>
            </w:r>
          </w:p>
        </w:tc>
        <w:tc>
          <w:tcPr/>
          <w:p>
            <w:pPr>
              <w:pStyle w:val="Compact"/>
              <w:jc w:val="right"/>
            </w:pPr>
            <w:r>
              <w:rPr>
                <w:sz w:val="17"/>
              </w:rPr>
              <w:t xml:space="preserve">61.33%</w:t>
            </w:r>
          </w:p>
        </w:tc>
        <w:tc>
          <w:tcPr/>
          <w:p>
            <w:pPr>
              <w:pStyle w:val="Compact"/>
              <w:jc w:val="right"/>
            </w:pPr>
            <w:r>
              <w:rPr>
                <w:sz w:val="17"/>
              </w:rPr>
              <w:t xml:space="preserve">0.0597</w:t>
            </w:r>
          </w:p>
        </w:tc>
        <w:tc>
          <w:tcPr/>
          <w:p>
            <w:pPr>
              <w:pStyle w:val="Compact"/>
              <w:jc w:val="right"/>
            </w:pPr>
            <w:r>
              <w:rPr>
                <w:sz w:val="17"/>
              </w:rPr>
              <w:t xml:space="preserve">0.726</w:t>
            </w:r>
          </w:p>
        </w:tc>
      </w:tr>
      <w:tr>
        <w:tc>
          <w:tcPr/>
          <w:p>
            <w:pPr>
              <w:pStyle w:val="Compact"/>
              <w:jc w:val="left"/>
            </w:pPr>
            <w:r>
              <w:rPr>
                <w:sz w:val="17"/>
              </w:rPr>
              <w:t xml:space="preserve">2011</w:t>
            </w:r>
          </w:p>
        </w:tc>
        <w:tc>
          <w:tcPr/>
          <w:p>
            <w:pPr>
              <w:pStyle w:val="Compact"/>
              <w:jc w:val="right"/>
            </w:pPr>
            <w:r>
              <w:rPr>
                <w:sz w:val="17"/>
              </w:rPr>
              <w:t xml:space="preserve">1,227</w:t>
            </w:r>
          </w:p>
        </w:tc>
        <w:tc>
          <w:tcPr/>
          <w:p>
            <w:pPr>
              <w:pStyle w:val="Compact"/>
              <w:jc w:val="right"/>
            </w:pPr>
            <w:r>
              <w:rPr>
                <w:sz w:val="17"/>
              </w:rPr>
              <w:t xml:space="preserve">68.13%</w:t>
            </w:r>
          </w:p>
        </w:tc>
        <w:tc>
          <w:tcPr/>
          <w:p>
            <w:pPr>
              <w:pStyle w:val="Compact"/>
              <w:jc w:val="right"/>
            </w:pPr>
            <w:r>
              <w:rPr>
                <w:sz w:val="17"/>
              </w:rPr>
              <w:t xml:space="preserve">0.0711</w:t>
            </w:r>
          </w:p>
        </w:tc>
        <w:tc>
          <w:tcPr/>
          <w:p>
            <w:pPr>
              <w:pStyle w:val="Compact"/>
              <w:jc w:val="right"/>
            </w:pPr>
            <w:r>
              <w:rPr>
                <w:sz w:val="17"/>
              </w:rPr>
              <w:t xml:space="preserve">0.766</w:t>
            </w:r>
          </w:p>
        </w:tc>
      </w:tr>
      <w:tr>
        <w:tc>
          <w:tcPr/>
          <w:p>
            <w:pPr>
              <w:pStyle w:val="Compact"/>
              <w:jc w:val="left"/>
            </w:pPr>
            <w:r>
              <w:rPr>
                <w:sz w:val="17"/>
              </w:rPr>
              <w:t xml:space="preserve">2012</w:t>
            </w:r>
          </w:p>
        </w:tc>
        <w:tc>
          <w:tcPr/>
          <w:p>
            <w:pPr>
              <w:pStyle w:val="Compact"/>
              <w:jc w:val="right"/>
            </w:pPr>
            <w:r>
              <w:rPr>
                <w:sz w:val="17"/>
              </w:rPr>
              <w:t xml:space="preserve">2,698</w:t>
            </w:r>
          </w:p>
        </w:tc>
        <w:tc>
          <w:tcPr/>
          <w:p>
            <w:pPr>
              <w:pStyle w:val="Compact"/>
              <w:jc w:val="right"/>
            </w:pPr>
            <w:r>
              <w:rPr>
                <w:sz w:val="17"/>
              </w:rPr>
              <w:t xml:space="preserve">74.24%</w:t>
            </w:r>
          </w:p>
        </w:tc>
        <w:tc>
          <w:tcPr/>
          <w:p>
            <w:pPr>
              <w:pStyle w:val="Compact"/>
              <w:jc w:val="right"/>
            </w:pPr>
            <w:r>
              <w:rPr>
                <w:sz w:val="17"/>
              </w:rPr>
              <w:t xml:space="preserve">0.0517</w:t>
            </w:r>
          </w:p>
        </w:tc>
        <w:tc>
          <w:tcPr/>
          <w:p>
            <w:pPr>
              <w:pStyle w:val="Compact"/>
              <w:jc w:val="right"/>
            </w:pPr>
            <w:r>
              <w:rPr>
                <w:sz w:val="17"/>
              </w:rPr>
              <w:t xml:space="preserve">0.778</w:t>
            </w:r>
          </w:p>
        </w:tc>
      </w:tr>
      <w:tr>
        <w:tc>
          <w:tcPr/>
          <w:p>
            <w:pPr>
              <w:pStyle w:val="Compact"/>
              <w:jc w:val="left"/>
            </w:pPr>
            <w:r>
              <w:rPr>
                <w:sz w:val="17"/>
              </w:rPr>
              <w:t xml:space="preserve">2013</w:t>
            </w:r>
          </w:p>
        </w:tc>
        <w:tc>
          <w:tcPr/>
          <w:p>
            <w:pPr>
              <w:pStyle w:val="Compact"/>
              <w:jc w:val="right"/>
            </w:pPr>
            <w:r>
              <w:rPr>
                <w:sz w:val="17"/>
              </w:rPr>
              <w:t xml:space="preserve">6,554</w:t>
            </w:r>
          </w:p>
        </w:tc>
        <w:tc>
          <w:tcPr/>
          <w:p>
            <w:pPr>
              <w:pStyle w:val="Compact"/>
              <w:jc w:val="right"/>
            </w:pPr>
            <w:r>
              <w:rPr>
                <w:sz w:val="17"/>
              </w:rPr>
              <w:t xml:space="preserve">74.61%</w:t>
            </w:r>
          </w:p>
        </w:tc>
        <w:tc>
          <w:tcPr/>
          <w:p>
            <w:pPr>
              <w:pStyle w:val="Compact"/>
              <w:jc w:val="right"/>
            </w:pPr>
            <w:r>
              <w:rPr>
                <w:sz w:val="17"/>
              </w:rPr>
              <w:t xml:space="preserve">0.0682</w:t>
            </w:r>
          </w:p>
        </w:tc>
        <w:tc>
          <w:tcPr/>
          <w:p>
            <w:pPr>
              <w:pStyle w:val="Compact"/>
              <w:jc w:val="right"/>
            </w:pPr>
            <w:r>
              <w:rPr>
                <w:sz w:val="17"/>
              </w:rPr>
              <w:t xml:space="preserve">0.769</w:t>
            </w:r>
          </w:p>
        </w:tc>
      </w:tr>
      <w:tr>
        <w:tc>
          <w:tcPr/>
          <w:p>
            <w:pPr>
              <w:pStyle w:val="Compact"/>
              <w:jc w:val="left"/>
            </w:pPr>
            <w:r>
              <w:rPr>
                <w:sz w:val="17"/>
              </w:rPr>
              <w:t xml:space="preserve">2014</w:t>
            </w:r>
          </w:p>
        </w:tc>
        <w:tc>
          <w:tcPr/>
          <w:p>
            <w:pPr>
              <w:pStyle w:val="Compact"/>
              <w:jc w:val="right"/>
            </w:pPr>
            <w:r>
              <w:rPr>
                <w:sz w:val="17"/>
              </w:rPr>
              <w:t xml:space="preserve">15,090</w:t>
            </w:r>
          </w:p>
        </w:tc>
        <w:tc>
          <w:tcPr/>
          <w:p>
            <w:pPr>
              <w:pStyle w:val="Compact"/>
              <w:jc w:val="right"/>
            </w:pPr>
            <w:r>
              <w:rPr>
                <w:sz w:val="17"/>
              </w:rPr>
              <w:t xml:space="preserve">70.39%</w:t>
            </w:r>
          </w:p>
        </w:tc>
        <w:tc>
          <w:tcPr/>
          <w:p>
            <w:pPr>
              <w:pStyle w:val="Compact"/>
              <w:jc w:val="right"/>
            </w:pPr>
            <w:r>
              <w:rPr>
                <w:sz w:val="17"/>
              </w:rPr>
              <w:t xml:space="preserve">0.0816</w:t>
            </w:r>
          </w:p>
        </w:tc>
        <w:tc>
          <w:tcPr/>
          <w:p>
            <w:pPr>
              <w:pStyle w:val="Compact"/>
              <w:jc w:val="right"/>
            </w:pPr>
            <w:r>
              <w:rPr>
                <w:sz w:val="17"/>
              </w:rPr>
              <w:t xml:space="preserve">0.749</w:t>
            </w:r>
          </w:p>
        </w:tc>
      </w:tr>
      <w:tr>
        <w:tc>
          <w:tcPr/>
          <w:p>
            <w:pPr>
              <w:pStyle w:val="Compact"/>
              <w:jc w:val="left"/>
            </w:pPr>
            <w:r>
              <w:rPr>
                <w:sz w:val="17"/>
              </w:rPr>
              <w:t xml:space="preserve">2015</w:t>
            </w:r>
          </w:p>
        </w:tc>
        <w:tc>
          <w:tcPr/>
          <w:p>
            <w:pPr>
              <w:pStyle w:val="Compact"/>
              <w:jc w:val="right"/>
            </w:pPr>
            <w:r>
              <w:rPr>
                <w:sz w:val="17"/>
              </w:rPr>
              <w:t xml:space="preserve">16,348</w:t>
            </w:r>
          </w:p>
        </w:tc>
        <w:tc>
          <w:tcPr/>
          <w:p>
            <w:pPr>
              <w:pStyle w:val="Compact"/>
              <w:jc w:val="right"/>
            </w:pPr>
            <w:r>
              <w:rPr>
                <w:sz w:val="17"/>
              </w:rPr>
              <w:t xml:space="preserve">32.19%</w:t>
            </w:r>
          </w:p>
        </w:tc>
        <w:tc>
          <w:tcPr/>
          <w:p>
            <w:pPr>
              <w:pStyle w:val="Compact"/>
              <w:jc w:val="right"/>
            </w:pPr>
            <w:r>
              <w:rPr>
                <w:sz w:val="17"/>
              </w:rPr>
              <w:t xml:space="preserve">0.0393</w:t>
            </w:r>
          </w:p>
        </w:tc>
        <w:tc>
          <w:tcPr/>
          <w:p>
            <w:pPr>
              <w:pStyle w:val="Compact"/>
              <w:jc w:val="right"/>
            </w:pPr>
            <w:r>
              <w:rPr>
                <w:sz w:val="17"/>
              </w:rPr>
              <w:t xml:space="preserve">0.700</w:t>
            </w:r>
          </w:p>
        </w:tc>
      </w:tr>
      <w:tr>
        <w:tc>
          <w:tcPr/>
          <w:p>
            <w:pPr>
              <w:pStyle w:val="Compact"/>
              <w:jc w:val="left"/>
            </w:pPr>
            <w:r>
              <w:rPr>
                <w:sz w:val="17"/>
              </w:rPr>
              <w:t xml:space="preserve">2016</w:t>
            </w:r>
          </w:p>
        </w:tc>
        <w:tc>
          <w:tcPr/>
          <w:p>
            <w:pPr>
              <w:pStyle w:val="Compact"/>
              <w:jc w:val="right"/>
            </w:pPr>
            <w:r>
              <w:rPr>
                <w:sz w:val="17"/>
              </w:rPr>
              <w:t xml:space="preserve">19</w:t>
            </w:r>
          </w:p>
        </w:tc>
        <w:tc>
          <w:tcPr/>
          <w:p>
            <w:pPr>
              <w:pStyle w:val="Compact"/>
              <w:jc w:val="right"/>
            </w:pPr>
            <w:r>
              <w:rPr>
                <w:sz w:val="17"/>
              </w:rPr>
              <w:t xml:space="preserve">0.00%</w:t>
            </w:r>
          </w:p>
        </w:tc>
        <w:tc>
          <w:tcPr/>
          <w:p>
            <w:pPr>
              <w:pStyle w:val="Compact"/>
              <w:jc w:val="right"/>
            </w:pPr>
            <w:r>
              <w:rPr>
                <w:sz w:val="17"/>
              </w:rPr>
              <w:t xml:space="preserve">0.0000</w:t>
            </w:r>
          </w:p>
        </w:tc>
        <w:tc>
          <w:tcPr/>
          <w:p>
            <w:pPr>
              <w:pStyle w:val="Compact"/>
              <w:jc w:val="right"/>
            </w:pPr>
            <w:r>
              <w:rPr>
                <w:sz w:val="17"/>
              </w:rPr>
              <w:t xml:space="preserve">0.645</w:t>
            </w:r>
          </w:p>
        </w:tc>
      </w:tr>
    </w:tbl>
    <w:p>
      <w:pPr>
        <w:pStyle w:val="BodyText"/>
      </w:pPr>
      <w:r>
        <w:t xml:space="preserve">The share of defaults with any recovery is 74% for defaults with a last payment in 2012 and 75% in 2013, falls to 70% in 2014 and to 32% in 2015. The 2014 and 2015 figures are immature, not a change in recovery behaviour, so 2014 loans are reported but not fitted and the stage 1 model, which predicts a recovery probability near 74% for every sample, over-predicts for recent cohorts mechanically (finding F-11). A production LGD should be built on mature default cohorts or use a development-pattern adjustment.</w:t>
      </w:r>
    </w:p>
    <w:bookmarkEnd w:id="116"/>
    <w:bookmarkStart w:id="120" w:name="expected-loss-back-test-12-month"/>
    <w:p>
      <w:pPr>
        <w:pStyle w:val="Heading2"/>
      </w:pPr>
      <w:r>
        <w:rPr>
          <w:rStyle w:val="SectionNumber"/>
        </w:rPr>
        <w:t xml:space="preserve">15.4</w:t>
      </w:r>
      <w:r>
        <w:tab/>
      </w:r>
      <w:r>
        <w:t xml:space="preserve">Expected-loss back-test: 12-month</w:t>
      </w:r>
    </w:p>
    <w:p>
      <w:pPr>
        <w:pStyle w:val="FirstParagraph"/>
      </w:pPr>
      <w:r>
        <w:t xml:space="preserve">For each loan the 12-month expected loss is</w:t>
      </w:r>
      <w:r>
        <w:t xml:space="preserve"> </w:t>
      </w:r>
      <m:oMath>
        <m:r>
          <m:t>E</m:t>
        </m:r>
        <m:r>
          <m:t>L</m:t>
        </m:r>
        <m:r>
          <m:rPr>
            <m:sty m:val="p"/>
          </m:rPr>
          <m:t>=</m:t>
        </m:r>
        <m:r>
          <m:t>P</m:t>
        </m:r>
        <m:sSub>
          <m:e>
            <m:r>
              <m:t>D</m:t>
            </m:r>
          </m:e>
          <m:sub>
            <m:r>
              <m:t>12</m:t>
            </m:r>
          </m:sub>
        </m:sSub>
        <m:r>
          <m:rPr>
            <m:sty m:val="p"/>
          </m:rPr>
          <m:t>×</m:t>
        </m:r>
        <m:r>
          <m:t>L</m:t>
        </m:r>
        <m:r>
          <m:t>G</m:t>
        </m:r>
        <m:r>
          <m:t>D</m:t>
        </m:r>
        <m:r>
          <m:rPr>
            <m:sty m:val="p"/>
          </m:rPr>
          <m:t>×</m:t>
        </m:r>
        <m:r>
          <m:t>E</m:t>
        </m:r>
        <m:r>
          <m:t>A</m:t>
        </m:r>
        <m:r>
          <m:t>D</m:t>
        </m:r>
      </m:oMath>
      <w:r>
        <w:t xml:space="preserve">, with the champion scorecard's PD. The back-test sums EL and compares it with the realized net loss of loans that actually went bad inside the 12-month window (funded minus principal repaid minus recoveries plus collection fees).</w:t>
      </w:r>
    </w:p>
    <w:p>
      <w:pPr>
        <w:pStyle w:val="TableCaption"/>
      </w:pPr>
      <w:r>
        <w:t xml:space="preserve">12-month expected versus realized loss by vintage. Vintages to 2012 are development (in-sample PD, LGD and EAD) and 2013 and 2014 are out of time. For 2014 the realized loss is incomplete because loans that are bad but not yet charged off carry no realized loss.</w:t>
      </w:r>
    </w:p>
    <w:tbl>
      <w:tblPr>
        <w:tblStyle w:val="Table"/>
        <w:tblW w:type="pct" w:w="5000"/>
        <w:tblLayout w:type="fixed"/>
        <w:tblLook w:firstRow="1" w:lastRow="0" w:firstColumn="0" w:lastColumn="0" w:noHBand="0" w:noVBand="0" w:val="0020"/>
        <w:tblCaption w:val="12-month expected versus realized loss by vintage. Vintages to 2012 are development (in-sample PD, LGD and EAD) and 2013 and 2014 are out of time. For 2014 the realized loss is incomplete because loans that are bad but not yet charged off carry no realized los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33"/>
        <w:gridCol w:w="533"/>
        <w:gridCol w:w="533"/>
        <w:gridCol w:w="609"/>
        <w:gridCol w:w="761"/>
        <w:gridCol w:w="1218"/>
        <w:gridCol w:w="990"/>
        <w:gridCol w:w="2741"/>
      </w:tblGrid>
      <w:tr>
        <w:trPr>
          <w:tblHeader w:val="on"/>
        </w:trPr>
        <w:tc>
          <w:tcPr/>
          <w:p>
            <w:pPr>
              <w:pStyle w:val="Compact"/>
              <w:jc w:val="left"/>
            </w:pPr>
            <w:r>
              <w:rPr>
                <w:sz w:val="17"/>
              </w:rPr>
              <w:t xml:space="preserve">Vintage</w:t>
            </w:r>
          </w:p>
        </w:tc>
        <w:tc>
          <w:tcPr/>
          <w:p>
            <w:pPr>
              <w:pStyle w:val="Compact"/>
              <w:jc w:val="right"/>
            </w:pPr>
            <w:r>
              <w:rPr>
                <w:sz w:val="17"/>
              </w:rPr>
              <w:t xml:space="preserve">Loans</w:t>
            </w:r>
          </w:p>
        </w:tc>
        <w:tc>
          <w:tcPr/>
          <w:p>
            <w:pPr>
              <w:pStyle w:val="Compact"/>
              <w:jc w:val="right"/>
            </w:pPr>
            <w:r>
              <w:rPr>
                <w:sz w:val="17"/>
              </w:rPr>
              <w:t xml:space="preserve">Mean PD</w:t>
            </w:r>
          </w:p>
        </w:tc>
        <w:tc>
          <w:tcPr/>
          <w:p>
            <w:pPr>
              <w:pStyle w:val="Compact"/>
              <w:jc w:val="right"/>
            </w:pPr>
            <w:r>
              <w:rPr>
                <w:sz w:val="17"/>
              </w:rPr>
              <w:t xml:space="preserve">Bad rate</w:t>
            </w:r>
          </w:p>
        </w:tc>
        <w:tc>
          <w:tcPr/>
          <w:p>
            <w:pPr>
              <w:pStyle w:val="Compact"/>
              <w:jc w:val="right"/>
            </w:pPr>
            <w:r>
              <w:rPr>
                <w:sz w:val="17"/>
              </w:rPr>
              <w:t xml:space="preserve">EL (USD m)</w:t>
            </w:r>
          </w:p>
        </w:tc>
        <w:tc>
          <w:tcPr/>
          <w:p>
            <w:pPr>
              <w:pStyle w:val="Compact"/>
              <w:jc w:val="right"/>
            </w:pPr>
            <w:r>
              <w:rPr>
                <w:sz w:val="17"/>
              </w:rPr>
              <w:t xml:space="preserve">Realized (USD m)</w:t>
            </w:r>
          </w:p>
        </w:tc>
        <w:tc>
          <w:tcPr/>
          <w:p>
            <w:pPr>
              <w:pStyle w:val="Compact"/>
              <w:jc w:val="right"/>
            </w:pPr>
            <w:r>
              <w:rPr>
                <w:sz w:val="17"/>
              </w:rPr>
              <w:t xml:space="preserve">EL / realized</w:t>
            </w:r>
          </w:p>
        </w:tc>
        <w:tc>
          <w:tcPr/>
          <w:p>
            <w:pPr>
              <w:pStyle w:val="Compact"/>
              <w:jc w:val="right"/>
            </w:pPr>
            <w:r>
              <w:rPr>
                <w:sz w:val="17"/>
              </w:rPr>
              <w:t xml:space="preserve">Sample</w:t>
            </w:r>
          </w:p>
        </w:tc>
      </w:tr>
      <w:tr>
        <w:tc>
          <w:tcPr/>
          <w:p>
            <w:pPr>
              <w:pStyle w:val="Compact"/>
              <w:jc w:val="left"/>
            </w:pPr>
            <w:r>
              <w:rPr>
                <w:sz w:val="17"/>
              </w:rPr>
              <w:t xml:space="preserve">2010</w:t>
            </w:r>
          </w:p>
        </w:tc>
        <w:tc>
          <w:tcPr/>
          <w:p>
            <w:pPr>
              <w:pStyle w:val="Compact"/>
              <w:jc w:val="right"/>
            </w:pPr>
            <w:r>
              <w:rPr>
                <w:sz w:val="17"/>
              </w:rPr>
              <w:t xml:space="preserve">11,536</w:t>
            </w:r>
          </w:p>
        </w:tc>
        <w:tc>
          <w:tcPr/>
          <w:p>
            <w:pPr>
              <w:pStyle w:val="Compact"/>
              <w:jc w:val="right"/>
            </w:pPr>
            <w:r>
              <w:rPr>
                <w:sz w:val="17"/>
              </w:rPr>
              <w:t xml:space="preserve">4.74%</w:t>
            </w:r>
          </w:p>
        </w:tc>
        <w:tc>
          <w:tcPr/>
          <w:p>
            <w:pPr>
              <w:pStyle w:val="Compact"/>
              <w:jc w:val="right"/>
            </w:pPr>
            <w:r>
              <w:rPr>
                <w:sz w:val="17"/>
              </w:rPr>
              <w:t xml:space="preserve">3.95%</w:t>
            </w:r>
          </w:p>
        </w:tc>
        <w:tc>
          <w:tcPr/>
          <w:p>
            <w:pPr>
              <w:pStyle w:val="Compact"/>
              <w:jc w:val="right"/>
            </w:pPr>
            <w:r>
              <w:rPr>
                <w:sz w:val="17"/>
              </w:rPr>
              <w:t xml:space="preserve">3.3</w:t>
            </w:r>
          </w:p>
        </w:tc>
        <w:tc>
          <w:tcPr/>
          <w:p>
            <w:pPr>
              <w:pStyle w:val="Compact"/>
              <w:jc w:val="right"/>
            </w:pPr>
            <w:r>
              <w:rPr>
                <w:sz w:val="17"/>
              </w:rPr>
              <w:t xml:space="preserve">3.8</w:t>
            </w:r>
          </w:p>
        </w:tc>
        <w:tc>
          <w:tcPr/>
          <w:p>
            <w:pPr>
              <w:pStyle w:val="Compact"/>
              <w:jc w:val="right"/>
            </w:pPr>
            <w:r>
              <w:rPr>
                <w:sz w:val="17"/>
              </w:rPr>
              <w:t xml:space="preserve">0.880</w:t>
            </w:r>
          </w:p>
        </w:tc>
        <w:tc>
          <w:tcPr/>
          <w:p>
            <w:pPr>
              <w:pStyle w:val="Compact"/>
              <w:jc w:val="right"/>
            </w:pPr>
            <w:r>
              <w:rPr>
                <w:sz w:val="17"/>
              </w:rPr>
              <w:t xml:space="preserve">development (in-sample PD, LGD, EAD)</w:t>
            </w:r>
          </w:p>
        </w:tc>
      </w:tr>
      <w:tr>
        <w:tc>
          <w:tcPr/>
          <w:p>
            <w:pPr>
              <w:pStyle w:val="Compact"/>
              <w:jc w:val="left"/>
            </w:pPr>
            <w:r>
              <w:rPr>
                <w:sz w:val="17"/>
              </w:rPr>
              <w:t xml:space="preserve">2011</w:t>
            </w:r>
          </w:p>
        </w:tc>
        <w:tc>
          <w:tcPr/>
          <w:p>
            <w:pPr>
              <w:pStyle w:val="Compact"/>
              <w:jc w:val="right"/>
            </w:pPr>
            <w:r>
              <w:rPr>
                <w:sz w:val="17"/>
              </w:rPr>
              <w:t xml:space="preserve">21,721</w:t>
            </w:r>
          </w:p>
        </w:tc>
        <w:tc>
          <w:tcPr/>
          <w:p>
            <w:pPr>
              <w:pStyle w:val="Compact"/>
              <w:jc w:val="right"/>
            </w:pPr>
            <w:r>
              <w:rPr>
                <w:sz w:val="17"/>
              </w:rPr>
              <w:t xml:space="preserve">4.69%</w:t>
            </w:r>
          </w:p>
        </w:tc>
        <w:tc>
          <w:tcPr/>
          <w:p>
            <w:pPr>
              <w:pStyle w:val="Compact"/>
              <w:jc w:val="right"/>
            </w:pPr>
            <w:r>
              <w:rPr>
                <w:sz w:val="17"/>
              </w:rPr>
              <w:t xml:space="preserve">4.56%</w:t>
            </w:r>
          </w:p>
        </w:tc>
        <w:tc>
          <w:tcPr/>
          <w:p>
            <w:pPr>
              <w:pStyle w:val="Compact"/>
              <w:jc w:val="right"/>
            </w:pPr>
            <w:r>
              <w:rPr>
                <w:sz w:val="17"/>
              </w:rPr>
              <w:t xml:space="preserve">8.2</w:t>
            </w:r>
          </w:p>
        </w:tc>
        <w:tc>
          <w:tcPr/>
          <w:p>
            <w:pPr>
              <w:pStyle w:val="Compact"/>
              <w:jc w:val="right"/>
            </w:pPr>
            <w:r>
              <w:rPr>
                <w:sz w:val="17"/>
              </w:rPr>
              <w:t xml:space="preserve">10.0</w:t>
            </w:r>
          </w:p>
        </w:tc>
        <w:tc>
          <w:tcPr/>
          <w:p>
            <w:pPr>
              <w:pStyle w:val="Compact"/>
              <w:jc w:val="right"/>
            </w:pPr>
            <w:r>
              <w:rPr>
                <w:sz w:val="17"/>
              </w:rPr>
              <w:t xml:space="preserve">0.817</w:t>
            </w:r>
          </w:p>
        </w:tc>
        <w:tc>
          <w:tcPr/>
          <w:p>
            <w:pPr>
              <w:pStyle w:val="Compact"/>
              <w:jc w:val="right"/>
            </w:pPr>
            <w:r>
              <w:rPr>
                <w:sz w:val="17"/>
              </w:rPr>
              <w:t xml:space="preserve">development (in-sample PD, LGD, EAD)</w:t>
            </w:r>
          </w:p>
        </w:tc>
      </w:tr>
      <w:tr>
        <w:tc>
          <w:tcPr/>
          <w:p>
            <w:pPr>
              <w:pStyle w:val="Compact"/>
              <w:jc w:val="left"/>
            </w:pPr>
            <w:r>
              <w:rPr>
                <w:sz w:val="17"/>
              </w:rPr>
              <w:t xml:space="preserve">2012</w:t>
            </w:r>
          </w:p>
        </w:tc>
        <w:tc>
          <w:tcPr/>
          <w:p>
            <w:pPr>
              <w:pStyle w:val="Compact"/>
              <w:jc w:val="right"/>
            </w:pPr>
            <w:r>
              <w:rPr>
                <w:sz w:val="17"/>
              </w:rPr>
              <w:t xml:space="preserve">53,367</w:t>
            </w:r>
          </w:p>
        </w:tc>
        <w:tc>
          <w:tcPr/>
          <w:p>
            <w:pPr>
              <w:pStyle w:val="Compact"/>
              <w:jc w:val="right"/>
            </w:pPr>
            <w:r>
              <w:rPr>
                <w:sz w:val="17"/>
              </w:rPr>
              <w:t xml:space="preserve">4.76%</w:t>
            </w:r>
          </w:p>
        </w:tc>
        <w:tc>
          <w:tcPr/>
          <w:p>
            <w:pPr>
              <w:pStyle w:val="Compact"/>
              <w:jc w:val="right"/>
            </w:pPr>
            <w:r>
              <w:rPr>
                <w:sz w:val="17"/>
              </w:rPr>
              <w:t xml:space="preserve">4.99%</w:t>
            </w:r>
          </w:p>
        </w:tc>
        <w:tc>
          <w:tcPr/>
          <w:p>
            <w:pPr>
              <w:pStyle w:val="Compact"/>
              <w:jc w:val="right"/>
            </w:pPr>
            <w:r>
              <w:rPr>
                <w:sz w:val="17"/>
              </w:rPr>
              <w:t xml:space="preserve">22.2</w:t>
            </w:r>
          </w:p>
        </w:tc>
        <w:tc>
          <w:tcPr/>
          <w:p>
            <w:pPr>
              <w:pStyle w:val="Compact"/>
              <w:jc w:val="right"/>
            </w:pPr>
            <w:r>
              <w:rPr>
                <w:sz w:val="17"/>
              </w:rPr>
              <w:t xml:space="preserve">29.9</w:t>
            </w:r>
          </w:p>
        </w:tc>
        <w:tc>
          <w:tcPr/>
          <w:p>
            <w:pPr>
              <w:pStyle w:val="Compact"/>
              <w:jc w:val="right"/>
            </w:pPr>
            <w:r>
              <w:rPr>
                <w:sz w:val="17"/>
              </w:rPr>
              <w:t xml:space="preserve">0.744</w:t>
            </w:r>
          </w:p>
        </w:tc>
        <w:tc>
          <w:tcPr/>
          <w:p>
            <w:pPr>
              <w:pStyle w:val="Compact"/>
              <w:jc w:val="right"/>
            </w:pPr>
            <w:r>
              <w:rPr>
                <w:sz w:val="17"/>
              </w:rPr>
              <w:t xml:space="preserve">development (in-sample PD, LGD, EAD)</w:t>
            </w:r>
          </w:p>
        </w:tc>
      </w:tr>
      <w:tr>
        <w:tc>
          <w:tcPr/>
          <w:p>
            <w:pPr>
              <w:pStyle w:val="Compact"/>
              <w:jc w:val="left"/>
            </w:pPr>
            <w:r>
              <w:rPr>
                <w:sz w:val="17"/>
              </w:rPr>
              <w:t xml:space="preserve">2013</w:t>
            </w:r>
          </w:p>
        </w:tc>
        <w:tc>
          <w:tcPr/>
          <w:p>
            <w:pPr>
              <w:pStyle w:val="Compact"/>
              <w:jc w:val="right"/>
            </w:pPr>
            <w:r>
              <w:rPr>
                <w:sz w:val="17"/>
              </w:rPr>
              <w:t xml:space="preserve">134,755</w:t>
            </w:r>
          </w:p>
        </w:tc>
        <w:tc>
          <w:tcPr/>
          <w:p>
            <w:pPr>
              <w:pStyle w:val="Compact"/>
              <w:jc w:val="right"/>
            </w:pPr>
            <w:r>
              <w:rPr>
                <w:sz w:val="17"/>
              </w:rPr>
              <w:t xml:space="preserve">4.91%</w:t>
            </w:r>
          </w:p>
        </w:tc>
        <w:tc>
          <w:tcPr/>
          <w:p>
            <w:pPr>
              <w:pStyle w:val="Compact"/>
              <w:jc w:val="right"/>
            </w:pPr>
            <w:r>
              <w:rPr>
                <w:sz w:val="17"/>
              </w:rPr>
              <w:t xml:space="preserve">4.25%</w:t>
            </w:r>
          </w:p>
        </w:tc>
        <w:tc>
          <w:tcPr/>
          <w:p>
            <w:pPr>
              <w:pStyle w:val="Compact"/>
              <w:jc w:val="right"/>
            </w:pPr>
            <w:r>
              <w:rPr>
                <w:sz w:val="17"/>
              </w:rPr>
              <w:t xml:space="preserve">59.9</w:t>
            </w:r>
          </w:p>
        </w:tc>
        <w:tc>
          <w:tcPr/>
          <w:p>
            <w:pPr>
              <w:pStyle w:val="Compact"/>
              <w:jc w:val="right"/>
            </w:pPr>
            <w:r>
              <w:rPr>
                <w:sz w:val="17"/>
              </w:rPr>
              <w:t xml:space="preserve">67.2</w:t>
            </w:r>
          </w:p>
        </w:tc>
        <w:tc>
          <w:tcPr/>
          <w:p>
            <w:pPr>
              <w:pStyle w:val="Compact"/>
              <w:jc w:val="right"/>
            </w:pPr>
            <w:r>
              <w:rPr>
                <w:sz w:val="17"/>
              </w:rPr>
              <w:t xml:space="preserve">0.892</w:t>
            </w:r>
          </w:p>
        </w:tc>
        <w:tc>
          <w:tcPr/>
          <w:p>
            <w:pPr>
              <w:pStyle w:val="Compact"/>
              <w:jc w:val="right"/>
            </w:pPr>
            <w:r>
              <w:rPr>
                <w:sz w:val="17"/>
              </w:rPr>
              <w:t xml:space="preserve">out_of_time</w:t>
            </w:r>
          </w:p>
        </w:tc>
      </w:tr>
      <w:tr>
        <w:tc>
          <w:tcPr/>
          <w:p>
            <w:pPr>
              <w:pStyle w:val="Compact"/>
              <w:jc w:val="left"/>
            </w:pPr>
            <w:r>
              <w:rPr>
                <w:sz w:val="17"/>
              </w:rPr>
              <w:t xml:space="preserve">2014</w:t>
            </w:r>
          </w:p>
        </w:tc>
        <w:tc>
          <w:tcPr/>
          <w:p>
            <w:pPr>
              <w:pStyle w:val="Compact"/>
              <w:jc w:val="right"/>
            </w:pPr>
            <w:r>
              <w:rPr>
                <w:sz w:val="17"/>
              </w:rPr>
              <w:t xml:space="preserve">225,321</w:t>
            </w:r>
          </w:p>
        </w:tc>
        <w:tc>
          <w:tcPr/>
          <w:p>
            <w:pPr>
              <w:pStyle w:val="Compact"/>
              <w:jc w:val="right"/>
            </w:pPr>
            <w:r>
              <w:rPr>
                <w:sz w:val="17"/>
              </w:rPr>
              <w:t xml:space="preserve">4.95%</w:t>
            </w:r>
          </w:p>
        </w:tc>
        <w:tc>
          <w:tcPr/>
          <w:p>
            <w:pPr>
              <w:pStyle w:val="Compact"/>
              <w:jc w:val="right"/>
            </w:pPr>
            <w:r>
              <w:rPr>
                <w:sz w:val="17"/>
              </w:rPr>
              <w:t xml:space="preserve">4.66%</w:t>
            </w:r>
          </w:p>
        </w:tc>
        <w:tc>
          <w:tcPr/>
          <w:p>
            <w:pPr>
              <w:pStyle w:val="Compact"/>
              <w:jc w:val="right"/>
            </w:pPr>
            <w:r>
              <w:rPr>
                <w:sz w:val="17"/>
              </w:rPr>
              <w:t xml:space="preserve">99.5</w:t>
            </w:r>
          </w:p>
        </w:tc>
        <w:tc>
          <w:tcPr/>
          <w:p>
            <w:pPr>
              <w:pStyle w:val="Compact"/>
              <w:jc w:val="right"/>
            </w:pPr>
            <w:r>
              <w:rPr>
                <w:sz w:val="17"/>
              </w:rPr>
              <w:t xml:space="preserve">121.0</w:t>
            </w:r>
          </w:p>
        </w:tc>
        <w:tc>
          <w:tcPr/>
          <w:p>
            <w:pPr>
              <w:pStyle w:val="Compact"/>
              <w:jc w:val="right"/>
            </w:pPr>
            <w:r>
              <w:rPr>
                <w:sz w:val="17"/>
              </w:rPr>
              <w:t xml:space="preserve">0.822</w:t>
            </w:r>
          </w:p>
        </w:tc>
        <w:tc>
          <w:tcPr/>
          <w:p>
            <w:pPr>
              <w:pStyle w:val="Compact"/>
              <w:jc w:val="right"/>
            </w:pPr>
            <w:r>
              <w:rPr>
                <w:sz w:val="17"/>
              </w:rPr>
              <w:t xml:space="preserve">out_of_time</w:t>
            </w:r>
          </w:p>
        </w:tc>
      </w:tr>
    </w:tbl>
    <w:p>
      <w:pPr>
        <w:pStyle w:val="BodyText"/>
      </w:pPr>
      <w:r>
        <w:t xml:space="preserve">For the 2013 vintage the model expects USD 59.9 million (3.02% of funded) against a realized USD 67.2 million (3.39%), a ratio of 0.892. For 2014 the figures are USD 99.5 million against USD 121.0 million (ratio 0.822); since 2014 realized loss is a lower bound, the true shortfall is larger. In development the ratio is also below one in every vintage, so the shortfall is not purely out-of-time. By grade for 2013:</w:t>
      </w:r>
    </w:p>
    <w:p>
      <w:pPr>
        <w:pStyle w:val="TableCaption"/>
      </w:pPr>
      <w:r>
        <w:t xml:space="preserve">12-month expected versus realized loss by grade, 2013 vintage.</w:t>
      </w:r>
    </w:p>
    <w:tbl>
      <w:tblPr>
        <w:tblStyle w:val="Table"/>
        <w:tblW w:type="pct" w:w="5000"/>
        <w:tblLayout w:type="fixed"/>
        <w:tblLook w:firstRow="1" w:lastRow="0" w:firstColumn="0" w:lastColumn="0" w:noHBand="0" w:noVBand="0" w:val="0020"/>
        <w:tblCaption w:val="12-month expected versus realized loss by grade, 2013 vintag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609"/>
        <w:gridCol w:w="731"/>
        <w:gridCol w:w="852"/>
        <w:gridCol w:w="974"/>
        <w:gridCol w:w="1218"/>
        <w:gridCol w:w="1949"/>
        <w:gridCol w:w="1584"/>
      </w:tblGrid>
      <w:tr>
        <w:trPr>
          <w:tblHeader w:val="on"/>
        </w:trPr>
        <w:tc>
          <w:tcPr/>
          <w:p>
            <w:pPr>
              <w:pStyle w:val="Compact"/>
              <w:jc w:val="left"/>
            </w:pPr>
            <w:r>
              <w:rPr>
                <w:sz w:val="17"/>
              </w:rPr>
              <w:t xml:space="preserve">Grade</w:t>
            </w:r>
          </w:p>
        </w:tc>
        <w:tc>
          <w:tcPr/>
          <w:p>
            <w:pPr>
              <w:pStyle w:val="Compact"/>
              <w:jc w:val="right"/>
            </w:pPr>
            <w:r>
              <w:rPr>
                <w:sz w:val="17"/>
              </w:rPr>
              <w:t xml:space="preserve">Loans</w:t>
            </w:r>
          </w:p>
        </w:tc>
        <w:tc>
          <w:tcPr/>
          <w:p>
            <w:pPr>
              <w:pStyle w:val="Compact"/>
              <w:jc w:val="right"/>
            </w:pPr>
            <w:r>
              <w:rPr>
                <w:sz w:val="17"/>
              </w:rPr>
              <w:t xml:space="preserve">Mean PD</w:t>
            </w:r>
          </w:p>
        </w:tc>
        <w:tc>
          <w:tcPr/>
          <w:p>
            <w:pPr>
              <w:pStyle w:val="Compact"/>
              <w:jc w:val="right"/>
            </w:pPr>
            <w:r>
              <w:rPr>
                <w:sz w:val="17"/>
              </w:rPr>
              <w:t xml:space="preserve">Bad rate</w:t>
            </w:r>
          </w:p>
        </w:tc>
        <w:tc>
          <w:tcPr/>
          <w:p>
            <w:pPr>
              <w:pStyle w:val="Compact"/>
              <w:jc w:val="right"/>
            </w:pPr>
            <w:r>
              <w:rPr>
                <w:sz w:val="17"/>
              </w:rPr>
              <w:t xml:space="preserve">EL (USD m)</w:t>
            </w:r>
          </w:p>
        </w:tc>
        <w:tc>
          <w:tcPr/>
          <w:p>
            <w:pPr>
              <w:pStyle w:val="Compact"/>
              <w:jc w:val="right"/>
            </w:pPr>
            <w:r>
              <w:rPr>
                <w:sz w:val="17"/>
              </w:rPr>
              <w:t xml:space="preserve">Realized (USD m)</w:t>
            </w:r>
          </w:p>
        </w:tc>
        <w:tc>
          <w:tcPr/>
          <w:p>
            <w:pPr>
              <w:pStyle w:val="Compact"/>
              <w:jc w:val="right"/>
            </w:pPr>
            <w:r>
              <w:rPr>
                <w:sz w:val="17"/>
              </w:rPr>
              <w:t xml:space="preserve">EL / realized</w:t>
            </w:r>
          </w:p>
        </w:tc>
      </w:tr>
      <w:tr>
        <w:tc>
          <w:tcPr/>
          <w:p>
            <w:pPr>
              <w:pStyle w:val="Compact"/>
              <w:jc w:val="left"/>
            </w:pPr>
            <w:r>
              <w:rPr>
                <w:sz w:val="17"/>
              </w:rPr>
              <w:t xml:space="preserve">A</w:t>
            </w:r>
          </w:p>
        </w:tc>
        <w:tc>
          <w:tcPr/>
          <w:p>
            <w:pPr>
              <w:pStyle w:val="Compact"/>
              <w:jc w:val="right"/>
            </w:pPr>
            <w:r>
              <w:rPr>
                <w:sz w:val="17"/>
              </w:rPr>
              <w:t xml:space="preserve">17,675</w:t>
            </w:r>
          </w:p>
        </w:tc>
        <w:tc>
          <w:tcPr/>
          <w:p>
            <w:pPr>
              <w:pStyle w:val="Compact"/>
              <w:jc w:val="right"/>
            </w:pPr>
            <w:r>
              <w:rPr>
                <w:sz w:val="17"/>
              </w:rPr>
              <w:t xml:space="preserve">1.56%</w:t>
            </w:r>
          </w:p>
        </w:tc>
        <w:tc>
          <w:tcPr/>
          <w:p>
            <w:pPr>
              <w:pStyle w:val="Compact"/>
              <w:jc w:val="right"/>
            </w:pPr>
            <w:r>
              <w:rPr>
                <w:sz w:val="17"/>
              </w:rPr>
              <w:t xml:space="preserve">1.04%</w:t>
            </w:r>
          </w:p>
        </w:tc>
        <w:tc>
          <w:tcPr/>
          <w:p>
            <w:pPr>
              <w:pStyle w:val="Compact"/>
              <w:jc w:val="right"/>
            </w:pPr>
            <w:r>
              <w:rPr>
                <w:sz w:val="17"/>
              </w:rPr>
              <w:t xml:space="preserve">2.12</w:t>
            </w:r>
          </w:p>
        </w:tc>
        <w:tc>
          <w:tcPr/>
          <w:p>
            <w:pPr>
              <w:pStyle w:val="Compact"/>
              <w:jc w:val="right"/>
            </w:pPr>
            <w:r>
              <w:rPr>
                <w:sz w:val="17"/>
              </w:rPr>
              <w:t xml:space="preserve">2.03</w:t>
            </w:r>
          </w:p>
        </w:tc>
        <w:tc>
          <w:tcPr/>
          <w:p>
            <w:pPr>
              <w:pStyle w:val="Compact"/>
              <w:jc w:val="right"/>
            </w:pPr>
            <w:r>
              <w:rPr>
                <w:sz w:val="17"/>
              </w:rPr>
              <w:t xml:space="preserve">1.045</w:t>
            </w:r>
          </w:p>
        </w:tc>
      </w:tr>
      <w:tr>
        <w:tc>
          <w:tcPr/>
          <w:p>
            <w:pPr>
              <w:pStyle w:val="Compact"/>
              <w:jc w:val="left"/>
            </w:pPr>
            <w:r>
              <w:rPr>
                <w:sz w:val="17"/>
              </w:rPr>
              <w:t xml:space="preserve">B</w:t>
            </w:r>
          </w:p>
        </w:tc>
        <w:tc>
          <w:tcPr/>
          <w:p>
            <w:pPr>
              <w:pStyle w:val="Compact"/>
              <w:jc w:val="right"/>
            </w:pPr>
            <w:r>
              <w:rPr>
                <w:sz w:val="17"/>
              </w:rPr>
              <w:t xml:space="preserve">44,098</w:t>
            </w:r>
          </w:p>
        </w:tc>
        <w:tc>
          <w:tcPr/>
          <w:p>
            <w:pPr>
              <w:pStyle w:val="Compact"/>
              <w:jc w:val="right"/>
            </w:pPr>
            <w:r>
              <w:rPr>
                <w:sz w:val="17"/>
              </w:rPr>
              <w:t xml:space="preserve">3.25%</w:t>
            </w:r>
          </w:p>
        </w:tc>
        <w:tc>
          <w:tcPr/>
          <w:p>
            <w:pPr>
              <w:pStyle w:val="Compact"/>
              <w:jc w:val="right"/>
            </w:pPr>
            <w:r>
              <w:rPr>
                <w:sz w:val="17"/>
              </w:rPr>
              <w:t xml:space="preserve">2.54%</w:t>
            </w:r>
          </w:p>
        </w:tc>
        <w:tc>
          <w:tcPr/>
          <w:p>
            <w:pPr>
              <w:pStyle w:val="Compact"/>
              <w:jc w:val="right"/>
            </w:pPr>
            <w:r>
              <w:rPr>
                <w:sz w:val="17"/>
              </w:rPr>
              <w:t xml:space="preserve">10.38</w:t>
            </w:r>
          </w:p>
        </w:tc>
        <w:tc>
          <w:tcPr/>
          <w:p>
            <w:pPr>
              <w:pStyle w:val="Compact"/>
              <w:jc w:val="right"/>
            </w:pPr>
            <w:r>
              <w:rPr>
                <w:sz w:val="17"/>
              </w:rPr>
              <w:t xml:space="preserve">11.25</w:t>
            </w:r>
          </w:p>
        </w:tc>
        <w:tc>
          <w:tcPr/>
          <w:p>
            <w:pPr>
              <w:pStyle w:val="Compact"/>
              <w:jc w:val="right"/>
            </w:pPr>
            <w:r>
              <w:rPr>
                <w:sz w:val="17"/>
              </w:rPr>
              <w:t xml:space="preserve">0.923</w:t>
            </w:r>
          </w:p>
        </w:tc>
      </w:tr>
      <w:tr>
        <w:tc>
          <w:tcPr/>
          <w:p>
            <w:pPr>
              <w:pStyle w:val="Compact"/>
              <w:jc w:val="left"/>
            </w:pPr>
            <w:r>
              <w:rPr>
                <w:sz w:val="17"/>
              </w:rPr>
              <w:t xml:space="preserve">C</w:t>
            </w:r>
          </w:p>
        </w:tc>
        <w:tc>
          <w:tcPr/>
          <w:p>
            <w:pPr>
              <w:pStyle w:val="Compact"/>
              <w:jc w:val="right"/>
            </w:pPr>
            <w:r>
              <w:rPr>
                <w:sz w:val="17"/>
              </w:rPr>
              <w:t xml:space="preserve">38,113</w:t>
            </w:r>
          </w:p>
        </w:tc>
        <w:tc>
          <w:tcPr/>
          <w:p>
            <w:pPr>
              <w:pStyle w:val="Compact"/>
              <w:jc w:val="right"/>
            </w:pPr>
            <w:r>
              <w:rPr>
                <w:sz w:val="17"/>
              </w:rPr>
              <w:t xml:space="preserve">5.42%</w:t>
            </w:r>
          </w:p>
        </w:tc>
        <w:tc>
          <w:tcPr/>
          <w:p>
            <w:pPr>
              <w:pStyle w:val="Compact"/>
              <w:jc w:val="right"/>
            </w:pPr>
            <w:r>
              <w:rPr>
                <w:sz w:val="17"/>
              </w:rPr>
              <w:t xml:space="preserve">4.39%</w:t>
            </w:r>
          </w:p>
        </w:tc>
        <w:tc>
          <w:tcPr/>
          <w:p>
            <w:pPr>
              <w:pStyle w:val="Compact"/>
              <w:jc w:val="right"/>
            </w:pPr>
            <w:r>
              <w:rPr>
                <w:sz w:val="17"/>
              </w:rPr>
              <w:t xml:space="preserve">18.28</w:t>
            </w:r>
          </w:p>
        </w:tc>
        <w:tc>
          <w:tcPr/>
          <w:p>
            <w:pPr>
              <w:pStyle w:val="Compact"/>
              <w:jc w:val="right"/>
            </w:pPr>
            <w:r>
              <w:rPr>
                <w:sz w:val="17"/>
              </w:rPr>
              <w:t xml:space="preserve">18.54</w:t>
            </w:r>
          </w:p>
        </w:tc>
        <w:tc>
          <w:tcPr/>
          <w:p>
            <w:pPr>
              <w:pStyle w:val="Compact"/>
              <w:jc w:val="right"/>
            </w:pPr>
            <w:r>
              <w:rPr>
                <w:sz w:val="17"/>
              </w:rPr>
              <w:t xml:space="preserve">0.986</w:t>
            </w:r>
          </w:p>
        </w:tc>
      </w:tr>
      <w:tr>
        <w:tc>
          <w:tcPr/>
          <w:p>
            <w:pPr>
              <w:pStyle w:val="Compact"/>
              <w:jc w:val="left"/>
            </w:pPr>
            <w:r>
              <w:rPr>
                <w:sz w:val="17"/>
              </w:rPr>
              <w:t xml:space="preserve">D</w:t>
            </w:r>
          </w:p>
        </w:tc>
        <w:tc>
          <w:tcPr/>
          <w:p>
            <w:pPr>
              <w:pStyle w:val="Compact"/>
              <w:jc w:val="right"/>
            </w:pPr>
            <w:r>
              <w:rPr>
                <w:sz w:val="17"/>
              </w:rPr>
              <w:t xml:space="preserve">20,558</w:t>
            </w:r>
          </w:p>
        </w:tc>
        <w:tc>
          <w:tcPr/>
          <w:p>
            <w:pPr>
              <w:pStyle w:val="Compact"/>
              <w:jc w:val="right"/>
            </w:pPr>
            <w:r>
              <w:rPr>
                <w:sz w:val="17"/>
              </w:rPr>
              <w:t xml:space="preserve">7.33%</w:t>
            </w:r>
          </w:p>
        </w:tc>
        <w:tc>
          <w:tcPr/>
          <w:p>
            <w:pPr>
              <w:pStyle w:val="Compact"/>
              <w:jc w:val="right"/>
            </w:pPr>
            <w:r>
              <w:rPr>
                <w:sz w:val="17"/>
              </w:rPr>
              <w:t xml:space="preserve">6.81%</w:t>
            </w:r>
          </w:p>
        </w:tc>
        <w:tc>
          <w:tcPr/>
          <w:p>
            <w:pPr>
              <w:pStyle w:val="Compact"/>
              <w:jc w:val="right"/>
            </w:pPr>
            <w:r>
              <w:rPr>
                <w:sz w:val="17"/>
              </w:rPr>
              <w:t xml:space="preserve">12.45</w:t>
            </w:r>
          </w:p>
        </w:tc>
        <w:tc>
          <w:tcPr/>
          <w:p>
            <w:pPr>
              <w:pStyle w:val="Compact"/>
              <w:jc w:val="right"/>
            </w:pPr>
            <w:r>
              <w:rPr>
                <w:sz w:val="17"/>
              </w:rPr>
              <w:t xml:space="preserve">15.33</w:t>
            </w:r>
          </w:p>
        </w:tc>
        <w:tc>
          <w:tcPr/>
          <w:p>
            <w:pPr>
              <w:pStyle w:val="Compact"/>
              <w:jc w:val="right"/>
            </w:pPr>
            <w:r>
              <w:rPr>
                <w:sz w:val="17"/>
              </w:rPr>
              <w:t xml:space="preserve">0.812</w:t>
            </w:r>
          </w:p>
        </w:tc>
      </w:tr>
      <w:tr>
        <w:tc>
          <w:tcPr/>
          <w:p>
            <w:pPr>
              <w:pStyle w:val="Compact"/>
              <w:jc w:val="left"/>
            </w:pPr>
            <w:r>
              <w:rPr>
                <w:sz w:val="17"/>
              </w:rPr>
              <w:t xml:space="preserve">E</w:t>
            </w:r>
          </w:p>
        </w:tc>
        <w:tc>
          <w:tcPr/>
          <w:p>
            <w:pPr>
              <w:pStyle w:val="Compact"/>
              <w:jc w:val="right"/>
            </w:pPr>
            <w:r>
              <w:rPr>
                <w:sz w:val="17"/>
              </w:rPr>
              <w:t xml:space="preserve">9,057</w:t>
            </w:r>
          </w:p>
        </w:tc>
        <w:tc>
          <w:tcPr/>
          <w:p>
            <w:pPr>
              <w:pStyle w:val="Compact"/>
              <w:jc w:val="right"/>
            </w:pPr>
            <w:r>
              <w:rPr>
                <w:sz w:val="17"/>
              </w:rPr>
              <w:t xml:space="preserve">8.34%</w:t>
            </w:r>
          </w:p>
        </w:tc>
        <w:tc>
          <w:tcPr/>
          <w:p>
            <w:pPr>
              <w:pStyle w:val="Compact"/>
              <w:jc w:val="right"/>
            </w:pPr>
            <w:r>
              <w:rPr>
                <w:sz w:val="17"/>
              </w:rPr>
              <w:t xml:space="preserve">8.53%</w:t>
            </w:r>
          </w:p>
        </w:tc>
        <w:tc>
          <w:tcPr/>
          <w:p>
            <w:pPr>
              <w:pStyle w:val="Compact"/>
              <w:jc w:val="right"/>
            </w:pPr>
            <w:r>
              <w:rPr>
                <w:sz w:val="17"/>
              </w:rPr>
              <w:t xml:space="preserve">8.65</w:t>
            </w:r>
          </w:p>
        </w:tc>
        <w:tc>
          <w:tcPr/>
          <w:p>
            <w:pPr>
              <w:pStyle w:val="Compact"/>
              <w:jc w:val="right"/>
            </w:pPr>
            <w:r>
              <w:rPr>
                <w:sz w:val="17"/>
              </w:rPr>
              <w:t xml:space="preserve">10.71</w:t>
            </w:r>
          </w:p>
        </w:tc>
        <w:tc>
          <w:tcPr/>
          <w:p>
            <w:pPr>
              <w:pStyle w:val="Compact"/>
              <w:jc w:val="right"/>
            </w:pPr>
            <w:r>
              <w:rPr>
                <w:sz w:val="17"/>
              </w:rPr>
              <w:t xml:space="preserve">0.808</w:t>
            </w:r>
          </w:p>
        </w:tc>
      </w:tr>
      <w:tr>
        <w:tc>
          <w:tcPr/>
          <w:p>
            <w:pPr>
              <w:pStyle w:val="Compact"/>
              <w:jc w:val="left"/>
            </w:pPr>
            <w:r>
              <w:rPr>
                <w:sz w:val="17"/>
              </w:rPr>
              <w:t xml:space="preserve">F</w:t>
            </w:r>
          </w:p>
        </w:tc>
        <w:tc>
          <w:tcPr/>
          <w:p>
            <w:pPr>
              <w:pStyle w:val="Compact"/>
              <w:jc w:val="right"/>
            </w:pPr>
            <w:r>
              <w:rPr>
                <w:sz w:val="17"/>
              </w:rPr>
              <w:t xml:space="preserve">4,390</w:t>
            </w:r>
          </w:p>
        </w:tc>
        <w:tc>
          <w:tcPr/>
          <w:p>
            <w:pPr>
              <w:pStyle w:val="Compact"/>
              <w:jc w:val="right"/>
            </w:pPr>
            <w:r>
              <w:rPr>
                <w:sz w:val="17"/>
              </w:rPr>
              <w:t xml:space="preserve">10.92%</w:t>
            </w:r>
          </w:p>
        </w:tc>
        <w:tc>
          <w:tcPr/>
          <w:p>
            <w:pPr>
              <w:pStyle w:val="Compact"/>
              <w:jc w:val="right"/>
            </w:pPr>
            <w:r>
              <w:rPr>
                <w:sz w:val="17"/>
              </w:rPr>
              <w:t xml:space="preserve">10.87%</w:t>
            </w:r>
          </w:p>
        </w:tc>
        <w:tc>
          <w:tcPr/>
          <w:p>
            <w:pPr>
              <w:pStyle w:val="Compact"/>
              <w:jc w:val="right"/>
            </w:pPr>
            <w:r>
              <w:rPr>
                <w:sz w:val="17"/>
              </w:rPr>
              <w:t xml:space="preserve">6.44</w:t>
            </w:r>
          </w:p>
        </w:tc>
        <w:tc>
          <w:tcPr/>
          <w:p>
            <w:pPr>
              <w:pStyle w:val="Compact"/>
              <w:jc w:val="right"/>
            </w:pPr>
            <w:r>
              <w:rPr>
                <w:sz w:val="17"/>
              </w:rPr>
              <w:t xml:space="preserve">7.39</w:t>
            </w:r>
          </w:p>
        </w:tc>
        <w:tc>
          <w:tcPr/>
          <w:p>
            <w:pPr>
              <w:pStyle w:val="Compact"/>
              <w:jc w:val="right"/>
            </w:pPr>
            <w:r>
              <w:rPr>
                <w:sz w:val="17"/>
              </w:rPr>
              <w:t xml:space="preserve">0.872</w:t>
            </w:r>
          </w:p>
        </w:tc>
      </w:tr>
      <w:tr>
        <w:tc>
          <w:tcPr/>
          <w:p>
            <w:pPr>
              <w:pStyle w:val="Compact"/>
              <w:jc w:val="left"/>
            </w:pPr>
            <w:r>
              <w:rPr>
                <w:sz w:val="17"/>
              </w:rPr>
              <w:t xml:space="preserve">G</w:t>
            </w:r>
          </w:p>
        </w:tc>
        <w:tc>
          <w:tcPr/>
          <w:p>
            <w:pPr>
              <w:pStyle w:val="Compact"/>
              <w:jc w:val="right"/>
            </w:pPr>
            <w:r>
              <w:rPr>
                <w:sz w:val="17"/>
              </w:rPr>
              <w:t xml:space="preserve">864</w:t>
            </w:r>
          </w:p>
        </w:tc>
        <w:tc>
          <w:tcPr/>
          <w:p>
            <w:pPr>
              <w:pStyle w:val="Compact"/>
              <w:jc w:val="right"/>
            </w:pPr>
            <w:r>
              <w:rPr>
                <w:sz w:val="17"/>
              </w:rPr>
              <w:t xml:space="preserve">10.98%</w:t>
            </w:r>
          </w:p>
        </w:tc>
        <w:tc>
          <w:tcPr/>
          <w:p>
            <w:pPr>
              <w:pStyle w:val="Compact"/>
              <w:jc w:val="right"/>
            </w:pPr>
            <w:r>
              <w:rPr>
                <w:sz w:val="17"/>
              </w:rPr>
              <w:t xml:space="preserve">11.23%</w:t>
            </w:r>
          </w:p>
        </w:tc>
        <w:tc>
          <w:tcPr/>
          <w:p>
            <w:pPr>
              <w:pStyle w:val="Compact"/>
              <w:jc w:val="right"/>
            </w:pPr>
            <w:r>
              <w:rPr>
                <w:sz w:val="17"/>
              </w:rPr>
              <w:t xml:space="preserve">1.57</w:t>
            </w:r>
          </w:p>
        </w:tc>
        <w:tc>
          <w:tcPr/>
          <w:p>
            <w:pPr>
              <w:pStyle w:val="Compact"/>
              <w:jc w:val="right"/>
            </w:pPr>
            <w:r>
              <w:rPr>
                <w:sz w:val="17"/>
              </w:rPr>
              <w:t xml:space="preserve">1.90</w:t>
            </w:r>
          </w:p>
        </w:tc>
        <w:tc>
          <w:tcPr/>
          <w:p>
            <w:pPr>
              <w:pStyle w:val="Compact"/>
              <w:jc w:val="right"/>
            </w:pPr>
            <w:r>
              <w:rPr>
                <w:sz w:val="17"/>
              </w:rPr>
              <w:t xml:space="preserve">0.826</w:t>
            </w:r>
          </w:p>
        </w:tc>
      </w:tr>
    </w:tbl>
    <w:p>
      <w:pPr>
        <w:pStyle w:val="BodyText"/>
      </w:pPr>
      <w:r>
        <w:t xml:space="preserve">Grades A and C are close (ratios near one), B is slightly under-estimated; D, E, F and G are under-estimated, in line with their PDs and with the fall in LGD predictions for riskier loans. For 2014 the ratios for the riskiest grades are E 0.69, F 0.70, G 0.56.</w:t>
      </w:r>
    </w:p>
    <w:p>
      <w:pPr>
        <w:pStyle w:val="CaptionedFigure"/>
      </w:pPr>
      <w:r>
        <w:drawing>
          <wp:inline>
            <wp:extent cx="3733800" cy="3159369"/>
            <wp:effectExtent b="0" l="0" r="0" t="0"/>
            <wp:docPr descr="12-month expected versus realized loss by grade, 2013 vintage." title="" id="118" name="Picture"/>
            <a:graphic>
              <a:graphicData uri="http://schemas.openxmlformats.org/drawingml/2006/picture">
                <pic:pic>
                  <pic:nvPicPr>
                    <pic:cNvPr descr="../python/outputs/charts/el_backtest_by_grade.png" id="119" name="Picture"/>
                    <pic:cNvPicPr>
                      <a:picLocks noChangeArrowheads="1" noChangeAspect="1"/>
                    </pic:cNvPicPr>
                  </pic:nvPicPr>
                  <pic:blipFill>
                    <a:blip r:embed="rId117"/>
                    <a:stretch>
                      <a:fillRect/>
                    </a:stretch>
                  </pic:blipFill>
                  <pic:spPr bwMode="auto">
                    <a:xfrm>
                      <a:off x="0" y="0"/>
                      <a:ext cx="3733800" cy="3159369"/>
                    </a:xfrm>
                    <a:prstGeom prst="rect">
                      <a:avLst/>
                    </a:prstGeom>
                    <a:noFill/>
                    <a:ln w="9525">
                      <a:noFill/>
                      <a:headEnd/>
                      <a:tailEnd/>
                    </a:ln>
                  </pic:spPr>
                </pic:pic>
              </a:graphicData>
            </a:graphic>
          </wp:inline>
        </w:drawing>
      </w:r>
    </w:p>
    <w:p>
      <w:pPr>
        <w:pStyle w:val="ImageCaption"/>
      </w:pPr>
      <w:r>
        <w:t xml:space="preserve">12-month expected versus realized loss by grade, 2013 vintage.</w:t>
      </w:r>
    </w:p>
    <w:bookmarkEnd w:id="120"/>
    <w:bookmarkStart w:id="121" w:name="expected-loss-back-test-lifetime"/>
    <w:p>
      <w:pPr>
        <w:pStyle w:val="Heading2"/>
      </w:pPr>
      <w:r>
        <w:rPr>
          <w:rStyle w:val="SectionNumber"/>
        </w:rPr>
        <w:t xml:space="preserve">15.5</w:t>
      </w:r>
      <w:r>
        <w:tab/>
      </w:r>
      <w:r>
        <w:t xml:space="preserve">Expected-loss back-test: lifetime</w:t>
      </w:r>
    </w:p>
    <w:p>
      <w:pPr>
        <w:pStyle w:val="FirstParagraph"/>
      </w:pPr>
      <w:r>
        <w:t xml:space="preserve">The original project computed a lifetime expected loss of 7.98% of funded amount (USD 531.9 million) by applying a lifetime PD to every loan, including loans already repaid, charged-off or seasoned (finding F-04). That number cannot be compared with a realized loss. The lifetime back-test here uses only the complete 36-month cohort: a scorecard is refit with the lifetime flag on 36-month loans issued from 2007 to 2011 and tested on 2012 loans against realized lifetime net loss.</w:t>
      </w:r>
    </w:p>
    <w:p>
      <w:pPr>
        <w:pStyle w:val="TableCaption"/>
      </w:pPr>
      <w:r>
        <w:t xml:space="preserve">Lifetime expected versus realized loss by grade for 2012 36-month loans (</w:t>
      </w:r>
      <w:r>
        <w:rPr>
          <w:rStyle w:val="VerbatimChar"/>
        </w:rPr>
        <w:t xml:space="preserve">el_backtest_lifetime.csv</w:t>
      </w:r>
      <w:r>
        <w:t xml:space="preserve">).</w:t>
      </w:r>
    </w:p>
    <w:tbl>
      <w:tblPr>
        <w:tblStyle w:val="Table"/>
        <w:tblW w:type="pct" w:w="5000"/>
        <w:tblLayout w:type="fixed"/>
        <w:tblLook w:firstRow="1" w:lastRow="0" w:firstColumn="0" w:lastColumn="0" w:noHBand="0" w:noVBand="0" w:val="0020"/>
        <w:tblCaption w:val="Lifetime expected versus realized loss by grade for 2012 36-month loans (el_backtest_lifetime.csv)."/>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21"/>
        <w:gridCol w:w="625"/>
        <w:gridCol w:w="1667"/>
        <w:gridCol w:w="833"/>
        <w:gridCol w:w="1146"/>
        <w:gridCol w:w="1771"/>
        <w:gridCol w:w="1354"/>
      </w:tblGrid>
      <w:tr>
        <w:trPr>
          <w:tblHeader w:val="on"/>
        </w:trPr>
        <w:tc>
          <w:tcPr/>
          <w:p>
            <w:pPr>
              <w:pStyle w:val="Compact"/>
              <w:jc w:val="left"/>
            </w:pPr>
            <w:r>
              <w:rPr>
                <w:sz w:val="17"/>
              </w:rPr>
              <w:t xml:space="preserve">Grade</w:t>
            </w:r>
          </w:p>
        </w:tc>
        <w:tc>
          <w:tcPr/>
          <w:p>
            <w:pPr>
              <w:pStyle w:val="Compact"/>
              <w:jc w:val="right"/>
            </w:pPr>
            <w:r>
              <w:rPr>
                <w:sz w:val="17"/>
              </w:rPr>
              <w:t xml:space="preserve">Loans</w:t>
            </w:r>
          </w:p>
        </w:tc>
        <w:tc>
          <w:tcPr/>
          <w:p>
            <w:pPr>
              <w:pStyle w:val="Compact"/>
              <w:jc w:val="right"/>
            </w:pPr>
            <w:r>
              <w:rPr>
                <w:sz w:val="17"/>
              </w:rPr>
              <w:t xml:space="preserve">Mean lifetime PD</w:t>
            </w:r>
          </w:p>
        </w:tc>
        <w:tc>
          <w:tcPr/>
          <w:p>
            <w:pPr>
              <w:pStyle w:val="Compact"/>
              <w:jc w:val="right"/>
            </w:pPr>
            <w:r>
              <w:rPr>
                <w:sz w:val="17"/>
              </w:rPr>
              <w:t xml:space="preserve">Observed</w:t>
            </w:r>
          </w:p>
        </w:tc>
        <w:tc>
          <w:tcPr/>
          <w:p>
            <w:pPr>
              <w:pStyle w:val="Compact"/>
              <w:jc w:val="right"/>
            </w:pPr>
            <w:r>
              <w:rPr>
                <w:sz w:val="17"/>
              </w:rPr>
              <w:t xml:space="preserve">EL % funded</w:t>
            </w:r>
          </w:p>
        </w:tc>
        <w:tc>
          <w:tcPr/>
          <w:p>
            <w:pPr>
              <w:pStyle w:val="Compact"/>
              <w:jc w:val="right"/>
            </w:pPr>
            <w:r>
              <w:rPr>
                <w:sz w:val="17"/>
              </w:rPr>
              <w:t xml:space="preserve">Realized % funded</w:t>
            </w:r>
          </w:p>
        </w:tc>
        <w:tc>
          <w:tcPr/>
          <w:p>
            <w:pPr>
              <w:pStyle w:val="Compact"/>
              <w:jc w:val="right"/>
            </w:pPr>
            <w:r>
              <w:rPr>
                <w:sz w:val="17"/>
              </w:rPr>
              <w:t xml:space="preserve">EL / realized</w:t>
            </w:r>
          </w:p>
        </w:tc>
      </w:tr>
      <w:tr>
        <w:tc>
          <w:tcPr/>
          <w:p>
            <w:pPr>
              <w:pStyle w:val="Compact"/>
              <w:jc w:val="left"/>
            </w:pPr>
            <w:r>
              <w:rPr>
                <w:sz w:val="17"/>
              </w:rPr>
              <w:t xml:space="preserve">A</w:t>
            </w:r>
          </w:p>
        </w:tc>
        <w:tc>
          <w:tcPr/>
          <w:p>
            <w:pPr>
              <w:pStyle w:val="Compact"/>
              <w:jc w:val="right"/>
            </w:pPr>
            <w:r>
              <w:rPr>
                <w:sz w:val="17"/>
              </w:rPr>
              <w:t xml:space="preserve">10,753</w:t>
            </w:r>
          </w:p>
        </w:tc>
        <w:tc>
          <w:tcPr/>
          <w:p>
            <w:pPr>
              <w:pStyle w:val="Compact"/>
              <w:jc w:val="right"/>
            </w:pPr>
            <w:r>
              <w:rPr>
                <w:sz w:val="17"/>
              </w:rPr>
              <w:t xml:space="preserve">5.66%</w:t>
            </w:r>
          </w:p>
        </w:tc>
        <w:tc>
          <w:tcPr/>
          <w:p>
            <w:pPr>
              <w:pStyle w:val="Compact"/>
              <w:jc w:val="right"/>
            </w:pPr>
            <w:r>
              <w:rPr>
                <w:sz w:val="17"/>
              </w:rPr>
              <w:t xml:space="preserve">7.24%</w:t>
            </w:r>
          </w:p>
        </w:tc>
        <w:tc>
          <w:tcPr/>
          <w:p>
            <w:pPr>
              <w:pStyle w:val="Compact"/>
              <w:jc w:val="right"/>
            </w:pPr>
            <w:r>
              <w:rPr>
                <w:sz w:val="17"/>
              </w:rPr>
              <w:t xml:space="preserve">2.93%</w:t>
            </w:r>
          </w:p>
        </w:tc>
        <w:tc>
          <w:tcPr/>
          <w:p>
            <w:pPr>
              <w:pStyle w:val="Compact"/>
              <w:jc w:val="right"/>
            </w:pPr>
            <w:r>
              <w:rPr>
                <w:sz w:val="17"/>
              </w:rPr>
              <w:t xml:space="preserve">3.54%</w:t>
            </w:r>
          </w:p>
        </w:tc>
        <w:tc>
          <w:tcPr/>
          <w:p>
            <w:pPr>
              <w:pStyle w:val="Compact"/>
              <w:jc w:val="right"/>
            </w:pPr>
            <w:r>
              <w:rPr>
                <w:sz w:val="17"/>
              </w:rPr>
              <w:t xml:space="preserve">0.827</w:t>
            </w:r>
          </w:p>
        </w:tc>
      </w:tr>
      <w:tr>
        <w:tc>
          <w:tcPr/>
          <w:p>
            <w:pPr>
              <w:pStyle w:val="Compact"/>
              <w:jc w:val="left"/>
            </w:pPr>
            <w:r>
              <w:rPr>
                <w:sz w:val="17"/>
              </w:rPr>
              <w:t xml:space="preserve">B</w:t>
            </w:r>
          </w:p>
        </w:tc>
        <w:tc>
          <w:tcPr/>
          <w:p>
            <w:pPr>
              <w:pStyle w:val="Compact"/>
              <w:jc w:val="right"/>
            </w:pPr>
            <w:r>
              <w:rPr>
                <w:sz w:val="17"/>
              </w:rPr>
              <w:t xml:space="preserve">16,805</w:t>
            </w:r>
          </w:p>
        </w:tc>
        <w:tc>
          <w:tcPr/>
          <w:p>
            <w:pPr>
              <w:pStyle w:val="Compact"/>
              <w:jc w:val="right"/>
            </w:pPr>
            <w:r>
              <w:rPr>
                <w:sz w:val="17"/>
              </w:rPr>
              <w:t xml:space="preserve">10.26%</w:t>
            </w:r>
          </w:p>
        </w:tc>
        <w:tc>
          <w:tcPr/>
          <w:p>
            <w:pPr>
              <w:pStyle w:val="Compact"/>
              <w:jc w:val="right"/>
            </w:pPr>
            <w:r>
              <w:rPr>
                <w:sz w:val="17"/>
              </w:rPr>
              <w:t xml:space="preserve">12.63%</w:t>
            </w:r>
          </w:p>
        </w:tc>
        <w:tc>
          <w:tcPr/>
          <w:p>
            <w:pPr>
              <w:pStyle w:val="Compact"/>
              <w:jc w:val="right"/>
            </w:pPr>
            <w:r>
              <w:rPr>
                <w:sz w:val="17"/>
              </w:rPr>
              <w:t xml:space="preserve">5.55%</w:t>
            </w:r>
          </w:p>
        </w:tc>
        <w:tc>
          <w:tcPr/>
          <w:p>
            <w:pPr>
              <w:pStyle w:val="Compact"/>
              <w:jc w:val="right"/>
            </w:pPr>
            <w:r>
              <w:rPr>
                <w:sz w:val="17"/>
              </w:rPr>
              <w:t xml:space="preserve">6.38%</w:t>
            </w:r>
          </w:p>
        </w:tc>
        <w:tc>
          <w:tcPr/>
          <w:p>
            <w:pPr>
              <w:pStyle w:val="Compact"/>
              <w:jc w:val="right"/>
            </w:pPr>
            <w:r>
              <w:rPr>
                <w:sz w:val="17"/>
              </w:rPr>
              <w:t xml:space="preserve">0.869</w:t>
            </w:r>
          </w:p>
        </w:tc>
      </w:tr>
      <w:tr>
        <w:tc>
          <w:tcPr/>
          <w:p>
            <w:pPr>
              <w:pStyle w:val="Compact"/>
              <w:jc w:val="left"/>
            </w:pPr>
            <w:r>
              <w:rPr>
                <w:sz w:val="17"/>
              </w:rPr>
              <w:t xml:space="preserve">C</w:t>
            </w:r>
          </w:p>
        </w:tc>
        <w:tc>
          <w:tcPr/>
          <w:p>
            <w:pPr>
              <w:pStyle w:val="Compact"/>
              <w:jc w:val="right"/>
            </w:pPr>
            <w:r>
              <w:rPr>
                <w:sz w:val="17"/>
              </w:rPr>
              <w:t xml:space="preserve">9,902</w:t>
            </w:r>
          </w:p>
        </w:tc>
        <w:tc>
          <w:tcPr/>
          <w:p>
            <w:pPr>
              <w:pStyle w:val="Compact"/>
              <w:jc w:val="right"/>
            </w:pPr>
            <w:r>
              <w:rPr>
                <w:sz w:val="17"/>
              </w:rPr>
              <w:t xml:space="preserve">14.71%</w:t>
            </w:r>
          </w:p>
        </w:tc>
        <w:tc>
          <w:tcPr/>
          <w:p>
            <w:pPr>
              <w:pStyle w:val="Compact"/>
              <w:jc w:val="right"/>
            </w:pPr>
            <w:r>
              <w:rPr>
                <w:sz w:val="17"/>
              </w:rPr>
              <w:t xml:space="preserve">17.70%</w:t>
            </w:r>
          </w:p>
        </w:tc>
        <w:tc>
          <w:tcPr/>
          <w:p>
            <w:pPr>
              <w:pStyle w:val="Compact"/>
              <w:jc w:val="right"/>
            </w:pPr>
            <w:r>
              <w:rPr>
                <w:sz w:val="17"/>
              </w:rPr>
              <w:t xml:space="preserve">8.37%</w:t>
            </w:r>
          </w:p>
        </w:tc>
        <w:tc>
          <w:tcPr/>
          <w:p>
            <w:pPr>
              <w:pStyle w:val="Compact"/>
              <w:jc w:val="right"/>
            </w:pPr>
            <w:r>
              <w:rPr>
                <w:sz w:val="17"/>
              </w:rPr>
              <w:t xml:space="preserve">8.93%</w:t>
            </w:r>
          </w:p>
        </w:tc>
        <w:tc>
          <w:tcPr/>
          <w:p>
            <w:pPr>
              <w:pStyle w:val="Compact"/>
              <w:jc w:val="right"/>
            </w:pPr>
            <w:r>
              <w:rPr>
                <w:sz w:val="17"/>
              </w:rPr>
              <w:t xml:space="preserve">0.937</w:t>
            </w:r>
          </w:p>
        </w:tc>
      </w:tr>
      <w:tr>
        <w:tc>
          <w:tcPr/>
          <w:p>
            <w:pPr>
              <w:pStyle w:val="Compact"/>
              <w:jc w:val="left"/>
            </w:pPr>
            <w:r>
              <w:rPr>
                <w:sz w:val="17"/>
              </w:rPr>
              <w:t xml:space="preserve">D</w:t>
            </w:r>
          </w:p>
        </w:tc>
        <w:tc>
          <w:tcPr/>
          <w:p>
            <w:pPr>
              <w:pStyle w:val="Compact"/>
              <w:jc w:val="right"/>
            </w:pPr>
            <w:r>
              <w:rPr>
                <w:sz w:val="17"/>
              </w:rPr>
              <w:t xml:space="preserve">5,088</w:t>
            </w:r>
          </w:p>
        </w:tc>
        <w:tc>
          <w:tcPr/>
          <w:p>
            <w:pPr>
              <w:pStyle w:val="Compact"/>
              <w:jc w:val="right"/>
            </w:pPr>
            <w:r>
              <w:rPr>
                <w:sz w:val="17"/>
              </w:rPr>
              <w:t xml:space="preserve">17.14%</w:t>
            </w:r>
          </w:p>
        </w:tc>
        <w:tc>
          <w:tcPr/>
          <w:p>
            <w:pPr>
              <w:pStyle w:val="Compact"/>
              <w:jc w:val="right"/>
            </w:pPr>
            <w:r>
              <w:rPr>
                <w:sz w:val="17"/>
              </w:rPr>
              <w:t xml:space="preserve">21.32%</w:t>
            </w:r>
          </w:p>
        </w:tc>
        <w:tc>
          <w:tcPr/>
          <w:p>
            <w:pPr>
              <w:pStyle w:val="Compact"/>
              <w:jc w:val="right"/>
            </w:pPr>
            <w:r>
              <w:rPr>
                <w:sz w:val="17"/>
              </w:rPr>
              <w:t xml:space="preserve">10.05%</w:t>
            </w:r>
          </w:p>
        </w:tc>
        <w:tc>
          <w:tcPr/>
          <w:p>
            <w:pPr>
              <w:pStyle w:val="Compact"/>
              <w:jc w:val="right"/>
            </w:pPr>
            <w:r>
              <w:rPr>
                <w:sz w:val="17"/>
              </w:rPr>
              <w:t xml:space="preserve">11.34%</w:t>
            </w:r>
          </w:p>
        </w:tc>
        <w:tc>
          <w:tcPr/>
          <w:p>
            <w:pPr>
              <w:pStyle w:val="Compact"/>
              <w:jc w:val="right"/>
            </w:pPr>
            <w:r>
              <w:rPr>
                <w:sz w:val="17"/>
              </w:rPr>
              <w:t xml:space="preserve">0.886</w:t>
            </w:r>
          </w:p>
        </w:tc>
      </w:tr>
      <w:tr>
        <w:tc>
          <w:tcPr/>
          <w:p>
            <w:pPr>
              <w:pStyle w:val="Compact"/>
              <w:jc w:val="left"/>
            </w:pPr>
            <w:r>
              <w:rPr>
                <w:sz w:val="17"/>
              </w:rPr>
              <w:t xml:space="preserve">E</w:t>
            </w:r>
          </w:p>
        </w:tc>
        <w:tc>
          <w:tcPr/>
          <w:p>
            <w:pPr>
              <w:pStyle w:val="Compact"/>
              <w:jc w:val="right"/>
            </w:pPr>
            <w:r>
              <w:rPr>
                <w:sz w:val="17"/>
              </w:rPr>
              <w:t xml:space="preserve">795</w:t>
            </w:r>
          </w:p>
        </w:tc>
        <w:tc>
          <w:tcPr/>
          <w:p>
            <w:pPr>
              <w:pStyle w:val="Compact"/>
              <w:jc w:val="right"/>
            </w:pPr>
            <w:r>
              <w:rPr>
                <w:sz w:val="17"/>
              </w:rPr>
              <w:t xml:space="preserve">19.33%</w:t>
            </w:r>
          </w:p>
        </w:tc>
        <w:tc>
          <w:tcPr/>
          <w:p>
            <w:pPr>
              <w:pStyle w:val="Compact"/>
              <w:jc w:val="right"/>
            </w:pPr>
            <w:r>
              <w:rPr>
                <w:sz w:val="17"/>
              </w:rPr>
              <w:t xml:space="preserve">22.01%</w:t>
            </w:r>
          </w:p>
        </w:tc>
        <w:tc>
          <w:tcPr/>
          <w:p>
            <w:pPr>
              <w:pStyle w:val="Compact"/>
              <w:jc w:val="right"/>
            </w:pPr>
            <w:r>
              <w:rPr>
                <w:sz w:val="17"/>
              </w:rPr>
              <w:t xml:space="preserve">11.76%</w:t>
            </w:r>
          </w:p>
        </w:tc>
        <w:tc>
          <w:tcPr/>
          <w:p>
            <w:pPr>
              <w:pStyle w:val="Compact"/>
              <w:jc w:val="right"/>
            </w:pPr>
            <w:r>
              <w:rPr>
                <w:sz w:val="17"/>
              </w:rPr>
              <w:t xml:space="preserve">12.39%</w:t>
            </w:r>
          </w:p>
        </w:tc>
        <w:tc>
          <w:tcPr/>
          <w:p>
            <w:pPr>
              <w:pStyle w:val="Compact"/>
              <w:jc w:val="right"/>
            </w:pPr>
            <w:r>
              <w:rPr>
                <w:sz w:val="17"/>
              </w:rPr>
              <w:t xml:space="preserve">0.949</w:t>
            </w:r>
          </w:p>
        </w:tc>
      </w:tr>
      <w:tr>
        <w:tc>
          <w:tcPr/>
          <w:p>
            <w:pPr>
              <w:pStyle w:val="Compact"/>
              <w:jc w:val="left"/>
            </w:pPr>
            <w:r>
              <w:rPr>
                <w:sz w:val="17"/>
              </w:rPr>
              <w:t xml:space="preserve">F</w:t>
            </w:r>
          </w:p>
        </w:tc>
        <w:tc>
          <w:tcPr/>
          <w:p>
            <w:pPr>
              <w:pStyle w:val="Compact"/>
              <w:jc w:val="right"/>
            </w:pPr>
            <w:r>
              <w:rPr>
                <w:sz w:val="17"/>
              </w:rPr>
              <w:t xml:space="preserve">103</w:t>
            </w:r>
          </w:p>
        </w:tc>
        <w:tc>
          <w:tcPr/>
          <w:p>
            <w:pPr>
              <w:pStyle w:val="Compact"/>
              <w:jc w:val="right"/>
            </w:pPr>
            <w:r>
              <w:rPr>
                <w:sz w:val="17"/>
              </w:rPr>
              <w:t xml:space="preserve">20.99%</w:t>
            </w:r>
          </w:p>
        </w:tc>
        <w:tc>
          <w:tcPr/>
          <w:p>
            <w:pPr>
              <w:pStyle w:val="Compact"/>
              <w:jc w:val="right"/>
            </w:pPr>
            <w:r>
              <w:rPr>
                <w:sz w:val="17"/>
              </w:rPr>
              <w:t xml:space="preserve">18.45%</w:t>
            </w:r>
          </w:p>
        </w:tc>
        <w:tc>
          <w:tcPr/>
          <w:p>
            <w:pPr>
              <w:pStyle w:val="Compact"/>
              <w:jc w:val="right"/>
            </w:pPr>
            <w:r>
              <w:rPr>
                <w:sz w:val="17"/>
              </w:rPr>
              <w:t xml:space="preserve">12.62%</w:t>
            </w:r>
          </w:p>
        </w:tc>
        <w:tc>
          <w:tcPr/>
          <w:p>
            <w:pPr>
              <w:pStyle w:val="Compact"/>
              <w:jc w:val="right"/>
            </w:pPr>
            <w:r>
              <w:rPr>
                <w:sz w:val="17"/>
              </w:rPr>
              <w:t xml:space="preserve">13.31%</w:t>
            </w:r>
          </w:p>
        </w:tc>
        <w:tc>
          <w:tcPr/>
          <w:p>
            <w:pPr>
              <w:pStyle w:val="Compact"/>
              <w:jc w:val="right"/>
            </w:pPr>
            <w:r>
              <w:rPr>
                <w:sz w:val="17"/>
              </w:rPr>
              <w:t xml:space="preserve">0.948</w:t>
            </w:r>
          </w:p>
        </w:tc>
      </w:tr>
      <w:tr>
        <w:tc>
          <w:tcPr/>
          <w:p>
            <w:pPr>
              <w:pStyle w:val="Compact"/>
              <w:jc w:val="left"/>
            </w:pPr>
            <w:r>
              <w:rPr>
                <w:sz w:val="17"/>
              </w:rPr>
              <w:t xml:space="preserve">G</w:t>
            </w:r>
          </w:p>
        </w:tc>
        <w:tc>
          <w:tcPr/>
          <w:p>
            <w:pPr>
              <w:pStyle w:val="Compact"/>
              <w:jc w:val="right"/>
            </w:pPr>
            <w:r>
              <w:rPr>
                <w:sz w:val="17"/>
              </w:rPr>
              <w:t xml:space="preserve">24</w:t>
            </w:r>
          </w:p>
        </w:tc>
        <w:tc>
          <w:tcPr/>
          <w:p>
            <w:pPr>
              <w:pStyle w:val="Compact"/>
              <w:jc w:val="right"/>
            </w:pPr>
            <w:r>
              <w:rPr>
                <w:sz w:val="17"/>
              </w:rPr>
              <w:t xml:space="preserve">17.59%</w:t>
            </w:r>
          </w:p>
        </w:tc>
        <w:tc>
          <w:tcPr/>
          <w:p>
            <w:pPr>
              <w:pStyle w:val="Compact"/>
              <w:jc w:val="right"/>
            </w:pPr>
            <w:r>
              <w:rPr>
                <w:sz w:val="17"/>
              </w:rPr>
              <w:t xml:space="preserve">16.67%</w:t>
            </w:r>
          </w:p>
        </w:tc>
        <w:tc>
          <w:tcPr/>
          <w:p>
            <w:pPr>
              <w:pStyle w:val="Compact"/>
              <w:jc w:val="right"/>
            </w:pPr>
            <w:r>
              <w:rPr>
                <w:sz w:val="17"/>
              </w:rPr>
              <w:t xml:space="preserve">11.47%</w:t>
            </w:r>
          </w:p>
        </w:tc>
        <w:tc>
          <w:tcPr/>
          <w:p>
            <w:pPr>
              <w:pStyle w:val="Compact"/>
              <w:jc w:val="right"/>
            </w:pPr>
            <w:r>
              <w:rPr>
                <w:sz w:val="17"/>
              </w:rPr>
              <w:t xml:space="preserve">9.66%</w:t>
            </w:r>
          </w:p>
        </w:tc>
        <w:tc>
          <w:tcPr/>
          <w:p>
            <w:pPr>
              <w:pStyle w:val="Compact"/>
              <w:jc w:val="right"/>
            </w:pPr>
            <w:r>
              <w:rPr>
                <w:sz w:val="17"/>
              </w:rPr>
              <w:t xml:space="preserve">1.187</w:t>
            </w:r>
          </w:p>
        </w:tc>
      </w:tr>
      <w:tr>
        <w:tc>
          <w:tcPr/>
          <w:p>
            <w:pPr>
              <w:pStyle w:val="Compact"/>
              <w:jc w:val="left"/>
            </w:pPr>
            <w:r>
              <w:rPr>
                <w:sz w:val="17"/>
              </w:rPr>
              <w:t xml:space="preserve">ALL</w:t>
            </w:r>
          </w:p>
        </w:tc>
        <w:tc>
          <w:tcPr/>
          <w:p>
            <w:pPr>
              <w:pStyle w:val="Compact"/>
              <w:jc w:val="right"/>
            </w:pPr>
            <w:r>
              <w:rPr>
                <w:sz w:val="17"/>
              </w:rPr>
              <w:t xml:space="preserve">43,470</w:t>
            </w:r>
          </w:p>
        </w:tc>
        <w:tc>
          <w:tcPr/>
          <w:p>
            <w:pPr>
              <w:pStyle w:val="Compact"/>
              <w:jc w:val="right"/>
            </w:pPr>
            <w:r>
              <w:rPr>
                <w:sz w:val="17"/>
              </w:rPr>
              <w:t xml:space="preserve">11.13%</w:t>
            </w:r>
          </w:p>
        </w:tc>
        <w:tc>
          <w:tcPr/>
          <w:p>
            <w:pPr>
              <w:pStyle w:val="Compact"/>
              <w:jc w:val="right"/>
            </w:pPr>
            <w:r>
              <w:rPr>
                <w:sz w:val="17"/>
              </w:rPr>
              <w:t xml:space="preserve">13.66%</w:t>
            </w:r>
          </w:p>
        </w:tc>
        <w:tc>
          <w:tcPr/>
          <w:p>
            <w:pPr>
              <w:pStyle w:val="Compact"/>
              <w:jc w:val="right"/>
            </w:pPr>
            <w:r>
              <w:rPr>
                <w:sz w:val="17"/>
              </w:rPr>
              <w:t xml:space="preserve">6.42%</w:t>
            </w:r>
          </w:p>
        </w:tc>
        <w:tc>
          <w:tcPr/>
          <w:p>
            <w:pPr>
              <w:pStyle w:val="Compact"/>
              <w:jc w:val="right"/>
            </w:pPr>
            <w:r>
              <w:rPr>
                <w:sz w:val="17"/>
              </w:rPr>
              <w:t xml:space="preserve">7.20%</w:t>
            </w:r>
          </w:p>
        </w:tc>
        <w:tc>
          <w:tcPr/>
          <w:p>
            <w:pPr>
              <w:pStyle w:val="Compact"/>
              <w:jc w:val="right"/>
            </w:pPr>
            <w:r>
              <w:rPr>
                <w:sz w:val="17"/>
              </w:rPr>
              <w:t xml:space="preserve">0.892</w:t>
            </w:r>
          </w:p>
        </w:tc>
      </w:tr>
    </w:tbl>
    <w:p>
      <w:pPr>
        <w:pStyle w:val="BodyText"/>
      </w:pPr>
      <w:r>
        <w:t xml:space="preserve">On 2012 loans the expected loss is 6.42% of funded against a realized 7.20% (ratio 0.892), whereas in the training years the ratio is 1.027, so the in-sample match deteriorates out of time. The predicted lifetime EL is lower than the original project's headline figure, as it should be: the original applied lifetime PD to every loan regardless of status.</w:t>
      </w:r>
    </w:p>
    <w:bookmarkEnd w:id="121"/>
    <w:bookmarkEnd w:id="122"/>
    <w:bookmarkStart w:id="128" w:name="sensitivity-and-stress-analysis"/>
    <w:p>
      <w:pPr>
        <w:pStyle w:val="Heading1"/>
      </w:pPr>
      <w:r>
        <w:rPr>
          <w:rStyle w:val="SectionNumber"/>
        </w:rPr>
        <w:t xml:space="preserve">16</w:t>
      </w:r>
      <w:r>
        <w:tab/>
      </w:r>
      <w:r>
        <w:t xml:space="preserve">Sensitivity and stress analysis</w:t>
      </w:r>
    </w:p>
    <w:bookmarkStart w:id="123" w:name="design"/>
    <w:p>
      <w:pPr>
        <w:pStyle w:val="Heading2"/>
      </w:pPr>
      <w:r>
        <w:rPr>
          <w:rStyle w:val="SectionNumber"/>
        </w:rPr>
        <w:t xml:space="preserve">16.1</w:t>
      </w:r>
      <w:r>
        <w:tab/>
      </w:r>
      <w:r>
        <w:t xml:space="preserve">Design</w:t>
      </w:r>
    </w:p>
    <w:p>
      <w:pPr>
        <w:pStyle w:val="FirstParagraph"/>
      </w:pPr>
      <w:r>
        <w:t xml:space="preserve">Sensitivity analysis asks how the answer moves when assumptions move. All runs use 2013 loans and the champion unless noted. Feature shocks add 5 points to DTI, 2 points to the interest rate, cut income by 10%, add 10 points to revolving utilization and add one inquiry, singly and together. PD multipliers scale every PD by 1.25 and 1.5, and an LGD add-on of 0.10 is applied. Definition variants refit the scorecard under a different target (In Grace Period as bad, a 24-month window, DNMCP loans included) or different binning settings (minimum share 3, 5 and 10%, maximum bins 5, 8 and 12) and report the new Gini on 2013 loans.</w:t>
      </w:r>
    </w:p>
    <w:p>
      <w:pPr>
        <w:pStyle w:val="TableCaption"/>
      </w:pPr>
      <w:r>
        <w:t xml:space="preserve">Sensitivity of SC_FULL on 2013 loans. Refit variants report Gini; others report rank correlation with the baseline PDs and the share of loans that change PD band.</w:t>
      </w:r>
    </w:p>
    <w:tbl>
      <w:tblPr>
        <w:tblStyle w:val="Table"/>
        <w:tblW w:type="pct" w:w="5000"/>
        <w:tblLayout w:type="fixed"/>
        <w:tblLook w:firstRow="1" w:lastRow="0" w:firstColumn="0" w:lastColumn="0" w:noHBand="0" w:noVBand="0" w:val="0020"/>
        <w:tblCaption w:val="Sensitivity of SC_FULL on 2013 loans. Refit variants report Gini; others report rank correlation with the baseline PDs and the share of loans that change PD ban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21"/>
        <w:gridCol w:w="482"/>
        <w:gridCol w:w="826"/>
        <w:gridCol w:w="826"/>
        <w:gridCol w:w="1101"/>
        <w:gridCol w:w="1515"/>
        <w:gridCol w:w="1446"/>
      </w:tblGrid>
      <w:tr>
        <w:trPr>
          <w:tblHeader w:val="on"/>
        </w:trPr>
        <w:tc>
          <w:tcPr/>
          <w:p>
            <w:pPr>
              <w:pStyle w:val="Compact"/>
              <w:jc w:val="left"/>
            </w:pPr>
            <w:r>
              <w:rPr>
                <w:sz w:val="17"/>
              </w:rPr>
              <w:t xml:space="preserve">Scenario</w:t>
            </w:r>
          </w:p>
        </w:tc>
        <w:tc>
          <w:tcPr/>
          <w:p>
            <w:pPr>
              <w:pStyle w:val="Compact"/>
              <w:jc w:val="right"/>
            </w:pPr>
            <w:r>
              <w:rPr>
                <w:sz w:val="17"/>
              </w:rPr>
              <w:t xml:space="preserve">Mean PD</w:t>
            </w:r>
          </w:p>
        </w:tc>
        <w:tc>
          <w:tcPr/>
          <w:p>
            <w:pPr>
              <w:pStyle w:val="Compact"/>
              <w:jc w:val="right"/>
            </w:pPr>
            <w:r>
              <w:rPr>
                <w:sz w:val="17"/>
              </w:rPr>
              <w:t xml:space="preserve">Change in PD</w:t>
            </w:r>
          </w:p>
        </w:tc>
        <w:tc>
          <w:tcPr/>
          <w:p>
            <w:pPr>
              <w:pStyle w:val="Compact"/>
              <w:jc w:val="right"/>
            </w:pPr>
            <w:r>
              <w:rPr>
                <w:sz w:val="17"/>
              </w:rPr>
              <w:t xml:space="preserve">Change in EL</w:t>
            </w:r>
          </w:p>
        </w:tc>
        <w:tc>
          <w:tcPr/>
          <w:p>
            <w:pPr>
              <w:pStyle w:val="Compact"/>
              <w:jc w:val="right"/>
            </w:pPr>
            <w:r>
              <w:rPr>
                <w:sz w:val="17"/>
              </w:rPr>
              <w:t xml:space="preserve">Rank correlation</w:t>
            </w:r>
          </w:p>
        </w:tc>
        <w:tc>
          <w:tcPr/>
          <w:p>
            <w:pPr>
              <w:pStyle w:val="Compact"/>
              <w:jc w:val="right"/>
            </w:pPr>
            <w:r>
              <w:rPr>
                <w:sz w:val="17"/>
              </w:rPr>
              <w:t xml:space="preserve">Loans changing PD band</w:t>
            </w:r>
          </w:p>
        </w:tc>
        <w:tc>
          <w:tcPr/>
          <w:p>
            <w:pPr>
              <w:pStyle w:val="Compact"/>
              <w:jc w:val="right"/>
            </w:pPr>
            <w:r>
              <w:rPr>
                <w:sz w:val="17"/>
              </w:rPr>
              <w:t xml:space="preserve">Gini (refit variants)</w:t>
            </w:r>
          </w:p>
        </w:tc>
      </w:tr>
      <w:tr>
        <w:tc>
          <w:tcPr/>
          <w:p>
            <w:pPr>
              <w:pStyle w:val="Compact"/>
              <w:jc w:val="left"/>
            </w:pPr>
            <w:r>
              <w:rPr>
                <w:sz w:val="17"/>
              </w:rPr>
              <w:t xml:space="preserve">shock_dti_pts</w:t>
            </w:r>
          </w:p>
        </w:tc>
        <w:tc>
          <w:tcPr/>
          <w:p>
            <w:pPr>
              <w:pStyle w:val="Compact"/>
              <w:jc w:val="right"/>
            </w:pPr>
            <w:r>
              <w:rPr>
                <w:sz w:val="17"/>
              </w:rPr>
              <w:t xml:space="preserve">5.11%</w:t>
            </w:r>
          </w:p>
        </w:tc>
        <w:tc>
          <w:tcPr/>
          <w:p>
            <w:pPr>
              <w:pStyle w:val="Compact"/>
              <w:jc w:val="right"/>
            </w:pPr>
            <w:r>
              <w:rPr>
                <w:sz w:val="17"/>
              </w:rPr>
              <w:t xml:space="preserve">+4.2%</w:t>
            </w:r>
          </w:p>
        </w:tc>
        <w:tc>
          <w:tcPr/>
          <w:p>
            <w:pPr>
              <w:pStyle w:val="Compact"/>
              <w:jc w:val="right"/>
            </w:pPr>
            <w:r>
              <w:rPr>
                <w:sz w:val="17"/>
              </w:rPr>
              <w:t xml:space="preserve">+4.5%</w:t>
            </w:r>
          </w:p>
        </w:tc>
        <w:tc>
          <w:tcPr/>
          <w:p>
            <w:pPr>
              <w:pStyle w:val="Compact"/>
              <w:jc w:val="right"/>
            </w:pPr>
            <w:r>
              <w:rPr>
                <w:sz w:val="17"/>
              </w:rPr>
              <w:t xml:space="preserve">0.9985</w:t>
            </w:r>
          </w:p>
        </w:tc>
        <w:tc>
          <w:tcPr/>
          <w:p>
            <w:pPr>
              <w:pStyle w:val="Compact"/>
              <w:jc w:val="right"/>
            </w:pPr>
            <w:r>
              <w:rPr>
                <w:sz w:val="17"/>
              </w:rPr>
              <w:t xml:space="preserve">17.5%</w:t>
            </w:r>
          </w:p>
        </w:tc>
        <w:tc>
          <w:tcPr/>
          <w:p>
            <w:pPr>
              <w:pStyle w:val="Compact"/>
              <w:jc w:val="right"/>
            </w:pPr>
            <w:r>
              <w:rPr>
                <w:sz w:val="17"/>
              </w:rPr>
              <w:t xml:space="preserve">n/a</w:t>
            </w:r>
          </w:p>
        </w:tc>
      </w:tr>
      <w:tr>
        <w:tc>
          <w:tcPr/>
          <w:p>
            <w:pPr>
              <w:pStyle w:val="Compact"/>
              <w:jc w:val="left"/>
            </w:pPr>
            <w:r>
              <w:rPr>
                <w:sz w:val="17"/>
              </w:rPr>
              <w:t xml:space="preserve">shock_int_rate_pts</w:t>
            </w:r>
          </w:p>
        </w:tc>
        <w:tc>
          <w:tcPr/>
          <w:p>
            <w:pPr>
              <w:pStyle w:val="Compact"/>
              <w:jc w:val="right"/>
            </w:pPr>
            <w:r>
              <w:rPr>
                <w:sz w:val="17"/>
              </w:rPr>
              <w:t xml:space="preserve">4.91%</w:t>
            </w:r>
          </w:p>
        </w:tc>
        <w:tc>
          <w:tcPr/>
          <w:p>
            <w:pPr>
              <w:pStyle w:val="Compact"/>
              <w:jc w:val="right"/>
            </w:pPr>
            <w:r>
              <w:rPr>
                <w:sz w:val="17"/>
              </w:rPr>
              <w:t xml:space="preserve">+0.0%</w:t>
            </w:r>
          </w:p>
        </w:tc>
        <w:tc>
          <w:tcPr/>
          <w:p>
            <w:pPr>
              <w:pStyle w:val="Compact"/>
              <w:jc w:val="right"/>
            </w:pPr>
            <w:r>
              <w:rPr>
                <w:sz w:val="17"/>
              </w:rPr>
              <w:t xml:space="preserve">+2.3%</w:t>
            </w:r>
          </w:p>
        </w:tc>
        <w:tc>
          <w:tcPr/>
          <w:p>
            <w:pPr>
              <w:pStyle w:val="Compact"/>
              <w:jc w:val="right"/>
            </w:pPr>
            <w:r>
              <w:rPr>
                <w:sz w:val="17"/>
              </w:rPr>
              <w:t xml:space="preserve">1.0000</w:t>
            </w:r>
          </w:p>
        </w:tc>
        <w:tc>
          <w:tcPr/>
          <w:p>
            <w:pPr>
              <w:pStyle w:val="Compact"/>
              <w:jc w:val="right"/>
            </w:pPr>
            <w:r>
              <w:rPr>
                <w:sz w:val="17"/>
              </w:rPr>
              <w:t xml:space="preserve">0.0%</w:t>
            </w:r>
          </w:p>
        </w:tc>
        <w:tc>
          <w:tcPr/>
          <w:p>
            <w:pPr>
              <w:pStyle w:val="Compact"/>
              <w:jc w:val="right"/>
            </w:pPr>
            <w:r>
              <w:rPr>
                <w:sz w:val="17"/>
              </w:rPr>
              <w:t xml:space="preserve">n/a</w:t>
            </w:r>
          </w:p>
        </w:tc>
      </w:tr>
      <w:tr>
        <w:tc>
          <w:tcPr/>
          <w:p>
            <w:pPr>
              <w:pStyle w:val="Compact"/>
              <w:jc w:val="left"/>
            </w:pPr>
            <w:r>
              <w:rPr>
                <w:sz w:val="17"/>
              </w:rPr>
              <w:t xml:space="preserve">shock_income_pct</w:t>
            </w:r>
          </w:p>
        </w:tc>
        <w:tc>
          <w:tcPr/>
          <w:p>
            <w:pPr>
              <w:pStyle w:val="Compact"/>
              <w:jc w:val="right"/>
            </w:pPr>
            <w:r>
              <w:rPr>
                <w:sz w:val="17"/>
              </w:rPr>
              <w:t xml:space="preserve">5.18%</w:t>
            </w:r>
          </w:p>
        </w:tc>
        <w:tc>
          <w:tcPr/>
          <w:p>
            <w:pPr>
              <w:pStyle w:val="Compact"/>
              <w:jc w:val="right"/>
            </w:pPr>
            <w:r>
              <w:rPr>
                <w:sz w:val="17"/>
              </w:rPr>
              <w:t xml:space="preserve">+5.7%</w:t>
            </w:r>
          </w:p>
        </w:tc>
        <w:tc>
          <w:tcPr/>
          <w:p>
            <w:pPr>
              <w:pStyle w:val="Compact"/>
              <w:jc w:val="right"/>
            </w:pPr>
            <w:r>
              <w:rPr>
                <w:sz w:val="17"/>
              </w:rPr>
              <w:t xml:space="preserve">+6.7%</w:t>
            </w:r>
          </w:p>
        </w:tc>
        <w:tc>
          <w:tcPr/>
          <w:p>
            <w:pPr>
              <w:pStyle w:val="Compact"/>
              <w:jc w:val="right"/>
            </w:pPr>
            <w:r>
              <w:rPr>
                <w:sz w:val="17"/>
              </w:rPr>
              <w:t xml:space="preserve">0.9938</w:t>
            </w:r>
          </w:p>
        </w:tc>
        <w:tc>
          <w:tcPr/>
          <w:p>
            <w:pPr>
              <w:pStyle w:val="Compact"/>
              <w:jc w:val="right"/>
            </w:pPr>
            <w:r>
              <w:rPr>
                <w:sz w:val="17"/>
              </w:rPr>
              <w:t xml:space="preserve">22.2%</w:t>
            </w:r>
          </w:p>
        </w:tc>
        <w:tc>
          <w:tcPr/>
          <w:p>
            <w:pPr>
              <w:pStyle w:val="Compact"/>
              <w:jc w:val="right"/>
            </w:pPr>
            <w:r>
              <w:rPr>
                <w:sz w:val="17"/>
              </w:rPr>
              <w:t xml:space="preserve">n/a</w:t>
            </w:r>
          </w:p>
        </w:tc>
      </w:tr>
      <w:tr>
        <w:tc>
          <w:tcPr/>
          <w:p>
            <w:pPr>
              <w:pStyle w:val="Compact"/>
              <w:jc w:val="left"/>
            </w:pPr>
            <w:r>
              <w:rPr>
                <w:sz w:val="17"/>
              </w:rPr>
              <w:t xml:space="preserve">shock_revol_util_pts</w:t>
            </w:r>
          </w:p>
        </w:tc>
        <w:tc>
          <w:tcPr/>
          <w:p>
            <w:pPr>
              <w:pStyle w:val="Compact"/>
              <w:jc w:val="right"/>
            </w:pPr>
            <w:r>
              <w:rPr>
                <w:sz w:val="17"/>
              </w:rPr>
              <w:t xml:space="preserve">5.08%</w:t>
            </w:r>
          </w:p>
        </w:tc>
        <w:tc>
          <w:tcPr/>
          <w:p>
            <w:pPr>
              <w:pStyle w:val="Compact"/>
              <w:jc w:val="right"/>
            </w:pPr>
            <w:r>
              <w:rPr>
                <w:sz w:val="17"/>
              </w:rPr>
              <w:t xml:space="preserve">+3.6%</w:t>
            </w:r>
          </w:p>
        </w:tc>
        <w:tc>
          <w:tcPr/>
          <w:p>
            <w:pPr>
              <w:pStyle w:val="Compact"/>
              <w:jc w:val="right"/>
            </w:pPr>
            <w:r>
              <w:rPr>
                <w:sz w:val="17"/>
              </w:rPr>
              <w:t xml:space="preserve">+3.3%</w:t>
            </w:r>
          </w:p>
        </w:tc>
        <w:tc>
          <w:tcPr/>
          <w:p>
            <w:pPr>
              <w:pStyle w:val="Compact"/>
              <w:jc w:val="right"/>
            </w:pPr>
            <w:r>
              <w:rPr>
                <w:sz w:val="17"/>
              </w:rPr>
              <w:t xml:space="preserve">0.9977</w:t>
            </w:r>
          </w:p>
        </w:tc>
        <w:tc>
          <w:tcPr/>
          <w:p>
            <w:pPr>
              <w:pStyle w:val="Compact"/>
              <w:jc w:val="right"/>
            </w:pPr>
            <w:r>
              <w:rPr>
                <w:sz w:val="17"/>
              </w:rPr>
              <w:t xml:space="preserve">13.6%</w:t>
            </w:r>
          </w:p>
        </w:tc>
        <w:tc>
          <w:tcPr/>
          <w:p>
            <w:pPr>
              <w:pStyle w:val="Compact"/>
              <w:jc w:val="right"/>
            </w:pPr>
            <w:r>
              <w:rPr>
                <w:sz w:val="17"/>
              </w:rPr>
              <w:t xml:space="preserve">n/a</w:t>
            </w:r>
          </w:p>
        </w:tc>
      </w:tr>
      <w:tr>
        <w:tc>
          <w:tcPr/>
          <w:p>
            <w:pPr>
              <w:pStyle w:val="Compact"/>
              <w:jc w:val="left"/>
            </w:pPr>
            <w:r>
              <w:rPr>
                <w:sz w:val="17"/>
              </w:rPr>
              <w:t xml:space="preserve">shock_inq_add</w:t>
            </w:r>
          </w:p>
        </w:tc>
        <w:tc>
          <w:tcPr/>
          <w:p>
            <w:pPr>
              <w:pStyle w:val="Compact"/>
              <w:jc w:val="right"/>
            </w:pPr>
            <w:r>
              <w:rPr>
                <w:sz w:val="17"/>
              </w:rPr>
              <w:t xml:space="preserve">6.02%</w:t>
            </w:r>
          </w:p>
        </w:tc>
        <w:tc>
          <w:tcPr/>
          <w:p>
            <w:pPr>
              <w:pStyle w:val="Compact"/>
              <w:jc w:val="right"/>
            </w:pPr>
            <w:r>
              <w:rPr>
                <w:sz w:val="17"/>
              </w:rPr>
              <w:t xml:space="preserve">+22.7%</w:t>
            </w:r>
          </w:p>
        </w:tc>
        <w:tc>
          <w:tcPr/>
          <w:p>
            <w:pPr>
              <w:pStyle w:val="Compact"/>
              <w:jc w:val="right"/>
            </w:pPr>
            <w:r>
              <w:rPr>
                <w:sz w:val="17"/>
              </w:rPr>
              <w:t xml:space="preserve">+24.5%</w:t>
            </w:r>
          </w:p>
        </w:tc>
        <w:tc>
          <w:tcPr/>
          <w:p>
            <w:pPr>
              <w:pStyle w:val="Compact"/>
              <w:jc w:val="right"/>
            </w:pPr>
            <w:r>
              <w:rPr>
                <w:sz w:val="17"/>
              </w:rPr>
              <w:t xml:space="preserve">0.9878</w:t>
            </w:r>
          </w:p>
        </w:tc>
        <w:tc>
          <w:tcPr/>
          <w:p>
            <w:pPr>
              <w:pStyle w:val="Compact"/>
              <w:jc w:val="right"/>
            </w:pPr>
            <w:r>
              <w:rPr>
                <w:sz w:val="17"/>
              </w:rPr>
              <w:t xml:space="preserve">70.7%</w:t>
            </w:r>
          </w:p>
        </w:tc>
        <w:tc>
          <w:tcPr/>
          <w:p>
            <w:pPr>
              <w:pStyle w:val="Compact"/>
              <w:jc w:val="right"/>
            </w:pPr>
            <w:r>
              <w:rPr>
                <w:sz w:val="17"/>
              </w:rPr>
              <w:t xml:space="preserve">n/a</w:t>
            </w:r>
          </w:p>
        </w:tc>
      </w:tr>
      <w:tr>
        <w:tc>
          <w:tcPr/>
          <w:p>
            <w:pPr>
              <w:pStyle w:val="Compact"/>
              <w:jc w:val="left"/>
            </w:pPr>
            <w:r>
              <w:rPr>
                <w:sz w:val="17"/>
              </w:rPr>
              <w:t xml:space="preserve">shock_combined</w:t>
            </w:r>
          </w:p>
        </w:tc>
        <w:tc>
          <w:tcPr/>
          <w:p>
            <w:pPr>
              <w:pStyle w:val="Compact"/>
              <w:jc w:val="right"/>
            </w:pPr>
            <w:r>
              <w:rPr>
                <w:sz w:val="17"/>
              </w:rPr>
              <w:t xml:space="preserve">6.86%</w:t>
            </w:r>
          </w:p>
        </w:tc>
        <w:tc>
          <w:tcPr/>
          <w:p>
            <w:pPr>
              <w:pStyle w:val="Compact"/>
              <w:jc w:val="right"/>
            </w:pPr>
            <w:r>
              <w:rPr>
                <w:sz w:val="17"/>
              </w:rPr>
              <w:t xml:space="preserve">+39.8%</w:t>
            </w:r>
          </w:p>
        </w:tc>
        <w:tc>
          <w:tcPr/>
          <w:p>
            <w:pPr>
              <w:pStyle w:val="Compact"/>
              <w:jc w:val="right"/>
            </w:pPr>
            <w:r>
              <w:rPr>
                <w:sz w:val="17"/>
              </w:rPr>
              <w:t xml:space="preserve">+46.4%</w:t>
            </w:r>
          </w:p>
        </w:tc>
        <w:tc>
          <w:tcPr/>
          <w:p>
            <w:pPr>
              <w:pStyle w:val="Compact"/>
              <w:jc w:val="right"/>
            </w:pPr>
            <w:r>
              <w:rPr>
                <w:sz w:val="17"/>
              </w:rPr>
              <w:t xml:space="preserve">0.9770</w:t>
            </w:r>
          </w:p>
        </w:tc>
        <w:tc>
          <w:tcPr/>
          <w:p>
            <w:pPr>
              <w:pStyle w:val="Compact"/>
              <w:jc w:val="right"/>
            </w:pPr>
            <w:r>
              <w:rPr>
                <w:sz w:val="17"/>
              </w:rPr>
              <w:t xml:space="preserve">82.2%</w:t>
            </w:r>
          </w:p>
        </w:tc>
        <w:tc>
          <w:tcPr/>
          <w:p>
            <w:pPr>
              <w:pStyle w:val="Compact"/>
              <w:jc w:val="right"/>
            </w:pPr>
            <w:r>
              <w:rPr>
                <w:sz w:val="17"/>
              </w:rPr>
              <w:t xml:space="preserve">n/a</w:t>
            </w:r>
          </w:p>
        </w:tc>
      </w:tr>
      <w:tr>
        <w:tc>
          <w:tcPr/>
          <w:p>
            <w:pPr>
              <w:pStyle w:val="Compact"/>
              <w:jc w:val="left"/>
            </w:pPr>
            <w:r>
              <w:rPr>
                <w:sz w:val="17"/>
              </w:rPr>
              <w:t xml:space="preserve">pd_x1.25</w:t>
            </w:r>
          </w:p>
        </w:tc>
        <w:tc>
          <w:tcPr/>
          <w:p>
            <w:pPr>
              <w:pStyle w:val="Compact"/>
              <w:jc w:val="right"/>
            </w:pPr>
            <w:r>
              <w:rPr>
                <w:sz w:val="17"/>
              </w:rPr>
              <w:t xml:space="preserve">6.13%</w:t>
            </w:r>
          </w:p>
        </w:tc>
        <w:tc>
          <w:tcPr/>
          <w:p>
            <w:pPr>
              <w:pStyle w:val="Compact"/>
              <w:jc w:val="right"/>
            </w:pPr>
            <w:r>
              <w:rPr>
                <w:sz w:val="17"/>
              </w:rPr>
              <w:t xml:space="preserve">+25.0%</w:t>
            </w:r>
          </w:p>
        </w:tc>
        <w:tc>
          <w:tcPr/>
          <w:p>
            <w:pPr>
              <w:pStyle w:val="Compact"/>
              <w:jc w:val="right"/>
            </w:pPr>
            <w:r>
              <w:rPr>
                <w:sz w:val="17"/>
              </w:rPr>
              <w:t xml:space="preserve">+25.0%</w:t>
            </w:r>
          </w:p>
        </w:tc>
        <w:tc>
          <w:tcPr/>
          <w:p>
            <w:pPr>
              <w:pStyle w:val="Compact"/>
              <w:jc w:val="right"/>
            </w:pPr>
            <w:r>
              <w:rPr>
                <w:sz w:val="17"/>
              </w:rPr>
              <w:t xml:space="preserve">1.0000</w:t>
            </w:r>
          </w:p>
        </w:tc>
        <w:tc>
          <w:tcPr/>
          <w:p>
            <w:pPr>
              <w:pStyle w:val="Compact"/>
              <w:jc w:val="right"/>
            </w:pPr>
            <w:r>
              <w:rPr>
                <w:sz w:val="17"/>
              </w:rPr>
              <w:t xml:space="preserve">78.5%</w:t>
            </w:r>
          </w:p>
        </w:tc>
        <w:tc>
          <w:tcPr/>
          <w:p>
            <w:pPr>
              <w:pStyle w:val="Compact"/>
              <w:jc w:val="right"/>
            </w:pPr>
            <w:r>
              <w:rPr>
                <w:sz w:val="17"/>
              </w:rPr>
              <w:t xml:space="preserve">n/a</w:t>
            </w:r>
          </w:p>
        </w:tc>
      </w:tr>
      <w:tr>
        <w:tc>
          <w:tcPr/>
          <w:p>
            <w:pPr>
              <w:pStyle w:val="Compact"/>
              <w:jc w:val="left"/>
            </w:pPr>
            <w:r>
              <w:rPr>
                <w:sz w:val="17"/>
              </w:rPr>
              <w:t xml:space="preserve">pd_x1.5</w:t>
            </w:r>
          </w:p>
        </w:tc>
        <w:tc>
          <w:tcPr/>
          <w:p>
            <w:pPr>
              <w:pStyle w:val="Compact"/>
              <w:jc w:val="right"/>
            </w:pPr>
            <w:r>
              <w:rPr>
                <w:sz w:val="17"/>
              </w:rPr>
              <w:t xml:space="preserve">7.36%</w:t>
            </w:r>
          </w:p>
        </w:tc>
        <w:tc>
          <w:tcPr/>
          <w:p>
            <w:pPr>
              <w:pStyle w:val="Compact"/>
              <w:jc w:val="right"/>
            </w:pPr>
            <w:r>
              <w:rPr>
                <w:sz w:val="17"/>
              </w:rPr>
              <w:t xml:space="preserve">+50.0%</w:t>
            </w:r>
          </w:p>
        </w:tc>
        <w:tc>
          <w:tcPr/>
          <w:p>
            <w:pPr>
              <w:pStyle w:val="Compact"/>
              <w:jc w:val="right"/>
            </w:pPr>
            <w:r>
              <w:rPr>
                <w:sz w:val="17"/>
              </w:rPr>
              <w:t xml:space="preserve">+50.0%</w:t>
            </w:r>
          </w:p>
        </w:tc>
        <w:tc>
          <w:tcPr/>
          <w:p>
            <w:pPr>
              <w:pStyle w:val="Compact"/>
              <w:jc w:val="right"/>
            </w:pPr>
            <w:r>
              <w:rPr>
                <w:sz w:val="17"/>
              </w:rPr>
              <w:t xml:space="preserve">1.0000</w:t>
            </w:r>
          </w:p>
        </w:tc>
        <w:tc>
          <w:tcPr/>
          <w:p>
            <w:pPr>
              <w:pStyle w:val="Compact"/>
              <w:jc w:val="right"/>
            </w:pPr>
            <w:r>
              <w:rPr>
                <w:sz w:val="17"/>
              </w:rPr>
              <w:t xml:space="preserve">86.0%</w:t>
            </w:r>
          </w:p>
        </w:tc>
        <w:tc>
          <w:tcPr/>
          <w:p>
            <w:pPr>
              <w:pStyle w:val="Compact"/>
              <w:jc w:val="right"/>
            </w:pPr>
            <w:r>
              <w:rPr>
                <w:sz w:val="17"/>
              </w:rPr>
              <w:t xml:space="preserve">n/a</w:t>
            </w:r>
          </w:p>
        </w:tc>
      </w:tr>
      <w:tr>
        <w:tc>
          <w:tcPr/>
          <w:p>
            <w:pPr>
              <w:pStyle w:val="Compact"/>
              <w:jc w:val="left"/>
            </w:pPr>
            <w:r>
              <w:rPr>
                <w:sz w:val="17"/>
              </w:rPr>
              <w:t xml:space="preserve">lgd_add_0.1</w:t>
            </w:r>
          </w:p>
        </w:tc>
        <w:tc>
          <w:tcPr/>
          <w:p>
            <w:pPr>
              <w:pStyle w:val="Compact"/>
              <w:jc w:val="right"/>
            </w:pPr>
            <w:r>
              <w:rPr>
                <w:sz w:val="17"/>
              </w:rPr>
              <w:t xml:space="preserve">4.91%</w:t>
            </w:r>
          </w:p>
        </w:tc>
        <w:tc>
          <w:tcPr/>
          <w:p>
            <w:pPr>
              <w:pStyle w:val="Compact"/>
              <w:jc w:val="right"/>
            </w:pPr>
            <w:r>
              <w:rPr>
                <w:sz w:val="17"/>
              </w:rPr>
              <w:t xml:space="preserve">+0.0%</w:t>
            </w:r>
          </w:p>
        </w:tc>
        <w:tc>
          <w:tcPr/>
          <w:p>
            <w:pPr>
              <w:pStyle w:val="Compact"/>
              <w:jc w:val="right"/>
            </w:pPr>
            <w:r>
              <w:rPr>
                <w:sz w:val="17"/>
              </w:rPr>
              <w:t xml:space="preserve">+6.8%</w:t>
            </w:r>
          </w:p>
        </w:tc>
        <w:tc>
          <w:tcPr/>
          <w:p>
            <w:pPr>
              <w:pStyle w:val="Compact"/>
              <w:jc w:val="right"/>
            </w:pPr>
            <w:r>
              <w:rPr>
                <w:sz w:val="17"/>
              </w:rPr>
              <w:t xml:space="preserve">1.0000</w:t>
            </w:r>
          </w:p>
        </w:tc>
        <w:tc>
          <w:tcPr/>
          <w:p>
            <w:pPr>
              <w:pStyle w:val="Compact"/>
              <w:jc w:val="right"/>
            </w:pPr>
            <w:r>
              <w:rPr>
                <w:sz w:val="17"/>
              </w:rPr>
              <w:t xml:space="preserve">0.0%</w:t>
            </w:r>
          </w:p>
        </w:tc>
        <w:tc>
          <w:tcPr/>
          <w:p>
            <w:pPr>
              <w:pStyle w:val="Compact"/>
              <w:jc w:val="right"/>
            </w:pPr>
            <w:r>
              <w:rPr>
                <w:sz w:val="17"/>
              </w:rPr>
              <w:t xml:space="preserve">n/a</w:t>
            </w:r>
          </w:p>
        </w:tc>
      </w:tr>
      <w:tr>
        <w:tc>
          <w:tcPr/>
          <w:p>
            <w:pPr>
              <w:pStyle w:val="Compact"/>
              <w:jc w:val="left"/>
            </w:pPr>
            <w:r>
              <w:rPr>
                <w:sz w:val="17"/>
              </w:rPr>
              <w:t xml:space="preserve">binning_min_share_3%</w:t>
            </w:r>
          </w:p>
        </w:tc>
        <w:tc>
          <w:tcPr/>
          <w:p>
            <w:pPr>
              <w:pStyle w:val="Compact"/>
              <w:jc w:val="right"/>
            </w:pPr>
            <w:r>
              <w:rPr>
                <w:sz w:val="17"/>
              </w:rPr>
              <w:t xml:space="preserve">4.91%</w:t>
            </w:r>
          </w:p>
        </w:tc>
        <w:tc>
          <w:tcPr/>
          <w:p>
            <w:pPr>
              <w:pStyle w:val="Compact"/>
              <w:jc w:val="right"/>
            </w:pPr>
            <w:r>
              <w:rPr>
                <w:sz w:val="17"/>
              </w:rPr>
              <w:t xml:space="preserve">+0.1%</w:t>
            </w:r>
          </w:p>
        </w:tc>
        <w:tc>
          <w:tcPr/>
          <w:p>
            <w:pPr>
              <w:pStyle w:val="Compact"/>
              <w:jc w:val="right"/>
            </w:pPr>
            <w:r>
              <w:rPr>
                <w:sz w:val="17"/>
              </w:rPr>
              <w:t xml:space="preserve">+0.1%</w:t>
            </w:r>
          </w:p>
        </w:tc>
        <w:tc>
          <w:tcPr/>
          <w:p>
            <w:pPr>
              <w:pStyle w:val="Compact"/>
              <w:jc w:val="right"/>
            </w:pPr>
            <w:r>
              <w:rPr>
                <w:sz w:val="17"/>
              </w:rPr>
              <w:t xml:space="preserve">0.9995</w:t>
            </w:r>
          </w:p>
        </w:tc>
        <w:tc>
          <w:tcPr/>
          <w:p>
            <w:pPr>
              <w:pStyle w:val="Compact"/>
              <w:jc w:val="right"/>
            </w:pPr>
            <w:r>
              <w:rPr>
                <w:sz w:val="17"/>
              </w:rPr>
              <w:t xml:space="preserve">5.1%</w:t>
            </w:r>
          </w:p>
        </w:tc>
        <w:tc>
          <w:tcPr/>
          <w:p>
            <w:pPr>
              <w:pStyle w:val="Compact"/>
              <w:jc w:val="right"/>
            </w:pPr>
            <w:r>
              <w:rPr>
                <w:sz w:val="17"/>
              </w:rPr>
              <w:t xml:space="preserve">0.3533</w:t>
            </w:r>
          </w:p>
        </w:tc>
      </w:tr>
      <w:tr>
        <w:tc>
          <w:tcPr/>
          <w:p>
            <w:pPr>
              <w:pStyle w:val="Compact"/>
              <w:jc w:val="left"/>
            </w:pPr>
            <w:r>
              <w:rPr>
                <w:sz w:val="17"/>
              </w:rPr>
              <w:t xml:space="preserve">binning_min_share_5%</w:t>
            </w:r>
          </w:p>
        </w:tc>
        <w:tc>
          <w:tcPr/>
          <w:p>
            <w:pPr>
              <w:pStyle w:val="Compact"/>
              <w:jc w:val="right"/>
            </w:pPr>
            <w:r>
              <w:rPr>
                <w:sz w:val="17"/>
              </w:rPr>
              <w:t xml:space="preserve">4.91%</w:t>
            </w:r>
          </w:p>
        </w:tc>
        <w:tc>
          <w:tcPr/>
          <w:p>
            <w:pPr>
              <w:pStyle w:val="Compact"/>
              <w:jc w:val="right"/>
            </w:pPr>
            <w:r>
              <w:rPr>
                <w:sz w:val="17"/>
              </w:rPr>
              <w:t xml:space="preserve">+0.0%</w:t>
            </w:r>
          </w:p>
        </w:tc>
        <w:tc>
          <w:tcPr/>
          <w:p>
            <w:pPr>
              <w:pStyle w:val="Compact"/>
              <w:jc w:val="right"/>
            </w:pPr>
            <w:r>
              <w:rPr>
                <w:sz w:val="17"/>
              </w:rPr>
              <w:t xml:space="preserve">+0.0%</w:t>
            </w:r>
          </w:p>
        </w:tc>
        <w:tc>
          <w:tcPr/>
          <w:p>
            <w:pPr>
              <w:pStyle w:val="Compact"/>
              <w:jc w:val="right"/>
            </w:pPr>
            <w:r>
              <w:rPr>
                <w:sz w:val="17"/>
              </w:rPr>
              <w:t xml:space="preserve">1.0000</w:t>
            </w:r>
          </w:p>
        </w:tc>
        <w:tc>
          <w:tcPr/>
          <w:p>
            <w:pPr>
              <w:pStyle w:val="Compact"/>
              <w:jc w:val="right"/>
            </w:pPr>
            <w:r>
              <w:rPr>
                <w:sz w:val="17"/>
              </w:rPr>
              <w:t xml:space="preserve">0.0%</w:t>
            </w:r>
          </w:p>
        </w:tc>
        <w:tc>
          <w:tcPr/>
          <w:p>
            <w:pPr>
              <w:pStyle w:val="Compact"/>
              <w:jc w:val="right"/>
            </w:pPr>
            <w:r>
              <w:rPr>
                <w:sz w:val="17"/>
              </w:rPr>
              <w:t xml:space="preserve">0.3530</w:t>
            </w:r>
          </w:p>
        </w:tc>
      </w:tr>
      <w:tr>
        <w:tc>
          <w:tcPr/>
          <w:p>
            <w:pPr>
              <w:pStyle w:val="Compact"/>
              <w:jc w:val="left"/>
            </w:pPr>
            <w:r>
              <w:rPr>
                <w:sz w:val="17"/>
              </w:rPr>
              <w:t xml:space="preserve">binning_min_share_10%</w:t>
            </w:r>
          </w:p>
        </w:tc>
        <w:tc>
          <w:tcPr/>
          <w:p>
            <w:pPr>
              <w:pStyle w:val="Compact"/>
              <w:jc w:val="right"/>
            </w:pPr>
            <w:r>
              <w:rPr>
                <w:sz w:val="17"/>
              </w:rPr>
              <w:t xml:space="preserve">4.90%</w:t>
            </w:r>
          </w:p>
        </w:tc>
        <w:tc>
          <w:tcPr/>
          <w:p>
            <w:pPr>
              <w:pStyle w:val="Compact"/>
              <w:jc w:val="right"/>
            </w:pPr>
            <w:r>
              <w:rPr>
                <w:sz w:val="17"/>
              </w:rPr>
              <w:t xml:space="preserve">-0.1%</w:t>
            </w:r>
          </w:p>
        </w:tc>
        <w:tc>
          <w:tcPr/>
          <w:p>
            <w:pPr>
              <w:pStyle w:val="Compact"/>
              <w:jc w:val="right"/>
            </w:pPr>
            <w:r>
              <w:rPr>
                <w:sz w:val="17"/>
              </w:rPr>
              <w:t xml:space="preserve">-0.5%</w:t>
            </w:r>
          </w:p>
        </w:tc>
        <w:tc>
          <w:tcPr/>
          <w:p>
            <w:pPr>
              <w:pStyle w:val="Compact"/>
              <w:jc w:val="right"/>
            </w:pPr>
            <w:r>
              <w:rPr>
                <w:sz w:val="17"/>
              </w:rPr>
              <w:t xml:space="preserve">0.9964</w:t>
            </w:r>
          </w:p>
        </w:tc>
        <w:tc>
          <w:tcPr/>
          <w:p>
            <w:pPr>
              <w:pStyle w:val="Compact"/>
              <w:jc w:val="right"/>
            </w:pPr>
            <w:r>
              <w:rPr>
                <w:sz w:val="17"/>
              </w:rPr>
              <w:t xml:space="preserve">16.7%</w:t>
            </w:r>
          </w:p>
        </w:tc>
        <w:tc>
          <w:tcPr/>
          <w:p>
            <w:pPr>
              <w:pStyle w:val="Compact"/>
              <w:jc w:val="right"/>
            </w:pPr>
            <w:r>
              <w:rPr>
                <w:sz w:val="17"/>
              </w:rPr>
              <w:t xml:space="preserve">0.3516</w:t>
            </w:r>
          </w:p>
        </w:tc>
      </w:tr>
      <w:tr>
        <w:tc>
          <w:tcPr/>
          <w:p>
            <w:pPr>
              <w:pStyle w:val="Compact"/>
              <w:jc w:val="left"/>
            </w:pPr>
            <w:r>
              <w:rPr>
                <w:sz w:val="17"/>
              </w:rPr>
              <w:t xml:space="preserve">binning_max_bins_5</w:t>
            </w:r>
          </w:p>
        </w:tc>
        <w:tc>
          <w:tcPr/>
          <w:p>
            <w:pPr>
              <w:pStyle w:val="Compact"/>
              <w:jc w:val="right"/>
            </w:pPr>
            <w:r>
              <w:rPr>
                <w:sz w:val="17"/>
              </w:rPr>
              <w:t xml:space="preserve">4.90%</w:t>
            </w:r>
          </w:p>
        </w:tc>
        <w:tc>
          <w:tcPr/>
          <w:p>
            <w:pPr>
              <w:pStyle w:val="Compact"/>
              <w:jc w:val="right"/>
            </w:pPr>
            <w:r>
              <w:rPr>
                <w:sz w:val="17"/>
              </w:rPr>
              <w:t xml:space="preserve">-0.0%</w:t>
            </w:r>
          </w:p>
        </w:tc>
        <w:tc>
          <w:tcPr/>
          <w:p>
            <w:pPr>
              <w:pStyle w:val="Compact"/>
              <w:jc w:val="right"/>
            </w:pPr>
            <w:r>
              <w:rPr>
                <w:sz w:val="17"/>
              </w:rPr>
              <w:t xml:space="preserve">+0.3%</w:t>
            </w:r>
          </w:p>
        </w:tc>
        <w:tc>
          <w:tcPr/>
          <w:p>
            <w:pPr>
              <w:pStyle w:val="Compact"/>
              <w:jc w:val="right"/>
            </w:pPr>
            <w:r>
              <w:rPr>
                <w:sz w:val="17"/>
              </w:rPr>
              <w:t xml:space="preserve">0.9990</w:t>
            </w:r>
          </w:p>
        </w:tc>
        <w:tc>
          <w:tcPr/>
          <w:p>
            <w:pPr>
              <w:pStyle w:val="Compact"/>
              <w:jc w:val="right"/>
            </w:pPr>
            <w:r>
              <w:rPr>
                <w:sz w:val="17"/>
              </w:rPr>
              <w:t xml:space="preserve">8.9%</w:t>
            </w:r>
          </w:p>
        </w:tc>
        <w:tc>
          <w:tcPr/>
          <w:p>
            <w:pPr>
              <w:pStyle w:val="Compact"/>
              <w:jc w:val="right"/>
            </w:pPr>
            <w:r>
              <w:rPr>
                <w:sz w:val="17"/>
              </w:rPr>
              <w:t xml:space="preserve">0.3516</w:t>
            </w:r>
          </w:p>
        </w:tc>
      </w:tr>
      <w:tr>
        <w:tc>
          <w:tcPr/>
          <w:p>
            <w:pPr>
              <w:pStyle w:val="Compact"/>
              <w:jc w:val="left"/>
            </w:pPr>
            <w:r>
              <w:rPr>
                <w:sz w:val="17"/>
              </w:rPr>
              <w:t xml:space="preserve">binning_max_bins_8</w:t>
            </w:r>
          </w:p>
        </w:tc>
        <w:tc>
          <w:tcPr/>
          <w:p>
            <w:pPr>
              <w:pStyle w:val="Compact"/>
              <w:jc w:val="right"/>
            </w:pPr>
            <w:r>
              <w:rPr>
                <w:sz w:val="17"/>
              </w:rPr>
              <w:t xml:space="preserve">4.91%</w:t>
            </w:r>
          </w:p>
        </w:tc>
        <w:tc>
          <w:tcPr/>
          <w:p>
            <w:pPr>
              <w:pStyle w:val="Compact"/>
              <w:jc w:val="right"/>
            </w:pPr>
            <w:r>
              <w:rPr>
                <w:sz w:val="17"/>
              </w:rPr>
              <w:t xml:space="preserve">+0.0%</w:t>
            </w:r>
          </w:p>
        </w:tc>
        <w:tc>
          <w:tcPr/>
          <w:p>
            <w:pPr>
              <w:pStyle w:val="Compact"/>
              <w:jc w:val="right"/>
            </w:pPr>
            <w:r>
              <w:rPr>
                <w:sz w:val="17"/>
              </w:rPr>
              <w:t xml:space="preserve">+0.0%</w:t>
            </w:r>
          </w:p>
        </w:tc>
        <w:tc>
          <w:tcPr/>
          <w:p>
            <w:pPr>
              <w:pStyle w:val="Compact"/>
              <w:jc w:val="right"/>
            </w:pPr>
            <w:r>
              <w:rPr>
                <w:sz w:val="17"/>
              </w:rPr>
              <w:t xml:space="preserve">1.0000</w:t>
            </w:r>
          </w:p>
        </w:tc>
        <w:tc>
          <w:tcPr/>
          <w:p>
            <w:pPr>
              <w:pStyle w:val="Compact"/>
              <w:jc w:val="right"/>
            </w:pPr>
            <w:r>
              <w:rPr>
                <w:sz w:val="17"/>
              </w:rPr>
              <w:t xml:space="preserve">0.0%</w:t>
            </w:r>
          </w:p>
        </w:tc>
        <w:tc>
          <w:tcPr/>
          <w:p>
            <w:pPr>
              <w:pStyle w:val="Compact"/>
              <w:jc w:val="right"/>
            </w:pPr>
            <w:r>
              <w:rPr>
                <w:sz w:val="17"/>
              </w:rPr>
              <w:t xml:space="preserve">0.3530</w:t>
            </w:r>
          </w:p>
        </w:tc>
      </w:tr>
      <w:tr>
        <w:tc>
          <w:tcPr/>
          <w:p>
            <w:pPr>
              <w:pStyle w:val="Compact"/>
              <w:jc w:val="left"/>
            </w:pPr>
            <w:r>
              <w:rPr>
                <w:sz w:val="17"/>
              </w:rPr>
              <w:t xml:space="preserve">binning_max_bins_12</w:t>
            </w:r>
          </w:p>
        </w:tc>
        <w:tc>
          <w:tcPr/>
          <w:p>
            <w:pPr>
              <w:pStyle w:val="Compact"/>
              <w:jc w:val="right"/>
            </w:pPr>
            <w:r>
              <w:rPr>
                <w:sz w:val="17"/>
              </w:rPr>
              <w:t xml:space="preserve">4.91%</w:t>
            </w:r>
          </w:p>
        </w:tc>
        <w:tc>
          <w:tcPr/>
          <w:p>
            <w:pPr>
              <w:pStyle w:val="Compact"/>
              <w:jc w:val="right"/>
            </w:pPr>
            <w:r>
              <w:rPr>
                <w:sz w:val="17"/>
              </w:rPr>
              <w:t xml:space="preserve">+0.0%</w:t>
            </w:r>
          </w:p>
        </w:tc>
        <w:tc>
          <w:tcPr/>
          <w:p>
            <w:pPr>
              <w:pStyle w:val="Compact"/>
              <w:jc w:val="right"/>
            </w:pPr>
            <w:r>
              <w:rPr>
                <w:sz w:val="17"/>
              </w:rPr>
              <w:t xml:space="preserve">+0.0%</w:t>
            </w:r>
          </w:p>
        </w:tc>
        <w:tc>
          <w:tcPr/>
          <w:p>
            <w:pPr>
              <w:pStyle w:val="Compact"/>
              <w:jc w:val="right"/>
            </w:pPr>
            <w:r>
              <w:rPr>
                <w:sz w:val="17"/>
              </w:rPr>
              <w:t xml:space="preserve">1.0000</w:t>
            </w:r>
          </w:p>
        </w:tc>
        <w:tc>
          <w:tcPr/>
          <w:p>
            <w:pPr>
              <w:pStyle w:val="Compact"/>
              <w:jc w:val="right"/>
            </w:pPr>
            <w:r>
              <w:rPr>
                <w:sz w:val="17"/>
              </w:rPr>
              <w:t xml:space="preserve">0.0%</w:t>
            </w:r>
          </w:p>
        </w:tc>
        <w:tc>
          <w:tcPr/>
          <w:p>
            <w:pPr>
              <w:pStyle w:val="Compact"/>
              <w:jc w:val="right"/>
            </w:pPr>
            <w:r>
              <w:rPr>
                <w:sz w:val="17"/>
              </w:rPr>
              <w:t xml:space="preserve">0.3530</w:t>
            </w:r>
          </w:p>
        </w:tc>
      </w:tr>
      <w:tr>
        <w:tc>
          <w:tcPr/>
          <w:p>
            <w:pPr>
              <w:pStyle w:val="Compact"/>
              <w:jc w:val="left"/>
            </w:pPr>
            <w:r>
              <w:rPr>
                <w:sz w:val="17"/>
              </w:rPr>
              <w:t xml:space="preserve">target_in_grace_bad</w:t>
            </w:r>
          </w:p>
        </w:tc>
        <w:tc>
          <w:tcPr/>
          <w:p>
            <w:pPr>
              <w:pStyle w:val="Compact"/>
              <w:jc w:val="right"/>
            </w:pPr>
            <w:r>
              <w:rPr>
                <w:sz w:val="17"/>
              </w:rPr>
              <w:t xml:space="preserve">4.91%</w:t>
            </w:r>
          </w:p>
        </w:tc>
        <w:tc>
          <w:tcPr/>
          <w:p>
            <w:pPr>
              <w:pStyle w:val="Compact"/>
              <w:jc w:val="right"/>
            </w:pPr>
            <w:r>
              <w:rPr>
                <w:sz w:val="17"/>
              </w:rPr>
              <w:t xml:space="preserve">+0.0%</w:t>
            </w:r>
          </w:p>
        </w:tc>
        <w:tc>
          <w:tcPr/>
          <w:p>
            <w:pPr>
              <w:pStyle w:val="Compact"/>
              <w:jc w:val="right"/>
            </w:pPr>
            <w:r>
              <w:rPr>
                <w:sz w:val="17"/>
              </w:rPr>
              <w:t xml:space="preserve">+0.0%</w:t>
            </w:r>
          </w:p>
        </w:tc>
        <w:tc>
          <w:tcPr/>
          <w:p>
            <w:pPr>
              <w:pStyle w:val="Compact"/>
              <w:jc w:val="right"/>
            </w:pPr>
            <w:r>
              <w:rPr>
                <w:sz w:val="17"/>
              </w:rPr>
              <w:t xml:space="preserve">1.0000</w:t>
            </w:r>
          </w:p>
        </w:tc>
        <w:tc>
          <w:tcPr/>
          <w:p>
            <w:pPr>
              <w:pStyle w:val="Compact"/>
              <w:jc w:val="right"/>
            </w:pPr>
            <w:r>
              <w:rPr>
                <w:sz w:val="17"/>
              </w:rPr>
              <w:t xml:space="preserve">0.0%</w:t>
            </w:r>
          </w:p>
        </w:tc>
        <w:tc>
          <w:tcPr/>
          <w:p>
            <w:pPr>
              <w:pStyle w:val="Compact"/>
              <w:jc w:val="right"/>
            </w:pPr>
            <w:r>
              <w:rPr>
                <w:sz w:val="17"/>
              </w:rPr>
              <w:t xml:space="preserve">0.3530</w:t>
            </w:r>
          </w:p>
        </w:tc>
      </w:tr>
      <w:tr>
        <w:tc>
          <w:tcPr/>
          <w:p>
            <w:pPr>
              <w:pStyle w:val="Compact"/>
              <w:jc w:val="left"/>
            </w:pPr>
            <w:r>
              <w:rPr>
                <w:sz w:val="17"/>
              </w:rPr>
              <w:t xml:space="preserve">target_24m_window</w:t>
            </w:r>
          </w:p>
        </w:tc>
        <w:tc>
          <w:tcPr/>
          <w:p>
            <w:pPr>
              <w:pStyle w:val="Compact"/>
              <w:jc w:val="right"/>
            </w:pPr>
            <w:r>
              <w:rPr>
                <w:sz w:val="17"/>
              </w:rPr>
              <w:t xml:space="preserve">11.61%</w:t>
            </w:r>
          </w:p>
        </w:tc>
        <w:tc>
          <w:tcPr/>
          <w:p>
            <w:pPr>
              <w:pStyle w:val="Compact"/>
              <w:jc w:val="right"/>
            </w:pPr>
            <w:r>
              <w:rPr>
                <w:sz w:val="17"/>
              </w:rPr>
              <w:t xml:space="preserve">+136.7%</w:t>
            </w:r>
          </w:p>
        </w:tc>
        <w:tc>
          <w:tcPr/>
          <w:p>
            <w:pPr>
              <w:pStyle w:val="Compact"/>
              <w:jc w:val="right"/>
            </w:pPr>
            <w:r>
              <w:rPr>
                <w:sz w:val="17"/>
              </w:rPr>
              <w:t xml:space="preserve">+112.5%</w:t>
            </w:r>
          </w:p>
        </w:tc>
        <w:tc>
          <w:tcPr/>
          <w:p>
            <w:pPr>
              <w:pStyle w:val="Compact"/>
              <w:jc w:val="right"/>
            </w:pPr>
            <w:r>
              <w:rPr>
                <w:sz w:val="17"/>
              </w:rPr>
              <w:t xml:space="preserve">0.9543</w:t>
            </w:r>
          </w:p>
        </w:tc>
        <w:tc>
          <w:tcPr/>
          <w:p>
            <w:pPr>
              <w:pStyle w:val="Compact"/>
              <w:jc w:val="right"/>
            </w:pPr>
            <w:r>
              <w:rPr>
                <w:sz w:val="17"/>
              </w:rPr>
              <w:t xml:space="preserve">89.0%</w:t>
            </w:r>
          </w:p>
        </w:tc>
        <w:tc>
          <w:tcPr/>
          <w:p>
            <w:pPr>
              <w:pStyle w:val="Compact"/>
              <w:jc w:val="right"/>
            </w:pPr>
            <w:r>
              <w:rPr>
                <w:sz w:val="17"/>
              </w:rPr>
              <w:t xml:space="preserve">0.3278</w:t>
            </w:r>
          </w:p>
        </w:tc>
      </w:tr>
      <w:tr>
        <w:tc>
          <w:tcPr/>
          <w:p>
            <w:pPr>
              <w:pStyle w:val="Compact"/>
              <w:jc w:val="left"/>
            </w:pPr>
            <w:r>
              <w:rPr>
                <w:sz w:val="17"/>
              </w:rPr>
              <w:t xml:space="preserve">population_dnmcp_included</w:t>
            </w:r>
          </w:p>
        </w:tc>
        <w:tc>
          <w:tcPr/>
          <w:p>
            <w:pPr>
              <w:pStyle w:val="Compact"/>
              <w:jc w:val="right"/>
            </w:pPr>
            <w:r>
              <w:rPr>
                <w:sz w:val="17"/>
              </w:rPr>
              <w:t xml:space="preserve">4.93%</w:t>
            </w:r>
          </w:p>
        </w:tc>
        <w:tc>
          <w:tcPr/>
          <w:p>
            <w:pPr>
              <w:pStyle w:val="Compact"/>
              <w:jc w:val="right"/>
            </w:pPr>
            <w:r>
              <w:rPr>
                <w:sz w:val="17"/>
              </w:rPr>
              <w:t xml:space="preserve">+0.6%</w:t>
            </w:r>
          </w:p>
        </w:tc>
        <w:tc>
          <w:tcPr/>
          <w:p>
            <w:pPr>
              <w:pStyle w:val="Compact"/>
              <w:jc w:val="right"/>
            </w:pPr>
            <w:r>
              <w:rPr>
                <w:sz w:val="17"/>
              </w:rPr>
              <w:t xml:space="preserve">+0.6%</w:t>
            </w:r>
          </w:p>
        </w:tc>
        <w:tc>
          <w:tcPr/>
          <w:p>
            <w:pPr>
              <w:pStyle w:val="Compact"/>
              <w:jc w:val="right"/>
            </w:pPr>
            <w:r>
              <w:rPr>
                <w:sz w:val="17"/>
              </w:rPr>
              <w:t xml:space="preserve">0.9759</w:t>
            </w:r>
          </w:p>
        </w:tc>
        <w:tc>
          <w:tcPr/>
          <w:p>
            <w:pPr>
              <w:pStyle w:val="Compact"/>
              <w:jc w:val="right"/>
            </w:pPr>
            <w:r>
              <w:rPr>
                <w:sz w:val="17"/>
              </w:rPr>
              <w:t xml:space="preserve">41.5%</w:t>
            </w:r>
          </w:p>
        </w:tc>
        <w:tc>
          <w:tcPr/>
          <w:p>
            <w:pPr>
              <w:pStyle w:val="Compact"/>
              <w:jc w:val="right"/>
            </w:pPr>
            <w:r>
              <w:rPr>
                <w:sz w:val="17"/>
              </w:rPr>
              <w:t xml:space="preserve">0.3496</w:t>
            </w:r>
          </w:p>
        </w:tc>
      </w:tr>
    </w:tbl>
    <w:bookmarkEnd w:id="123"/>
    <w:bookmarkStart w:id="127" w:name="reading-the-results"/>
    <w:p>
      <w:pPr>
        <w:pStyle w:val="Heading2"/>
      </w:pPr>
      <w:r>
        <w:rPr>
          <w:rStyle w:val="SectionNumber"/>
        </w:rPr>
        <w:t xml:space="preserve">16.2</w:t>
      </w:r>
      <w:r>
        <w:tab/>
      </w:r>
      <w:r>
        <w:t xml:space="preserve">Reading the results</w:t>
      </w:r>
    </w:p>
    <w:p>
      <w:pPr>
        <w:pStyle w:val="Compact"/>
        <w:numPr>
          <w:ilvl w:val="0"/>
          <w:numId w:val="1005"/>
        </w:numPr>
      </w:pPr>
      <w:r>
        <w:rPr>
          <w:b/>
          <w:bCs/>
        </w:rPr>
        <w:t xml:space="preserve">Inquiries dominate the feature shocks.</w:t>
      </w:r>
      <w:r>
        <w:t xml:space="preserve"> </w:t>
      </w:r>
      <w:r>
        <w:t xml:space="preserve">One extra inquiry moves mean PD by +22.7% and expected loss by +24.5%, because most applicants have zero or one inquiry and the first bin carries a large positive WoE, so one more inquiry moves a large share of loans into a worse points bin. The combined shock moves PD by +39.8% and EL by +46.4%.</w:t>
      </w:r>
    </w:p>
    <w:p>
      <w:pPr>
        <w:pStyle w:val="Compact"/>
        <w:numPr>
          <w:ilvl w:val="0"/>
          <w:numId w:val="1005"/>
        </w:numPr>
      </w:pPr>
      <w:r>
        <w:rPr>
          <w:b/>
          <w:bCs/>
        </w:rPr>
        <w:t xml:space="preserve">The interest-rate shock does nothing to the scorecard PD</w:t>
      </w:r>
      <w:r>
        <w:t xml:space="preserve"> </w:t>
      </w:r>
      <w:r>
        <w:t xml:space="preserve">(+0.0%) because SC_FULL uses sub_grade rather than the interest rate, but it moves EL by +2.3% through the LGD and EAD models, and it moves XGBoost PD by +15.0%. The sensitivity to a variable depends on which model is asked, which is the point of running several.</w:t>
      </w:r>
    </w:p>
    <w:p>
      <w:pPr>
        <w:pStyle w:val="Compact"/>
        <w:numPr>
          <w:ilvl w:val="0"/>
          <w:numId w:val="1005"/>
        </w:numPr>
      </w:pPr>
      <w:r>
        <w:rPr>
          <w:b/>
          <w:bCs/>
        </w:rPr>
        <w:t xml:space="preserve">Target definition matters most.</w:t>
      </w:r>
      <w:r>
        <w:t xml:space="preserve"> </w:t>
      </w:r>
      <w:r>
        <w:t xml:space="preserve">A 24-month window raises mean PD to 11.61% (+136.7%) and EL by +112.5%, and the refit Gini is 0.3278. Because a lender's PD horizon is a policy choice, the horizon should always be stated next to the number.</w:t>
      </w:r>
    </w:p>
    <w:p>
      <w:pPr>
        <w:pStyle w:val="Compact"/>
        <w:numPr>
          <w:ilvl w:val="0"/>
          <w:numId w:val="1005"/>
        </w:numPr>
      </w:pPr>
      <w:r>
        <w:rPr>
          <w:b/>
          <w:bCs/>
        </w:rPr>
        <w:t xml:space="preserve">In Grace Period coding and DNMCP inclusion are immaterial</w:t>
      </w:r>
      <w:r>
        <w:t xml:space="preserve"> </w:t>
      </w:r>
      <w:r>
        <w:t xml:space="preserve">for the 12-month target (mean PD changes +0.0% and +0.57%).</w:t>
      </w:r>
    </w:p>
    <w:p>
      <w:pPr>
        <w:pStyle w:val="Compact"/>
        <w:numPr>
          <w:ilvl w:val="0"/>
          <w:numId w:val="1005"/>
        </w:numPr>
      </w:pPr>
      <w:r>
        <w:rPr>
          <w:b/>
          <w:bCs/>
        </w:rPr>
        <w:t xml:space="preserve">Binning choices are not a source of fragility.</w:t>
      </w:r>
      <w:r>
        <w:t xml:space="preserve"> </w:t>
      </w:r>
      <w:r>
        <w:t xml:space="preserve">Refit Gini on 2013 loans ranges from 0.3516 to 0.3533 over the six binning settings.</w:t>
      </w:r>
    </w:p>
    <w:p>
      <w:pPr>
        <w:pStyle w:val="CaptionedFigure"/>
      </w:pPr>
      <w:r>
        <w:drawing>
          <wp:inline>
            <wp:extent cx="4267200" cy="3733800"/>
            <wp:effectExtent b="0" l="0" r="0" t="0"/>
            <wp:docPr descr="Change in expected loss under each scenario." title="" id="125" name="Picture"/>
            <a:graphic>
              <a:graphicData uri="http://schemas.openxmlformats.org/drawingml/2006/picture">
                <pic:pic>
                  <pic:nvPicPr>
                    <pic:cNvPr descr="../python/outputs/charts/sensitivity_tornado.png" id="126" name="Picture"/>
                    <pic:cNvPicPr>
                      <a:picLocks noChangeArrowheads="1" noChangeAspect="1"/>
                    </pic:cNvPicPr>
                  </pic:nvPicPr>
                  <pic:blipFill>
                    <a:blip r:embed="rId124"/>
                    <a:stretch>
                      <a:fillRect/>
                    </a:stretch>
                  </pic:blipFill>
                  <pic:spPr bwMode="auto">
                    <a:xfrm>
                      <a:off x="0" y="0"/>
                      <a:ext cx="4267200" cy="3733800"/>
                    </a:xfrm>
                    <a:prstGeom prst="rect">
                      <a:avLst/>
                    </a:prstGeom>
                    <a:noFill/>
                    <a:ln w="9525">
                      <a:noFill/>
                      <a:headEnd/>
                      <a:tailEnd/>
                    </a:ln>
                  </pic:spPr>
                </pic:pic>
              </a:graphicData>
            </a:graphic>
          </wp:inline>
        </w:drawing>
      </w:r>
    </w:p>
    <w:p>
      <w:pPr>
        <w:pStyle w:val="ImageCaption"/>
      </w:pPr>
      <w:r>
        <w:t xml:space="preserve">Change in expected loss under each scenario.</w:t>
      </w:r>
    </w:p>
    <w:bookmarkEnd w:id="127"/>
    <w:bookmarkEnd w:id="128"/>
    <w:bookmarkStart w:id="137" w:name="explainability-shap-versus-the-scorecard"/>
    <w:p>
      <w:pPr>
        <w:pStyle w:val="Heading1"/>
      </w:pPr>
      <w:r>
        <w:rPr>
          <w:rStyle w:val="SectionNumber"/>
        </w:rPr>
        <w:t xml:space="preserve">17</w:t>
      </w:r>
      <w:r>
        <w:tab/>
      </w:r>
      <w:r>
        <w:t xml:space="preserve">Explainability: SHAP versus the scorecard</w:t>
      </w:r>
    </w:p>
    <w:bookmarkStart w:id="129" w:name="shap-in-one-page"/>
    <w:p>
      <w:pPr>
        <w:pStyle w:val="Heading2"/>
      </w:pPr>
      <w:r>
        <w:rPr>
          <w:rStyle w:val="SectionNumber"/>
        </w:rPr>
        <w:t xml:space="preserve">17.1</w:t>
      </w:r>
      <w:r>
        <w:tab/>
      </w:r>
      <w:r>
        <w:t xml:space="preserve">SHAP in one page</w:t>
      </w:r>
    </w:p>
    <w:p>
      <w:pPr>
        <w:pStyle w:val="FirstParagraph"/>
      </w:pPr>
      <w:r>
        <w:t xml:space="preserve">For a tree model there is no coefficient table.</w:t>
      </w:r>
      <w:r>
        <w:t xml:space="preserve"> </w:t>
      </w:r>
      <w:r>
        <w:rPr>
          <w:b/>
          <w:bCs/>
        </w:rPr>
        <w:t xml:space="preserve">SHAP</w:t>
      </w:r>
      <w:r>
        <w:t xml:space="preserve"> </w:t>
      </w:r>
      <w:r>
        <w:t xml:space="preserve">values (Lundberg and Lee, 2017) assign to every feature a contribution to each prediction, derived from Shapley values in cooperative game theory: the contribution of feature</w:t>
      </w:r>
      <w:r>
        <w:t xml:space="preserve"> </w:t>
      </w:r>
      <m:oMath>
        <m:r>
          <m:t>j</m:t>
        </m:r>
      </m:oMath>
      <w:r>
        <w:t xml:space="preserve"> </w:t>
      </w:r>
      <w:r>
        <w:t xml:space="preserve">to loan</w:t>
      </w:r>
      <w:r>
        <w:t xml:space="preserve"> </w:t>
      </w:r>
      <m:oMath>
        <m:r>
          <m:t>i</m:t>
        </m:r>
      </m:oMath>
      <w:r>
        <w:t xml:space="preserve"> </w:t>
      </w:r>
      <w:r>
        <w:t xml:space="preserve">is the average change in the prediction when</w:t>
      </w:r>
      <w:r>
        <w:t xml:space="preserve"> </w:t>
      </w:r>
      <m:oMath>
        <m:r>
          <m:t>j</m:t>
        </m:r>
      </m:oMath>
      <w:r>
        <w:t xml:space="preserve"> </w:t>
      </w:r>
      <w:r>
        <w:t xml:space="preserve">is added to every possible subset of the other features,</w:t>
      </w:r>
    </w:p>
    <w:p>
      <w:pPr>
        <w:pStyle w:val="BodyText"/>
      </w:pPr>
      <m:oMathPara>
        <m:oMathParaPr>
          <m:jc m:val="center"/>
        </m:oMathParaPr>
        <m:oMath>
          <m:sSub>
            <m:e>
              <m:r>
                <m:t>ϕ</m:t>
              </m:r>
            </m:e>
            <m:sub>
              <m:r>
                <m:t>j</m:t>
              </m:r>
            </m:sub>
          </m:sSub>
          <m:r>
            <m:rPr>
              <m:sty m:val="p"/>
            </m:rPr>
            <m:t>=</m:t>
          </m:r>
          <m:nary>
            <m:naryPr>
              <m:chr m:val="∑"/>
              <m:limLoc m:val="undOvr"/>
              <m:subHide m:val="off"/>
              <m:supHide m:val="on"/>
            </m:naryPr>
            <m:sub>
              <m:r>
                <m:t>S</m:t>
              </m:r>
              <m:r>
                <m:rPr>
                  <m:sty m:val="p"/>
                </m:rPr>
                <m:t>⊆</m:t>
              </m:r>
              <m:r>
                <m:t>F</m:t>
              </m:r>
              <m:r>
                <m:rPr>
                  <m:sty m:val="p"/>
                </m:rPr>
                <m:t>\</m:t>
              </m:r>
              <m:r>
                <m:rPr>
                  <m:sty m:val="p"/>
                </m:rPr>
                <m:t>{</m:t>
              </m:r>
              <m:r>
                <m:t>j</m:t>
              </m:r>
              <m:r>
                <m:rPr>
                  <m:sty m:val="p"/>
                </m:rPr>
                <m:t>}</m:t>
              </m:r>
            </m:sub>
            <m:sup>
              <m:r>
                <m:t>​</m:t>
              </m:r>
            </m:sup>
            <m:e>
              <m:f>
                <m:fPr>
                  <m:type m:val="bar"/>
                </m:fPr>
                <m:num>
                  <m:r>
                    <m:rPr>
                      <m:sty m:val="p"/>
                    </m:rPr>
                    <m:t>|</m:t>
                  </m:r>
                  <m:r>
                    <m:t>S</m:t>
                  </m:r>
                  <m:r>
                    <m:rPr>
                      <m:sty m:val="p"/>
                    </m:rPr>
                    <m:t>|</m:t>
                  </m:r>
                  <m:r>
                    <m:rPr>
                      <m:sty m:val="p"/>
                    </m:rPr>
                    <m:t>!</m:t>
                  </m:r>
                  <m:r>
                    <m:t> </m:t>
                  </m:r>
                  <m:r>
                    <m:rPr>
                      <m:sty m:val="p"/>
                    </m:rPr>
                    <m:t>(</m:t>
                  </m:r>
                  <m:r>
                    <m:rPr>
                      <m:sty m:val="p"/>
                    </m:rPr>
                    <m:t>|</m:t>
                  </m:r>
                  <m:r>
                    <m:t>F</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F</m:t>
                  </m:r>
                  <m:r>
                    <m:rPr>
                      <m:sty m:val="p"/>
                    </m:rPr>
                    <m:t>|</m:t>
                  </m:r>
                  <m:r>
                    <m:rPr>
                      <m:sty m:val="p"/>
                    </m:rPr>
                    <m:t>!</m:t>
                  </m:r>
                </m:den>
              </m:f>
            </m:e>
          </m:nary>
          <m:d>
            <m:dPr>
              <m:begChr m:val="["/>
              <m:sepChr m:val=""/>
              <m:endChr m:val="]"/>
              <m:grow/>
            </m:dPr>
            <m:e>
              <m:sSub>
                <m:e>
                  <m:r>
                    <m:t>f</m:t>
                  </m:r>
                </m:e>
                <m:sub>
                  <m:r>
                    <m:t>S</m:t>
                  </m:r>
                  <m:r>
                    <m:rPr>
                      <m:sty m:val="p"/>
                    </m:rPr>
                    <m:t>∪</m:t>
                  </m:r>
                  <m:r>
                    <m:rPr>
                      <m:sty m:val="p"/>
                    </m:rPr>
                    <m:t>{</m:t>
                  </m:r>
                  <m:r>
                    <m:t>j</m:t>
                  </m:r>
                  <m:r>
                    <m:rPr>
                      <m:sty m:val="p"/>
                    </m:rPr>
                    <m:t>}</m:t>
                  </m:r>
                </m:sub>
              </m:sSub>
              <m:r>
                <m:rPr>
                  <m:sty m:val="p"/>
                </m:rPr>
                <m:t>(</m:t>
              </m:r>
              <m:sSub>
                <m:e>
                  <m:r>
                    <m:t>x</m:t>
                  </m:r>
                </m:e>
                <m:sub>
                  <m:r>
                    <m:t>S</m:t>
                  </m:r>
                </m:sub>
              </m:sSub>
              <m:r>
                <m:rPr>
                  <m:sty m:val="p"/>
                </m:rPr>
                <m:t>∪</m:t>
              </m:r>
              <m:sSub>
                <m:e>
                  <m:r>
                    <m:t>x</m:t>
                  </m:r>
                </m:e>
                <m:sub>
                  <m:r>
                    <m:t>j</m:t>
                  </m:r>
                </m:sub>
              </m:sSub>
              <m:r>
                <m:rPr>
                  <m:sty m:val="p"/>
                </m:rPr>
                <m:t>)</m:t>
              </m:r>
              <m:r>
                <m:rPr>
                  <m:sty m:val="p"/>
                </m:rPr>
                <m:t>−</m:t>
              </m:r>
              <m:sSub>
                <m:e>
                  <m:r>
                    <m:t>f</m:t>
                  </m:r>
                </m:e>
                <m:sub>
                  <m:r>
                    <m:t>S</m:t>
                  </m:r>
                </m:sub>
              </m:sSub>
              <m:r>
                <m:rPr>
                  <m:sty m:val="p"/>
                </m:rPr>
                <m:t>(</m:t>
              </m:r>
              <m:sSub>
                <m:e>
                  <m:r>
                    <m:t>x</m:t>
                  </m:r>
                </m:e>
                <m:sub>
                  <m:r>
                    <m:t>S</m:t>
                  </m:r>
                </m:sub>
              </m:sSub>
              <m:r>
                <m:rPr>
                  <m:sty m:val="p"/>
                </m:rPr>
                <m:t>)</m:t>
              </m:r>
            </m:e>
          </m:d>
          <m:r>
            <m:rPr>
              <m:sty m:val="p"/>
            </m:rPr>
            <m:t>,</m:t>
          </m:r>
        </m:oMath>
      </m:oMathPara>
    </w:p>
    <w:p>
      <w:pPr>
        <w:pStyle w:val="FirstParagraph"/>
      </w:pPr>
      <w:r>
        <w:t xml:space="preserve">and for a given loan the SHAP values add up to the difference between the prediction and the average prediction. For tree ensembles the sum can be computed exactly and quickly (</w:t>
      </w:r>
      <w:r>
        <w:rPr>
          <w:rStyle w:val="VerbatimChar"/>
        </w:rPr>
        <w:t xml:space="preserve">explain.shap_matrix</w:t>
      </w:r>
      <w:r>
        <w:t xml:space="preserve">, using 5,000 loans from the 2013 sample). Here SHAP explains the model's raw log-odds, not the calibrated probability. Importance is the mean absolute SHAP value per feature.</w:t>
      </w:r>
    </w:p>
    <w:bookmarkEnd w:id="129"/>
    <w:bookmarkStart w:id="136" w:name="Xb4ff5e9fad5aaa92816d26b9b61a9fe49513751"/>
    <w:p>
      <w:pPr>
        <w:pStyle w:val="Heading2"/>
      </w:pPr>
      <w:r>
        <w:rPr>
          <w:rStyle w:val="SectionNumber"/>
        </w:rPr>
        <w:t xml:space="preserve">17.2</w:t>
      </w:r>
      <w:r>
        <w:tab/>
      </w:r>
      <w:r>
        <w:t xml:space="preserve">Comparison with the scorecard's own ranking</w:t>
      </w:r>
    </w:p>
    <w:p>
      <w:pPr>
        <w:pStyle w:val="TableCaption"/>
      </w:pPr>
      <w:r>
        <w:t xml:space="preserve">LightGBM importance (mean absolute SHAP) against the scorecard's IV and points range.</w:t>
      </w:r>
    </w:p>
    <w:tbl>
      <w:tblPr>
        <w:tblStyle w:val="Table"/>
        <w:tblW w:type="pct" w:w="5000"/>
        <w:tblLayout w:type="fixed"/>
        <w:tblLook w:firstRow="1" w:lastRow="0" w:firstColumn="0" w:lastColumn="0" w:noHBand="0" w:noVBand="0" w:val="0020"/>
        <w:tblCaption w:val="LightGBM importance (mean absolute SHAP) against the scorecard's IV and points rang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05"/>
        <w:gridCol w:w="1102"/>
        <w:gridCol w:w="902"/>
        <w:gridCol w:w="601"/>
        <w:gridCol w:w="701"/>
        <w:gridCol w:w="1203"/>
        <w:gridCol w:w="1203"/>
      </w:tblGrid>
      <w:tr>
        <w:trPr>
          <w:tblHeader w:val="on"/>
        </w:trPr>
        <w:tc>
          <w:tcPr/>
          <w:p>
            <w:pPr>
              <w:pStyle w:val="Compact"/>
              <w:jc w:val="left"/>
            </w:pPr>
            <w:r>
              <w:rPr>
                <w:sz w:val="17"/>
              </w:rPr>
              <w:t xml:space="preserve">Variable</w:t>
            </w:r>
          </w:p>
        </w:tc>
        <w:tc>
          <w:tcPr/>
          <w:p>
            <w:pPr>
              <w:pStyle w:val="Compact"/>
              <w:jc w:val="right"/>
            </w:pPr>
            <w:r>
              <w:rPr>
                <w:sz w:val="17"/>
              </w:rPr>
              <w:t xml:space="preserve">Mean</w:t>
            </w:r>
          </w:p>
        </w:tc>
        <w:tc>
          <w:tcPr/>
          <w:p>
            <w:pPr>
              <w:pStyle w:val="Compact"/>
              <w:jc w:val="right"/>
            </w:pPr>
            <w:r>
              <w:rPr>
                <w:sz w:val="17"/>
              </w:rPr>
              <w:t xml:space="preserve">SHAP</w:t>
            </w:r>
          </w:p>
        </w:tc>
        <w:tc>
          <w:tcPr/>
          <w:p>
            <w:pPr>
              <w:pStyle w:val="Compact"/>
            </w:pPr>
          </w:p>
        </w:tc>
        <w:tc>
          <w:tcPr/>
          <w:p>
            <w:pPr>
              <w:pStyle w:val="Compact"/>
              <w:jc w:val="right"/>
            </w:pPr>
            <w:r>
              <w:rPr>
                <w:sz w:val="17"/>
              </w:rPr>
              <w:t xml:space="preserve">SHAP rank</w:t>
            </w:r>
          </w:p>
        </w:tc>
        <w:tc>
          <w:tcPr/>
          <w:p>
            <w:pPr>
              <w:pStyle w:val="Compact"/>
              <w:jc w:val="right"/>
            </w:pPr>
            <w:r>
              <w:rPr>
                <w:sz w:val="17"/>
              </w:rPr>
              <w:t xml:space="preserve">IV</w:t>
            </w:r>
          </w:p>
        </w:tc>
        <w:tc>
          <w:tcPr/>
          <w:p>
            <w:pPr>
              <w:pStyle w:val="Compact"/>
              <w:jc w:val="right"/>
            </w:pPr>
            <w:r>
              <w:rPr>
                <w:sz w:val="17"/>
              </w:rPr>
              <w:t xml:space="preserve">IV rank</w:t>
            </w:r>
          </w:p>
        </w:tc>
      </w:tr>
      <w:tr>
        <w:tc>
          <w:tcPr/>
          <w:p>
            <w:pPr>
              <w:pStyle w:val="Compact"/>
              <w:jc w:val="left"/>
            </w:pPr>
            <w:r>
              <w:rPr>
                <w:sz w:val="17"/>
              </w:rPr>
              <w:t xml:space="preserve">int_rate</w:t>
            </w:r>
          </w:p>
        </w:tc>
        <w:tc>
          <w:tcPr/>
          <w:p>
            <w:pPr>
              <w:pStyle w:val="Compact"/>
              <w:jc w:val="right"/>
            </w:pPr>
            <w:r>
              <w:rPr>
                <w:sz w:val="17"/>
              </w:rPr>
              <w:t xml:space="preserve">0.2270</w:t>
            </w:r>
          </w:p>
        </w:tc>
        <w:tc>
          <w:tcPr/>
          <w:p>
            <w:pPr>
              <w:pStyle w:val="Compact"/>
              <w:jc w:val="right"/>
            </w:pPr>
            <w:r>
              <w:rPr>
                <w:sz w:val="17"/>
              </w:rPr>
              <w:t xml:space="preserve">1</w:t>
            </w:r>
          </w:p>
        </w:tc>
        <w:tc>
          <w:tcPr/>
          <w:p>
            <w:pPr>
              <w:pStyle w:val="Compact"/>
              <w:jc w:val="right"/>
            </w:pPr>
            <w:r>
              <w:rPr>
                <w:sz w:val="17"/>
              </w:rPr>
              <w:t xml:space="preserve">n/a</w:t>
            </w:r>
          </w:p>
        </w:tc>
        <w:tc>
          <w:tcPr/>
          <w:p>
            <w:pPr>
              <w:pStyle w:val="Compact"/>
              <w:jc w:val="right"/>
            </w:pPr>
            <w:r>
              <w:rPr>
                <w:sz w:val="17"/>
              </w:rPr>
              <w:t xml:space="preserve">n/a</w:t>
            </w:r>
          </w:p>
        </w:tc>
        <w:tc>
          <w:tcPr/>
          <w:p>
            <w:pPr>
              <w:pStyle w:val="Compact"/>
              <w:jc w:val="right"/>
            </w:pPr>
            <w:r>
              <w:rPr>
                <w:sz w:val="17"/>
              </w:rPr>
              <w:t xml:space="preserve">n/a</w:t>
            </w:r>
          </w:p>
        </w:tc>
        <w:tc>
          <w:tcPr/>
          <w:p>
            <w:pPr>
              <w:pStyle w:val="Compact"/>
              <w:jc w:val="right"/>
            </w:pPr>
            <w:r>
              <w:rPr>
                <w:sz w:val="17"/>
              </w:rPr>
              <w:t xml:space="preserve">no</w:t>
            </w:r>
          </w:p>
        </w:tc>
      </w:tr>
      <w:tr>
        <w:tc>
          <w:tcPr/>
          <w:p>
            <w:pPr>
              <w:pStyle w:val="Compact"/>
              <w:jc w:val="left"/>
            </w:pPr>
            <w:r>
              <w:rPr>
                <w:sz w:val="17"/>
              </w:rPr>
              <w:t xml:space="preserve">sub_grade</w:t>
            </w:r>
          </w:p>
        </w:tc>
        <w:tc>
          <w:tcPr/>
          <w:p>
            <w:pPr>
              <w:pStyle w:val="Compact"/>
              <w:jc w:val="right"/>
            </w:pPr>
            <w:r>
              <w:rPr>
                <w:sz w:val="17"/>
              </w:rPr>
              <w:t xml:space="preserve">0.1588</w:t>
            </w:r>
          </w:p>
        </w:tc>
        <w:tc>
          <w:tcPr/>
          <w:p>
            <w:pPr>
              <w:pStyle w:val="Compact"/>
              <w:jc w:val="right"/>
            </w:pPr>
            <w:r>
              <w:rPr>
                <w:sz w:val="17"/>
              </w:rPr>
              <w:t xml:space="preserve">2</w:t>
            </w:r>
          </w:p>
        </w:tc>
        <w:tc>
          <w:tcPr/>
          <w:p>
            <w:pPr>
              <w:pStyle w:val="Compact"/>
              <w:jc w:val="right"/>
            </w:pPr>
            <w:r>
              <w:rPr>
                <w:sz w:val="17"/>
              </w:rPr>
              <w:t xml:space="preserve">0.2440</w:t>
            </w:r>
          </w:p>
        </w:tc>
        <w:tc>
          <w:tcPr/>
          <w:p>
            <w:pPr>
              <w:pStyle w:val="Compact"/>
              <w:jc w:val="right"/>
            </w:pPr>
            <w:r>
              <w:rPr>
                <w:sz w:val="17"/>
              </w:rPr>
              <w:t xml:space="preserve">1</w:t>
            </w:r>
          </w:p>
        </w:tc>
        <w:tc>
          <w:tcPr/>
          <w:p>
            <w:pPr>
              <w:pStyle w:val="Compact"/>
              <w:jc w:val="right"/>
            </w:pPr>
            <w:r>
              <w:rPr>
                <w:sz w:val="17"/>
              </w:rPr>
              <w:t xml:space="preserve">50.5</w:t>
            </w:r>
          </w:p>
        </w:tc>
        <w:tc>
          <w:tcPr/>
          <w:p>
            <w:pPr>
              <w:pStyle w:val="Compact"/>
              <w:jc w:val="right"/>
            </w:pPr>
            <w:r>
              <w:rPr>
                <w:sz w:val="17"/>
              </w:rPr>
              <w:t xml:space="preserve">yes</w:t>
            </w:r>
          </w:p>
        </w:tc>
      </w:tr>
      <w:tr>
        <w:tc>
          <w:tcPr/>
          <w:p>
            <w:pPr>
              <w:pStyle w:val="Compact"/>
              <w:jc w:val="left"/>
            </w:pPr>
            <w:r>
              <w:rPr>
                <w:sz w:val="17"/>
              </w:rPr>
              <w:t xml:space="preserve">annual_inc</w:t>
            </w:r>
          </w:p>
        </w:tc>
        <w:tc>
          <w:tcPr/>
          <w:p>
            <w:pPr>
              <w:pStyle w:val="Compact"/>
              <w:jc w:val="right"/>
            </w:pPr>
            <w:r>
              <w:rPr>
                <w:sz w:val="17"/>
              </w:rPr>
              <w:t xml:space="preserve">0.1283</w:t>
            </w:r>
          </w:p>
        </w:tc>
        <w:tc>
          <w:tcPr/>
          <w:p>
            <w:pPr>
              <w:pStyle w:val="Compact"/>
              <w:jc w:val="right"/>
            </w:pPr>
            <w:r>
              <w:rPr>
                <w:sz w:val="17"/>
              </w:rPr>
              <w:t xml:space="preserve">3</w:t>
            </w:r>
          </w:p>
        </w:tc>
        <w:tc>
          <w:tcPr/>
          <w:p>
            <w:pPr>
              <w:pStyle w:val="Compact"/>
              <w:jc w:val="right"/>
            </w:pPr>
            <w:r>
              <w:rPr>
                <w:sz w:val="17"/>
              </w:rPr>
              <w:t xml:space="preserve">0.0553</w:t>
            </w:r>
          </w:p>
        </w:tc>
        <w:tc>
          <w:tcPr/>
          <w:p>
            <w:pPr>
              <w:pStyle w:val="Compact"/>
              <w:jc w:val="right"/>
            </w:pPr>
            <w:r>
              <w:rPr>
                <w:sz w:val="17"/>
              </w:rPr>
              <w:t xml:space="preserve">4</w:t>
            </w:r>
          </w:p>
        </w:tc>
        <w:tc>
          <w:tcPr/>
          <w:p>
            <w:pPr>
              <w:pStyle w:val="Compact"/>
              <w:jc w:val="right"/>
            </w:pPr>
            <w:r>
              <w:rPr>
                <w:sz w:val="17"/>
              </w:rPr>
              <w:t xml:space="preserve">22.6</w:t>
            </w:r>
          </w:p>
        </w:tc>
        <w:tc>
          <w:tcPr/>
          <w:p>
            <w:pPr>
              <w:pStyle w:val="Compact"/>
              <w:jc w:val="right"/>
            </w:pPr>
            <w:r>
              <w:rPr>
                <w:sz w:val="17"/>
              </w:rPr>
              <w:t xml:space="preserve">yes</w:t>
            </w:r>
          </w:p>
        </w:tc>
      </w:tr>
      <w:tr>
        <w:tc>
          <w:tcPr/>
          <w:p>
            <w:pPr>
              <w:pStyle w:val="Compact"/>
              <w:jc w:val="left"/>
            </w:pPr>
            <w:r>
              <w:rPr>
                <w:sz w:val="17"/>
              </w:rPr>
              <w:t xml:space="preserve">inq_last_6mths</w:t>
            </w:r>
          </w:p>
        </w:tc>
        <w:tc>
          <w:tcPr/>
          <w:p>
            <w:pPr>
              <w:pStyle w:val="Compact"/>
              <w:jc w:val="right"/>
            </w:pPr>
            <w:r>
              <w:rPr>
                <w:sz w:val="17"/>
              </w:rPr>
              <w:t xml:space="preserve">0.1165</w:t>
            </w:r>
          </w:p>
        </w:tc>
        <w:tc>
          <w:tcPr/>
          <w:p>
            <w:pPr>
              <w:pStyle w:val="Compact"/>
              <w:jc w:val="right"/>
            </w:pPr>
            <w:r>
              <w:rPr>
                <w:sz w:val="17"/>
              </w:rPr>
              <w:t xml:space="preserve">4</w:t>
            </w:r>
          </w:p>
        </w:tc>
        <w:tc>
          <w:tcPr/>
          <w:p>
            <w:pPr>
              <w:pStyle w:val="Compact"/>
              <w:jc w:val="right"/>
            </w:pPr>
            <w:r>
              <w:rPr>
                <w:sz w:val="17"/>
              </w:rPr>
              <w:t xml:space="preserve">0.0880</w:t>
            </w:r>
          </w:p>
        </w:tc>
        <w:tc>
          <w:tcPr/>
          <w:p>
            <w:pPr>
              <w:pStyle w:val="Compact"/>
              <w:jc w:val="right"/>
            </w:pPr>
            <w:r>
              <w:rPr>
                <w:sz w:val="17"/>
              </w:rPr>
              <w:t xml:space="preserve">3</w:t>
            </w:r>
          </w:p>
        </w:tc>
        <w:tc>
          <w:tcPr/>
          <w:p>
            <w:pPr>
              <w:pStyle w:val="Compact"/>
              <w:jc w:val="right"/>
            </w:pPr>
            <w:r>
              <w:rPr>
                <w:sz w:val="17"/>
              </w:rPr>
              <w:t xml:space="preserve">20.0</w:t>
            </w:r>
          </w:p>
        </w:tc>
        <w:tc>
          <w:tcPr/>
          <w:p>
            <w:pPr>
              <w:pStyle w:val="Compact"/>
              <w:jc w:val="right"/>
            </w:pPr>
            <w:r>
              <w:rPr>
                <w:sz w:val="17"/>
              </w:rPr>
              <w:t xml:space="preserve">yes</w:t>
            </w:r>
          </w:p>
        </w:tc>
      </w:tr>
      <w:tr>
        <w:tc>
          <w:tcPr/>
          <w:p>
            <w:pPr>
              <w:pStyle w:val="Compact"/>
              <w:jc w:val="left"/>
            </w:pPr>
            <w:r>
              <w:rPr>
                <w:sz w:val="17"/>
              </w:rPr>
              <w:t xml:space="preserve">purpose</w:t>
            </w:r>
          </w:p>
        </w:tc>
        <w:tc>
          <w:tcPr/>
          <w:p>
            <w:pPr>
              <w:pStyle w:val="Compact"/>
              <w:jc w:val="right"/>
            </w:pPr>
            <w:r>
              <w:rPr>
                <w:sz w:val="17"/>
              </w:rPr>
              <w:t xml:space="preserve">0.0929</w:t>
            </w:r>
          </w:p>
        </w:tc>
        <w:tc>
          <w:tcPr/>
          <w:p>
            <w:pPr>
              <w:pStyle w:val="Compact"/>
              <w:jc w:val="right"/>
            </w:pPr>
            <w:r>
              <w:rPr>
                <w:sz w:val="17"/>
              </w:rPr>
              <w:t xml:space="preserve">5</w:t>
            </w:r>
          </w:p>
        </w:tc>
        <w:tc>
          <w:tcPr/>
          <w:p>
            <w:pPr>
              <w:pStyle w:val="Compact"/>
              <w:jc w:val="right"/>
            </w:pPr>
            <w:r>
              <w:rPr>
                <w:sz w:val="17"/>
              </w:rPr>
              <w:t xml:space="preserve">0.0909</w:t>
            </w:r>
          </w:p>
        </w:tc>
        <w:tc>
          <w:tcPr/>
          <w:p>
            <w:pPr>
              <w:pStyle w:val="Compact"/>
              <w:jc w:val="right"/>
            </w:pPr>
            <w:r>
              <w:rPr>
                <w:sz w:val="17"/>
              </w:rPr>
              <w:t xml:space="preserve">2</w:t>
            </w:r>
          </w:p>
        </w:tc>
        <w:tc>
          <w:tcPr/>
          <w:p>
            <w:pPr>
              <w:pStyle w:val="Compact"/>
              <w:jc w:val="right"/>
            </w:pPr>
            <w:r>
              <w:rPr>
                <w:sz w:val="17"/>
              </w:rPr>
              <w:t xml:space="preserve">37.1</w:t>
            </w:r>
          </w:p>
        </w:tc>
        <w:tc>
          <w:tcPr/>
          <w:p>
            <w:pPr>
              <w:pStyle w:val="Compact"/>
              <w:jc w:val="right"/>
            </w:pPr>
            <w:r>
              <w:rPr>
                <w:sz w:val="17"/>
              </w:rPr>
              <w:t xml:space="preserve">yes</w:t>
            </w:r>
          </w:p>
        </w:tc>
      </w:tr>
      <w:tr>
        <w:tc>
          <w:tcPr/>
          <w:p>
            <w:pPr>
              <w:pStyle w:val="Compact"/>
              <w:jc w:val="left"/>
            </w:pPr>
            <w:r>
              <w:rPr>
                <w:sz w:val="17"/>
              </w:rPr>
              <w:t xml:space="preserve">addr_state</w:t>
            </w:r>
          </w:p>
        </w:tc>
        <w:tc>
          <w:tcPr/>
          <w:p>
            <w:pPr>
              <w:pStyle w:val="Compact"/>
              <w:jc w:val="right"/>
            </w:pPr>
            <w:r>
              <w:rPr>
                <w:sz w:val="17"/>
              </w:rPr>
              <w:t xml:space="preserve">0.0831</w:t>
            </w:r>
          </w:p>
        </w:tc>
        <w:tc>
          <w:tcPr/>
          <w:p>
            <w:pPr>
              <w:pStyle w:val="Compact"/>
              <w:jc w:val="right"/>
            </w:pPr>
            <w:r>
              <w:rPr>
                <w:sz w:val="17"/>
              </w:rPr>
              <w:t xml:space="preserve">6</w:t>
            </w:r>
          </w:p>
        </w:tc>
        <w:tc>
          <w:tcPr/>
          <w:p>
            <w:pPr>
              <w:pStyle w:val="Compact"/>
              <w:jc w:val="right"/>
            </w:pPr>
            <w:r>
              <w:rPr>
                <w:sz w:val="17"/>
              </w:rPr>
              <w:t xml:space="preserve">0.0297</w:t>
            </w:r>
          </w:p>
        </w:tc>
        <w:tc>
          <w:tcPr/>
          <w:p>
            <w:pPr>
              <w:pStyle w:val="Compact"/>
              <w:jc w:val="right"/>
            </w:pPr>
            <w:r>
              <w:rPr>
                <w:sz w:val="17"/>
              </w:rPr>
              <w:t xml:space="preserve">7</w:t>
            </w:r>
          </w:p>
        </w:tc>
        <w:tc>
          <w:tcPr/>
          <w:p>
            <w:pPr>
              <w:pStyle w:val="Compact"/>
              <w:jc w:val="right"/>
            </w:pPr>
            <w:r>
              <w:rPr>
                <w:sz w:val="17"/>
              </w:rPr>
              <w:t xml:space="preserve">20.2</w:t>
            </w:r>
          </w:p>
        </w:tc>
        <w:tc>
          <w:tcPr/>
          <w:p>
            <w:pPr>
              <w:pStyle w:val="Compact"/>
              <w:jc w:val="right"/>
            </w:pPr>
            <w:r>
              <w:rPr>
                <w:sz w:val="17"/>
              </w:rPr>
              <w:t xml:space="preserve">yes</w:t>
            </w:r>
          </w:p>
        </w:tc>
      </w:tr>
      <w:tr>
        <w:tc>
          <w:tcPr/>
          <w:p>
            <w:pPr>
              <w:pStyle w:val="Compact"/>
              <w:jc w:val="left"/>
            </w:pPr>
            <w:r>
              <w:rPr>
                <w:sz w:val="17"/>
              </w:rPr>
              <w:t xml:space="preserve">dti</w:t>
            </w:r>
          </w:p>
        </w:tc>
        <w:tc>
          <w:tcPr/>
          <w:p>
            <w:pPr>
              <w:pStyle w:val="Compact"/>
              <w:jc w:val="right"/>
            </w:pPr>
            <w:r>
              <w:rPr>
                <w:sz w:val="17"/>
              </w:rPr>
              <w:t xml:space="preserve">0.0393</w:t>
            </w:r>
          </w:p>
        </w:tc>
        <w:tc>
          <w:tcPr/>
          <w:p>
            <w:pPr>
              <w:pStyle w:val="Compact"/>
              <w:jc w:val="right"/>
            </w:pPr>
            <w:r>
              <w:rPr>
                <w:sz w:val="17"/>
              </w:rPr>
              <w:t xml:space="preserve">7</w:t>
            </w:r>
          </w:p>
        </w:tc>
        <w:tc>
          <w:tcPr/>
          <w:p>
            <w:pPr>
              <w:pStyle w:val="Compact"/>
              <w:jc w:val="right"/>
            </w:pPr>
            <w:r>
              <w:rPr>
                <w:sz w:val="17"/>
              </w:rPr>
              <w:t xml:space="preserve">0.0239</w:t>
            </w:r>
          </w:p>
        </w:tc>
        <w:tc>
          <w:tcPr/>
          <w:p>
            <w:pPr>
              <w:pStyle w:val="Compact"/>
              <w:jc w:val="right"/>
            </w:pPr>
            <w:r>
              <w:rPr>
                <w:sz w:val="17"/>
              </w:rPr>
              <w:t xml:space="preserve">8</w:t>
            </w:r>
          </w:p>
        </w:tc>
        <w:tc>
          <w:tcPr/>
          <w:p>
            <w:pPr>
              <w:pStyle w:val="Compact"/>
              <w:jc w:val="right"/>
            </w:pPr>
            <w:r>
              <w:rPr>
                <w:sz w:val="17"/>
              </w:rPr>
              <w:t xml:space="preserve">6.5</w:t>
            </w:r>
          </w:p>
        </w:tc>
        <w:tc>
          <w:tcPr/>
          <w:p>
            <w:pPr>
              <w:pStyle w:val="Compact"/>
              <w:jc w:val="right"/>
            </w:pPr>
            <w:r>
              <w:rPr>
                <w:sz w:val="17"/>
              </w:rPr>
              <w:t xml:space="preserve">yes</w:t>
            </w:r>
          </w:p>
        </w:tc>
      </w:tr>
      <w:tr>
        <w:tc>
          <w:tcPr/>
          <w:p>
            <w:pPr>
              <w:pStyle w:val="Compact"/>
              <w:jc w:val="left"/>
            </w:pPr>
            <w:r>
              <w:rPr>
                <w:sz w:val="17"/>
              </w:rPr>
              <w:t xml:space="preserve">mths_since_last_delinq</w:t>
            </w:r>
          </w:p>
        </w:tc>
        <w:tc>
          <w:tcPr/>
          <w:p>
            <w:pPr>
              <w:pStyle w:val="Compact"/>
              <w:jc w:val="right"/>
            </w:pPr>
            <w:r>
              <w:rPr>
                <w:sz w:val="17"/>
              </w:rPr>
              <w:t xml:space="preserve">0.0299</w:t>
            </w:r>
          </w:p>
        </w:tc>
        <w:tc>
          <w:tcPr/>
          <w:p>
            <w:pPr>
              <w:pStyle w:val="Compact"/>
              <w:jc w:val="right"/>
            </w:pPr>
            <w:r>
              <w:rPr>
                <w:sz w:val="17"/>
              </w:rPr>
              <w:t xml:space="preserve">8</w:t>
            </w:r>
          </w:p>
        </w:tc>
        <w:tc>
          <w:tcPr/>
          <w:p>
            <w:pPr>
              <w:pStyle w:val="Compact"/>
              <w:jc w:val="right"/>
            </w:pPr>
            <w:r>
              <w:rPr>
                <w:sz w:val="17"/>
              </w:rPr>
              <w:t xml:space="preserve">n/a</w:t>
            </w:r>
          </w:p>
        </w:tc>
        <w:tc>
          <w:tcPr/>
          <w:p>
            <w:pPr>
              <w:pStyle w:val="Compact"/>
              <w:jc w:val="right"/>
            </w:pPr>
            <w:r>
              <w:rPr>
                <w:sz w:val="17"/>
              </w:rPr>
              <w:t xml:space="preserve">n/a</w:t>
            </w:r>
          </w:p>
        </w:tc>
        <w:tc>
          <w:tcPr/>
          <w:p>
            <w:pPr>
              <w:pStyle w:val="Compact"/>
              <w:jc w:val="right"/>
            </w:pPr>
            <w:r>
              <w:rPr>
                <w:sz w:val="17"/>
              </w:rPr>
              <w:t xml:space="preserve">n/a</w:t>
            </w:r>
          </w:p>
        </w:tc>
        <w:tc>
          <w:tcPr/>
          <w:p>
            <w:pPr>
              <w:pStyle w:val="Compact"/>
              <w:jc w:val="right"/>
            </w:pPr>
            <w:r>
              <w:rPr>
                <w:sz w:val="17"/>
              </w:rPr>
              <w:t xml:space="preserve">no</w:t>
            </w:r>
          </w:p>
        </w:tc>
      </w:tr>
      <w:tr>
        <w:tc>
          <w:tcPr/>
          <w:p>
            <w:pPr>
              <w:pStyle w:val="Compact"/>
              <w:jc w:val="left"/>
            </w:pPr>
            <w:r>
              <w:rPr>
                <w:sz w:val="17"/>
              </w:rPr>
              <w:t xml:space="preserve">pti</w:t>
            </w:r>
          </w:p>
        </w:tc>
        <w:tc>
          <w:tcPr/>
          <w:p>
            <w:pPr>
              <w:pStyle w:val="Compact"/>
              <w:jc w:val="right"/>
            </w:pPr>
            <w:r>
              <w:rPr>
                <w:sz w:val="17"/>
              </w:rPr>
              <w:t xml:space="preserve">0.0258</w:t>
            </w:r>
          </w:p>
        </w:tc>
        <w:tc>
          <w:tcPr/>
          <w:p>
            <w:pPr>
              <w:pStyle w:val="Compact"/>
              <w:jc w:val="right"/>
            </w:pPr>
            <w:r>
              <w:rPr>
                <w:sz w:val="17"/>
              </w:rPr>
              <w:t xml:space="preserve">9</w:t>
            </w:r>
          </w:p>
        </w:tc>
        <w:tc>
          <w:tcPr/>
          <w:p>
            <w:pPr>
              <w:pStyle w:val="Compact"/>
              <w:jc w:val="right"/>
            </w:pPr>
            <w:r>
              <w:rPr>
                <w:sz w:val="17"/>
              </w:rPr>
              <w:t xml:space="preserve">n/a</w:t>
            </w:r>
          </w:p>
        </w:tc>
        <w:tc>
          <w:tcPr/>
          <w:p>
            <w:pPr>
              <w:pStyle w:val="Compact"/>
              <w:jc w:val="right"/>
            </w:pPr>
            <w:r>
              <w:rPr>
                <w:sz w:val="17"/>
              </w:rPr>
              <w:t xml:space="preserve">n/a</w:t>
            </w:r>
          </w:p>
        </w:tc>
        <w:tc>
          <w:tcPr/>
          <w:p>
            <w:pPr>
              <w:pStyle w:val="Compact"/>
              <w:jc w:val="right"/>
            </w:pPr>
            <w:r>
              <w:rPr>
                <w:sz w:val="17"/>
              </w:rPr>
              <w:t xml:space="preserve">n/a</w:t>
            </w:r>
          </w:p>
        </w:tc>
        <w:tc>
          <w:tcPr/>
          <w:p>
            <w:pPr>
              <w:pStyle w:val="Compact"/>
              <w:jc w:val="right"/>
            </w:pPr>
            <w:r>
              <w:rPr>
                <w:sz w:val="17"/>
              </w:rPr>
              <w:t xml:space="preserve">no</w:t>
            </w:r>
          </w:p>
        </w:tc>
      </w:tr>
      <w:tr>
        <w:tc>
          <w:tcPr/>
          <w:p>
            <w:pPr>
              <w:pStyle w:val="Compact"/>
              <w:jc w:val="left"/>
            </w:pPr>
            <w:r>
              <w:rPr>
                <w:sz w:val="17"/>
              </w:rPr>
              <w:t xml:space="preserve">loan_to_inc</w:t>
            </w:r>
          </w:p>
        </w:tc>
        <w:tc>
          <w:tcPr/>
          <w:p>
            <w:pPr>
              <w:pStyle w:val="Compact"/>
              <w:jc w:val="right"/>
            </w:pPr>
            <w:r>
              <w:rPr>
                <w:sz w:val="17"/>
              </w:rPr>
              <w:t xml:space="preserve">0.0256</w:t>
            </w:r>
          </w:p>
        </w:tc>
        <w:tc>
          <w:tcPr/>
          <w:p>
            <w:pPr>
              <w:pStyle w:val="Compact"/>
              <w:jc w:val="right"/>
            </w:pPr>
            <w:r>
              <w:rPr>
                <w:sz w:val="17"/>
              </w:rPr>
              <w:t xml:space="preserve">10</w:t>
            </w:r>
          </w:p>
        </w:tc>
        <w:tc>
          <w:tcPr/>
          <w:p>
            <w:pPr>
              <w:pStyle w:val="Compact"/>
              <w:jc w:val="right"/>
            </w:pPr>
            <w:r>
              <w:rPr>
                <w:sz w:val="17"/>
              </w:rPr>
              <w:t xml:space="preserve">0.0528</w:t>
            </w:r>
          </w:p>
        </w:tc>
        <w:tc>
          <w:tcPr/>
          <w:p>
            <w:pPr>
              <w:pStyle w:val="Compact"/>
              <w:jc w:val="right"/>
            </w:pPr>
            <w:r>
              <w:rPr>
                <w:sz w:val="17"/>
              </w:rPr>
              <w:t xml:space="preserve">5</w:t>
            </w:r>
          </w:p>
        </w:tc>
        <w:tc>
          <w:tcPr/>
          <w:p>
            <w:pPr>
              <w:pStyle w:val="Compact"/>
              <w:jc w:val="right"/>
            </w:pPr>
            <w:r>
              <w:rPr>
                <w:sz w:val="17"/>
              </w:rPr>
              <w:t xml:space="preserve">7.6</w:t>
            </w:r>
          </w:p>
        </w:tc>
        <w:tc>
          <w:tcPr/>
          <w:p>
            <w:pPr>
              <w:pStyle w:val="Compact"/>
              <w:jc w:val="right"/>
            </w:pPr>
            <w:r>
              <w:rPr>
                <w:sz w:val="17"/>
              </w:rPr>
              <w:t xml:space="preserve">yes</w:t>
            </w:r>
          </w:p>
        </w:tc>
      </w:tr>
      <w:tr>
        <w:tc>
          <w:tcPr/>
          <w:p>
            <w:pPr>
              <w:pStyle w:val="Compact"/>
              <w:jc w:val="left"/>
            </w:pPr>
            <w:r>
              <w:rPr>
                <w:sz w:val="17"/>
              </w:rPr>
              <w:t xml:space="preserve">revol_bal</w:t>
            </w:r>
          </w:p>
        </w:tc>
        <w:tc>
          <w:tcPr/>
          <w:p>
            <w:pPr>
              <w:pStyle w:val="Compact"/>
              <w:jc w:val="right"/>
            </w:pPr>
            <w:r>
              <w:rPr>
                <w:sz w:val="17"/>
              </w:rPr>
              <w:t xml:space="preserve">0.0142</w:t>
            </w:r>
          </w:p>
        </w:tc>
        <w:tc>
          <w:tcPr/>
          <w:p>
            <w:pPr>
              <w:pStyle w:val="Compact"/>
              <w:jc w:val="right"/>
            </w:pPr>
            <w:r>
              <w:rPr>
                <w:sz w:val="17"/>
              </w:rPr>
              <w:t xml:space="preserve">11</w:t>
            </w:r>
          </w:p>
        </w:tc>
        <w:tc>
          <w:tcPr/>
          <w:p>
            <w:pPr>
              <w:pStyle w:val="Compact"/>
              <w:jc w:val="right"/>
            </w:pPr>
            <w:r>
              <w:rPr>
                <w:sz w:val="17"/>
              </w:rPr>
              <w:t xml:space="preserve">n/a</w:t>
            </w:r>
          </w:p>
        </w:tc>
        <w:tc>
          <w:tcPr/>
          <w:p>
            <w:pPr>
              <w:pStyle w:val="Compact"/>
              <w:jc w:val="right"/>
            </w:pPr>
            <w:r>
              <w:rPr>
                <w:sz w:val="17"/>
              </w:rPr>
              <w:t xml:space="preserve">n/a</w:t>
            </w:r>
          </w:p>
        </w:tc>
        <w:tc>
          <w:tcPr/>
          <w:p>
            <w:pPr>
              <w:pStyle w:val="Compact"/>
              <w:jc w:val="right"/>
            </w:pPr>
            <w:r>
              <w:rPr>
                <w:sz w:val="17"/>
              </w:rPr>
              <w:t xml:space="preserve">n/a</w:t>
            </w:r>
          </w:p>
        </w:tc>
        <w:tc>
          <w:tcPr/>
          <w:p>
            <w:pPr>
              <w:pStyle w:val="Compact"/>
              <w:jc w:val="right"/>
            </w:pPr>
            <w:r>
              <w:rPr>
                <w:sz w:val="17"/>
              </w:rPr>
              <w:t xml:space="preserve">no</w:t>
            </w:r>
          </w:p>
        </w:tc>
      </w:tr>
      <w:tr>
        <w:tc>
          <w:tcPr/>
          <w:p>
            <w:pPr>
              <w:pStyle w:val="Compact"/>
              <w:jc w:val="left"/>
            </w:pPr>
            <w:r>
              <w:rPr>
                <w:sz w:val="17"/>
              </w:rPr>
              <w:t xml:space="preserve">revol_util</w:t>
            </w:r>
          </w:p>
        </w:tc>
        <w:tc>
          <w:tcPr/>
          <w:p>
            <w:pPr>
              <w:pStyle w:val="Compact"/>
              <w:jc w:val="right"/>
            </w:pPr>
            <w:r>
              <w:rPr>
                <w:sz w:val="17"/>
              </w:rPr>
              <w:t xml:space="preserve">0.0137</w:t>
            </w:r>
          </w:p>
        </w:tc>
        <w:tc>
          <w:tcPr/>
          <w:p>
            <w:pPr>
              <w:pStyle w:val="Compact"/>
              <w:jc w:val="right"/>
            </w:pPr>
            <w:r>
              <w:rPr>
                <w:sz w:val="17"/>
              </w:rPr>
              <w:t xml:space="preserve">12</w:t>
            </w:r>
          </w:p>
        </w:tc>
        <w:tc>
          <w:tcPr/>
          <w:p>
            <w:pPr>
              <w:pStyle w:val="Compact"/>
              <w:jc w:val="right"/>
            </w:pPr>
            <w:r>
              <w:rPr>
                <w:sz w:val="17"/>
              </w:rPr>
              <w:t xml:space="preserve">0.0451</w:t>
            </w:r>
          </w:p>
        </w:tc>
        <w:tc>
          <w:tcPr/>
          <w:p>
            <w:pPr>
              <w:pStyle w:val="Compact"/>
              <w:jc w:val="right"/>
            </w:pPr>
            <w:r>
              <w:rPr>
                <w:sz w:val="17"/>
              </w:rPr>
              <w:t xml:space="preserve">6</w:t>
            </w:r>
          </w:p>
        </w:tc>
        <w:tc>
          <w:tcPr/>
          <w:p>
            <w:pPr>
              <w:pStyle w:val="Compact"/>
              <w:jc w:val="right"/>
            </w:pPr>
            <w:r>
              <w:rPr>
                <w:sz w:val="17"/>
              </w:rPr>
              <w:t xml:space="preserve">19.9</w:t>
            </w:r>
          </w:p>
        </w:tc>
        <w:tc>
          <w:tcPr/>
          <w:p>
            <w:pPr>
              <w:pStyle w:val="Compact"/>
              <w:jc w:val="right"/>
            </w:pPr>
            <w:r>
              <w:rPr>
                <w:sz w:val="17"/>
              </w:rPr>
              <w:t xml:space="preserve">yes</w:t>
            </w:r>
          </w:p>
        </w:tc>
      </w:tr>
    </w:tbl>
    <w:p>
      <w:pPr>
        <w:pStyle w:val="BodyText"/>
      </w:pPr>
      <w:r>
        <w:t xml:space="preserve">The leading drivers are the same: int_rate is the top feature of the tree model (mean |SHAP| 0.227) and sub_grade is second, while the scorecard places sub_grade, purpose and inquiries at the top by IV. Two differences are worth noting. The tree uses both int_rate and sub_grade (each carries lender information, and the scorecard keeps only sub_grade after the correlation filter), and the grade variable has SHAP importance of 0.0000 because sub_grade already contains it. And mths_since_last_delinq and payment-to-income appear in the tree's top ten but not in the scorecard: the first because the scorecard's IV filter dropped it for low IV (a missing-value pattern the tree can exploit) and the second because it is correlated with loan-to-income. The agreement in the main drivers is reassuring; the disagreement in the secondary ones is where the scorecard might be missing information.</w:t>
      </w:r>
    </w:p>
    <w:p>
      <w:pPr>
        <w:pStyle w:val="CaptionedFigure"/>
      </w:pPr>
      <w:r>
        <w:drawing>
          <wp:inline>
            <wp:extent cx="4267200" cy="3733800"/>
            <wp:effectExtent b="0" l="0" r="0" t="0"/>
            <wp:docPr descr="Mean absolute SHAP value by feature." title="" id="131" name="Picture"/>
            <a:graphic>
              <a:graphicData uri="http://schemas.openxmlformats.org/drawingml/2006/picture">
                <pic:pic>
                  <pic:nvPicPr>
                    <pic:cNvPr descr="../python/outputs/charts/shap_importance.png" id="132" name="Picture"/>
                    <pic:cNvPicPr>
                      <a:picLocks noChangeArrowheads="1" noChangeAspect="1"/>
                    </pic:cNvPicPr>
                  </pic:nvPicPr>
                  <pic:blipFill>
                    <a:blip r:embed="rId130"/>
                    <a:stretch>
                      <a:fillRect/>
                    </a:stretch>
                  </pic:blipFill>
                  <pic:spPr bwMode="auto">
                    <a:xfrm>
                      <a:off x="0" y="0"/>
                      <a:ext cx="4267200" cy="3733800"/>
                    </a:xfrm>
                    <a:prstGeom prst="rect">
                      <a:avLst/>
                    </a:prstGeom>
                    <a:noFill/>
                    <a:ln w="9525">
                      <a:noFill/>
                      <a:headEnd/>
                      <a:tailEnd/>
                    </a:ln>
                  </pic:spPr>
                </pic:pic>
              </a:graphicData>
            </a:graphic>
          </wp:inline>
        </w:drawing>
      </w:r>
    </w:p>
    <w:p>
      <w:pPr>
        <w:pStyle w:val="ImageCaption"/>
      </w:pPr>
      <w:r>
        <w:t xml:space="preserve">Mean absolute SHAP value by feature.</w:t>
      </w:r>
    </w:p>
    <w:p>
      <w:pPr>
        <w:pStyle w:val="CaptionedFigure"/>
      </w:pPr>
      <w:r>
        <w:drawing>
          <wp:inline>
            <wp:extent cx="3200400" cy="2708030"/>
            <wp:effectExtent b="0" l="0" r="0" t="0"/>
            <wp:docPr descr="SHAP dependence for sub-grade." title="" id="134" name="Picture"/>
            <a:graphic>
              <a:graphicData uri="http://schemas.openxmlformats.org/drawingml/2006/picture">
                <pic:pic>
                  <pic:nvPicPr>
                    <pic:cNvPr descr="../python/outputs/charts/shap_dependence_sub_grade.png" id="135" name="Picture"/>
                    <pic:cNvPicPr>
                      <a:picLocks noChangeArrowheads="1" noChangeAspect="1"/>
                    </pic:cNvPicPr>
                  </pic:nvPicPr>
                  <pic:blipFill>
                    <a:blip r:embed="rId133"/>
                    <a:stretch>
                      <a:fillRect/>
                    </a:stretch>
                  </pic:blipFill>
                  <pic:spPr bwMode="auto">
                    <a:xfrm>
                      <a:off x="0" y="0"/>
                      <a:ext cx="3200400" cy="2708030"/>
                    </a:xfrm>
                    <a:prstGeom prst="rect">
                      <a:avLst/>
                    </a:prstGeom>
                    <a:noFill/>
                    <a:ln w="9525">
                      <a:noFill/>
                      <a:headEnd/>
                      <a:tailEnd/>
                    </a:ln>
                  </pic:spPr>
                </pic:pic>
              </a:graphicData>
            </a:graphic>
          </wp:inline>
        </w:drawing>
      </w:r>
    </w:p>
    <w:p>
      <w:pPr>
        <w:pStyle w:val="ImageCaption"/>
      </w:pPr>
      <w:r>
        <w:t xml:space="preserve">SHAP dependence for sub-grade.</w:t>
      </w:r>
    </w:p>
    <w:bookmarkEnd w:id="136"/>
    <w:bookmarkEnd w:id="137"/>
    <w:bookmarkStart w:id="140" w:name="findings-log"/>
    <w:p>
      <w:pPr>
        <w:pStyle w:val="Heading1"/>
      </w:pPr>
      <w:r>
        <w:rPr>
          <w:rStyle w:val="SectionNumber"/>
        </w:rPr>
        <w:t xml:space="preserve">18</w:t>
      </w:r>
      <w:r>
        <w:tab/>
      </w:r>
      <w:r>
        <w:t xml:space="preserve">Findings log</w:t>
      </w:r>
    </w:p>
    <w:p>
      <w:pPr>
        <w:pStyle w:val="FirstParagraph"/>
      </w:pPr>
      <w:r>
        <w:t xml:space="preserve">34 findings are logged in</w:t>
      </w:r>
      <w:r>
        <w:t xml:space="preserve"> </w:t>
      </w:r>
      <w:r>
        <w:rPr>
          <w:rStyle w:val="VerbatimChar"/>
        </w:rPr>
        <w:t xml:space="preserve">findings_log.csv</w:t>
      </w:r>
      <w:r>
        <w:t xml:space="preserve">: 16 High, 16 Medium and 2 Low. Findings from the as-built review of the original project are marked "review"; findings from the automated test battery (any Red maps to High, any Amber to Medium) are marked "auto". The original developer (the author) reads the review findings as constructive: each has a remediation implemented in this project.</w:t>
      </w:r>
    </w:p>
    <w:p>
      <w:pPr>
        <w:pStyle w:val="TableCaption"/>
      </w:pPr>
      <w:r>
        <w:t xml:space="preserve">Findings by severity and source.</w:t>
      </w:r>
    </w:p>
    <w:tbl>
      <w:tblPr>
        <w:tblStyle w:val="Table"/>
        <w:tblW w:type="auto" w:w="0"/>
        <w:tblLook w:firstRow="1" w:lastRow="0" w:firstColumn="0" w:lastColumn="0" w:noHBand="0" w:noVBand="0" w:val="0020"/>
        <w:tblCaption w:val="Findings by severity and source."/>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p>
            <w:pPr>
              <w:pStyle w:val="Compact"/>
              <w:jc w:val="left"/>
            </w:pPr>
            <w:r>
              <w:rPr>
                <w:sz w:val="17"/>
              </w:rPr>
              <w:t xml:space="preserve">Severity</w:t>
            </w:r>
          </w:p>
        </w:tc>
        <w:tc>
          <w:tcPr/>
          <w:p>
            <w:pPr>
              <w:pStyle w:val="Compact"/>
              <w:jc w:val="right"/>
            </w:pPr>
            <w:r>
              <w:rPr>
                <w:sz w:val="17"/>
              </w:rPr>
              <w:t xml:space="preserve">Source</w:t>
            </w:r>
          </w:p>
        </w:tc>
        <w:tc>
          <w:tcPr/>
          <w:p>
            <w:pPr>
              <w:pStyle w:val="Compact"/>
              <w:jc w:val="right"/>
            </w:pPr>
            <w:r>
              <w:rPr>
                <w:sz w:val="17"/>
              </w:rPr>
              <w:t xml:space="preserve">Findings</w:t>
            </w:r>
          </w:p>
        </w:tc>
      </w:tr>
      <w:tr>
        <w:tc>
          <w:tcPr/>
          <w:p>
            <w:pPr>
              <w:pStyle w:val="Compact"/>
              <w:jc w:val="left"/>
            </w:pPr>
            <w:r>
              <w:rPr>
                <w:sz w:val="17"/>
              </w:rPr>
              <w:t xml:space="preserve">High</w:t>
            </w:r>
          </w:p>
        </w:tc>
        <w:tc>
          <w:tcPr/>
          <w:p>
            <w:pPr>
              <w:pStyle w:val="Compact"/>
              <w:jc w:val="right"/>
            </w:pPr>
            <w:r>
              <w:rPr>
                <w:sz w:val="17"/>
              </w:rPr>
              <w:t xml:space="preserve">auto</w:t>
            </w:r>
          </w:p>
        </w:tc>
        <w:tc>
          <w:tcPr/>
          <w:p>
            <w:pPr>
              <w:pStyle w:val="Compact"/>
              <w:jc w:val="right"/>
            </w:pPr>
            <w:r>
              <w:rPr>
                <w:sz w:val="17"/>
              </w:rPr>
              <w:t xml:space="preserve">11</w:t>
            </w:r>
          </w:p>
        </w:tc>
      </w:tr>
      <w:tr>
        <w:tc>
          <w:tcPr/>
          <w:p>
            <w:pPr>
              <w:pStyle w:val="Compact"/>
              <w:jc w:val="left"/>
            </w:pPr>
            <w:r>
              <w:rPr>
                <w:sz w:val="17"/>
              </w:rPr>
              <w:t xml:space="preserve">High</w:t>
            </w:r>
          </w:p>
        </w:tc>
        <w:tc>
          <w:tcPr/>
          <w:p>
            <w:pPr>
              <w:pStyle w:val="Compact"/>
              <w:jc w:val="right"/>
            </w:pPr>
            <w:r>
              <w:rPr>
                <w:sz w:val="17"/>
              </w:rPr>
              <w:t xml:space="preserve">review</w:t>
            </w:r>
          </w:p>
        </w:tc>
        <w:tc>
          <w:tcPr/>
          <w:p>
            <w:pPr>
              <w:pStyle w:val="Compact"/>
              <w:jc w:val="right"/>
            </w:pPr>
            <w:r>
              <w:rPr>
                <w:sz w:val="17"/>
              </w:rPr>
              <w:t xml:space="preserve">5</w:t>
            </w:r>
          </w:p>
        </w:tc>
      </w:tr>
      <w:tr>
        <w:tc>
          <w:tcPr/>
          <w:p>
            <w:pPr>
              <w:pStyle w:val="Compact"/>
              <w:jc w:val="left"/>
            </w:pPr>
            <w:r>
              <w:rPr>
                <w:sz w:val="17"/>
              </w:rPr>
              <w:t xml:space="preserve">Low</w:t>
            </w:r>
          </w:p>
        </w:tc>
        <w:tc>
          <w:tcPr/>
          <w:p>
            <w:pPr>
              <w:pStyle w:val="Compact"/>
              <w:jc w:val="right"/>
            </w:pPr>
            <w:r>
              <w:rPr>
                <w:sz w:val="17"/>
              </w:rPr>
              <w:t xml:space="preserve">review</w:t>
            </w:r>
          </w:p>
        </w:tc>
        <w:tc>
          <w:tcPr/>
          <w:p>
            <w:pPr>
              <w:pStyle w:val="Compact"/>
              <w:jc w:val="right"/>
            </w:pPr>
            <w:r>
              <w:rPr>
                <w:sz w:val="17"/>
              </w:rPr>
              <w:t xml:space="preserve">2</w:t>
            </w:r>
          </w:p>
        </w:tc>
      </w:tr>
      <w:tr>
        <w:tc>
          <w:tcPr/>
          <w:p>
            <w:pPr>
              <w:pStyle w:val="Compact"/>
              <w:jc w:val="left"/>
            </w:pPr>
            <w:r>
              <w:rPr>
                <w:sz w:val="17"/>
              </w:rPr>
              <w:t xml:space="preserve">Medium</w:t>
            </w:r>
          </w:p>
        </w:tc>
        <w:tc>
          <w:tcPr/>
          <w:p>
            <w:pPr>
              <w:pStyle w:val="Compact"/>
              <w:jc w:val="right"/>
            </w:pPr>
            <w:r>
              <w:rPr>
                <w:sz w:val="17"/>
              </w:rPr>
              <w:t xml:space="preserve">auto</w:t>
            </w:r>
          </w:p>
        </w:tc>
        <w:tc>
          <w:tcPr/>
          <w:p>
            <w:pPr>
              <w:pStyle w:val="Compact"/>
              <w:jc w:val="right"/>
            </w:pPr>
            <w:r>
              <w:rPr>
                <w:sz w:val="17"/>
              </w:rPr>
              <w:t xml:space="preserve">9</w:t>
            </w:r>
          </w:p>
        </w:tc>
      </w:tr>
      <w:tr>
        <w:tc>
          <w:tcPr/>
          <w:p>
            <w:pPr>
              <w:pStyle w:val="Compact"/>
              <w:jc w:val="left"/>
            </w:pPr>
            <w:r>
              <w:rPr>
                <w:sz w:val="17"/>
              </w:rPr>
              <w:t xml:space="preserve">Medium</w:t>
            </w:r>
          </w:p>
        </w:tc>
        <w:tc>
          <w:tcPr/>
          <w:p>
            <w:pPr>
              <w:pStyle w:val="Compact"/>
              <w:jc w:val="right"/>
            </w:pPr>
            <w:r>
              <w:rPr>
                <w:sz w:val="17"/>
              </w:rPr>
              <w:t xml:space="preserve">review</w:t>
            </w:r>
          </w:p>
        </w:tc>
        <w:tc>
          <w:tcPr/>
          <w:p>
            <w:pPr>
              <w:pStyle w:val="Compact"/>
              <w:jc w:val="right"/>
            </w:pPr>
            <w:r>
              <w:rPr>
                <w:sz w:val="17"/>
              </w:rPr>
              <w:t xml:space="preserve">7</w:t>
            </w:r>
          </w:p>
        </w:tc>
      </w:tr>
    </w:tbl>
    <w:bookmarkStart w:id="138" w:name="high-severity-findings-in-full"/>
    <w:p>
      <w:pPr>
        <w:pStyle w:val="Heading2"/>
      </w:pPr>
      <w:r>
        <w:rPr>
          <w:rStyle w:val="SectionNumber"/>
        </w:rPr>
        <w:t xml:space="preserve">18.1</w:t>
      </w:r>
      <w:r>
        <w:tab/>
      </w:r>
      <w:r>
        <w:t xml:space="preserve">High-severity findings in full</w:t>
      </w:r>
    </w:p>
    <w:p>
      <w:pPr>
        <w:pStyle w:val="FirstParagraph"/>
      </w:pPr>
      <w:r>
        <w:rPr>
          <w:b/>
          <w:bCs/>
        </w:rPr>
        <w:t xml:space="preserve">F-01: PD model uses mths_since_issue_d, a vintage and censoring proxy</w:t>
      </w:r>
      <w:r>
        <w:t xml:space="preserve"> </w:t>
      </w:r>
      <w:r>
        <w:t xml:space="preserve">(area: Model design; source: review; evidence file:</w:t>
      </w:r>
      <w:r>
        <w:t xml:space="preserve"> </w:t>
      </w:r>
      <w:r>
        <w:rPr>
          <w:rStyle w:val="VerbatimChar"/>
        </w:rPr>
        <w:t xml:space="preserve">validation_results.csv</w:t>
      </w:r>
      <w:r>
        <w:t xml:space="preserve">).</w:t>
      </w:r>
    </w:p>
    <w:p>
      <w:pPr>
        <w:pStyle w:val="BodyText"/>
      </w:pPr>
      <w:r>
        <w:t xml:space="preserve">Description: The original PD model includes loan age measured from issue date to a fixed reference date. It encodes vintage, and recent vintages have shorter observation windows, so the feature partly learns the censoring pattern instead of borrower risk.</w:t>
      </w:r>
    </w:p>
    <w:p>
      <w:pPr>
        <w:pStyle w:val="BodyText"/>
      </w:pPr>
      <w:r>
        <w:t xml:space="preserve">Evidence: Original notebook feature list contains mths_since_issue_d; lifetime bad rate by vintage falls from 26% (2007) to 9% (2014) while the fixed 12-month flag is flat at about 4-5% from 2010 to 2014. Computed here: reproduced original model (including mths_since_issue_d) has Gini 0.404 on its random test split.</w:t>
      </w:r>
    </w:p>
    <w:p>
      <w:pPr>
        <w:pStyle w:val="BodyText"/>
      </w:pPr>
      <w:r>
        <w:t xml:space="preserve">Recommendation: Remove the feature. Use application-time characteristics only and validate on time-ordered out-of-time samples.</w:t>
      </w:r>
    </w:p>
    <w:p>
      <w:pPr>
        <w:pStyle w:val="BodyText"/>
      </w:pPr>
      <w:r>
        <w:rPr>
          <w:b/>
          <w:bCs/>
        </w:rPr>
        <w:t xml:space="preserve">F-02: Only random 80/20 splits; no out-of-time test</w:t>
      </w:r>
      <w:r>
        <w:t xml:space="preserve"> </w:t>
      </w:r>
      <w:r>
        <w:t xml:space="preserve">(area: Data and sampling; source: review; evidence file:</w:t>
      </w:r>
      <w:r>
        <w:t xml:space="preserve"> </w:t>
      </w:r>
      <w:r>
        <w:rPr>
          <w:rStyle w:val="VerbatimChar"/>
        </w:rPr>
        <w:t xml:space="preserve">validation_results.csv</w:t>
      </w:r>
      <w:r>
        <w:t xml:space="preserve">).</w:t>
      </w:r>
    </w:p>
    <w:p>
      <w:pPr>
        <w:pStyle w:val="BodyText"/>
      </w:pPr>
      <w:r>
        <w:t xml:space="preserve">Description: Development and test sets are random draws over 2007-2014, so the test set shares vintages and economic conditions with training. Performance on it cannot show how the model behaves on later cohorts.</w:t>
      </w:r>
    </w:p>
    <w:p>
      <w:pPr>
        <w:pStyle w:val="BodyText"/>
      </w:pPr>
      <w:r>
        <w:t xml:space="preserve">Evidence: Original notebook splits all 466,285 loans at random 80/20. This validation uses development 2007-06 to 2012-12, OOT1 2013 and OOT2 2014-01 to 2014-11. Computed here: random-split Gini of the reproduced model 0.404; time-ordered OOT 2013 Gini of the scorecard 0.353 (development holdout 0.372).</w:t>
      </w:r>
    </w:p>
    <w:p>
      <w:pPr>
        <w:pStyle w:val="BodyText"/>
      </w:pPr>
      <w:r>
        <w:t xml:space="preserve">Recommendation: Adopt time-ordered development, out-of-time and recent-vintage monitoring samples as the standard test design.</w:t>
      </w:r>
    </w:p>
    <w:p>
      <w:pPr>
        <w:pStyle w:val="BodyText"/>
      </w:pPr>
      <w:r>
        <w:rPr>
          <w:b/>
          <w:bCs/>
        </w:rPr>
        <w:t xml:space="preserve">F-03: Lifetime default flag is right-censored</w:t>
      </w:r>
      <w:r>
        <w:t xml:space="preserve"> </w:t>
      </w:r>
      <w:r>
        <w:t xml:space="preserve">(area: Target definition; source: review; evidence file:</w:t>
      </w:r>
      <w:r>
        <w:t xml:space="preserve"> </w:t>
      </w:r>
      <w:r>
        <w:rPr>
          <w:rStyle w:val="VerbatimChar"/>
        </w:rPr>
        <w:t xml:space="preserve">by_vintage.csv</w:t>
      </w:r>
      <w:r>
        <w:t xml:space="preserve">).</w:t>
      </w:r>
    </w:p>
    <w:p>
      <w:pPr>
        <w:pStyle w:val="BodyText"/>
      </w:pPr>
      <w:r>
        <w:t xml:space="preserve">Description: A loan issued in 2014 has had at most about two years to default while a 2007 loan has had the full term, so the lifetime bad rate falls mechanically with vintage and is not comparable across cohorts.</w:t>
      </w:r>
    </w:p>
    <w:p>
      <w:pPr>
        <w:pStyle w:val="BodyText"/>
      </w:pPr>
      <w:r>
        <w:t xml:space="preserve">Evidence: Lifetime bad rate by vintage falls from 26% (2007) to 9% (2014); the fixed 12-month window with an observation buffer is flat at about 4-5% from 2010 to 2014. Computed here: fixed 12-month bad rate by vintage 2010-2014 ranges from 3.95% to 4.99%.</w:t>
      </w:r>
    </w:p>
    <w:p>
      <w:pPr>
        <w:pStyle w:val="BodyText"/>
      </w:pPr>
      <w:r>
        <w:t xml:space="preserve">Recommendation: Define default on a fixed performance window and keep only loans observed for the full window plus a buffer.</w:t>
      </w:r>
    </w:p>
    <w:p>
      <w:pPr>
        <w:pStyle w:val="BodyText"/>
      </w:pPr>
      <w:r>
        <w:rPr>
          <w:b/>
          <w:bCs/>
        </w:rPr>
        <w:t xml:space="preserve">F-04: Expected loss uses lifetime PD over all loans</w:t>
      </w:r>
      <w:r>
        <w:t xml:space="preserve"> </w:t>
      </w:r>
      <w:r>
        <w:t xml:space="preserve">(area: Loss estimation; source: review; evidence file:</w:t>
      </w:r>
      <w:r>
        <w:t xml:space="preserve"> </w:t>
      </w:r>
      <w:r>
        <w:rPr>
          <w:rStyle w:val="VerbatimChar"/>
        </w:rPr>
        <w:t xml:space="preserve">el_backtest_lifetime.csv</w:t>
      </w:r>
      <w:r>
        <w:t xml:space="preserve">).</w:t>
      </w:r>
    </w:p>
    <w:p>
      <w:pPr>
        <w:pStyle w:val="BodyText"/>
      </w:pPr>
      <w:r>
        <w:t xml:space="preserve">Description: Applying a lifetime PD to every loan, including already-resolved and seasoned loans, mixes bases and cannot be compared with realized loss. The headline expected loss is therefore not directly comparable with a realized loss.</w:t>
      </w:r>
    </w:p>
    <w:p>
      <w:pPr>
        <w:pStyle w:val="BodyText"/>
      </w:pPr>
      <w:r>
        <w:t xml:space="preserve">Evidence: Original expected loss is 7.98% of funded amount, $531.9M. The back-test on the complete 36-month cohort is in el_backtest_lifetime.csv. Computed here on the complete 36-month cohort (2012 test): predicted EL 6.42% of funded against realized 7.20%.</w:t>
      </w:r>
    </w:p>
    <w:p>
      <w:pPr>
        <w:pStyle w:val="BodyText"/>
      </w:pPr>
      <w:r>
        <w:t xml:space="preserve">Recommendation: Compute expected loss on a stated horizon (12-month) for the performing book and back-test against realized loss by grade and vintage.</w:t>
      </w:r>
    </w:p>
    <w:p>
      <w:pPr>
        <w:pStyle w:val="BodyText"/>
      </w:pPr>
      <w:r>
        <w:rPr>
          <w:b/>
          <w:bCs/>
        </w:rPr>
        <w:t xml:space="preserve">F-05: LGD stage 1 applied as hard 0/1 labels</w:t>
      </w:r>
      <w:r>
        <w:t xml:space="preserve"> </w:t>
      </w:r>
      <w:r>
        <w:t xml:space="preserve">(area: LGD model; source: review; evidence file:</w:t>
      </w:r>
      <w:r>
        <w:t xml:space="preserve"> </w:t>
      </w:r>
      <w:r>
        <w:rPr>
          <w:rStyle w:val="VerbatimChar"/>
        </w:rPr>
        <w:t xml:space="preserve">lgd_ead_summary.json</w:t>
      </w:r>
      <w:r>
        <w:t xml:space="preserve">).</w:t>
      </w:r>
    </w:p>
    <w:p>
      <w:pPr>
        <w:pStyle w:val="BodyText"/>
      </w:pPr>
      <w:r>
        <w:t xml:space="preserve">Description: The stage 1 recovery model outputs a probability of any recovery, but the original notebook converts it into hard classes (Final notebook cell 132) before combining with the stage 2 recovery rate. This discards the probability information.</w:t>
      </w:r>
    </w:p>
    <w:p>
      <w:pPr>
        <w:pStyle w:val="BodyText"/>
      </w:pPr>
      <w:r>
        <w:t xml:space="preserve">Evidence: Original: stage 1 thresholded to 0/1 in cell 132. Overall mean recovery rate is 0.061 and 56% of charged-off loans have any recovery, so a hard 0/1 cut differs from the expected value. Expected-value and hard-class LGD are compared in lgd_ead_summary.json. Computed here on oot_2013 defaults: LGD R-squared 0.009 with the expected-value combination versus -0.012 with hard 0/1 classes.</w:t>
      </w:r>
    </w:p>
    <w:p>
      <w:pPr>
        <w:pStyle w:val="BodyText"/>
      </w:pPr>
      <w:r>
        <w:t xml:space="preserve">Recommendation: Combine as LGD = 1 - P(recovery) * E[recovery rate | recovery]; report the hard-class version only as a comparison.</w:t>
      </w:r>
    </w:p>
    <w:p>
      <w:pPr>
        <w:pStyle w:val="BodyText"/>
      </w:pPr>
      <w:r>
        <w:rPr>
          <w:b/>
          <w:bCs/>
        </w:rPr>
        <w:t xml:space="preserve">F-18: hl_p Red for sc_full (2 samples)</w:t>
      </w:r>
      <w:r>
        <w:t xml:space="preserve"> </w:t>
      </w:r>
      <w:r>
        <w:t xml:space="preserve">(area: Calibration; source: auto; evidence file:</w:t>
      </w:r>
      <w:r>
        <w:t xml:space="preserve"> </w:t>
      </w:r>
      <w:r>
        <w:rPr>
          <w:rStyle w:val="VerbatimChar"/>
        </w:rPr>
        <w:t xml:space="preserve">calibration_sc_full_oot1.csv</w:t>
      </w:r>
      <w:r>
        <w:t xml:space="preserve">).</w:t>
      </w:r>
    </w:p>
    <w:p>
      <w:pPr>
        <w:pStyle w:val="BodyText"/>
      </w:pPr>
      <w:r>
        <w:t xml:space="preserve">Description: Automated validation test hl_p returned Red.</w:t>
      </w:r>
    </w:p>
    <w:p>
      <w:pPr>
        <w:pStyle w:val="BodyText"/>
      </w:pPr>
      <w:r>
        <w:t xml:space="preserve">Evidence: hl_p against threshold Green &gt;= 0.05; Amber &gt;= 0.01 for sc_full; oot1: 2.819e-26 (Red), oot2: 4.252e-16 (Red). Hosmer-Lemeshow has very high power at this sample size, so read it with the calibration slope and table.</w:t>
      </w:r>
    </w:p>
    <w:p>
      <w:pPr>
        <w:pStyle w:val="BodyText"/>
      </w:pPr>
      <w:r>
        <w:t xml:space="preserve">Recommendation: Recalibrate the PD (intercept or slope) on recent vintages and monitor calibration quarterly.</w:t>
      </w:r>
    </w:p>
    <w:p>
      <w:pPr>
        <w:pStyle w:val="BodyText"/>
      </w:pPr>
      <w:r>
        <w:rPr>
          <w:b/>
          <w:bCs/>
        </w:rPr>
        <w:t xml:space="preserve">F-19: binomial_grade_min_p Red for sc_full oot2</w:t>
      </w:r>
      <w:r>
        <w:t xml:space="preserve"> </w:t>
      </w:r>
      <w:r>
        <w:t xml:space="preserve">(area: Calibration; source: auto; evidence file:</w:t>
      </w:r>
      <w:r>
        <w:t xml:space="preserve"> </w:t>
      </w:r>
      <w:r>
        <w:rPr>
          <w:rStyle w:val="VerbatimChar"/>
        </w:rPr>
        <w:t xml:space="preserve">grade_binomial_oot2.csv</w:t>
      </w:r>
      <w:r>
        <w:t xml:space="preserve">).</w:t>
      </w:r>
    </w:p>
    <w:p>
      <w:pPr>
        <w:pStyle w:val="BodyText"/>
      </w:pPr>
      <w:r>
        <w:t xml:space="preserve">Description: Automated validation test binomial_grade_min_p returned Red.</w:t>
      </w:r>
    </w:p>
    <w:p>
      <w:pPr>
        <w:pStyle w:val="BodyText"/>
      </w:pPr>
      <w:r>
        <w:t xml:space="preserve">Evidence: binomial_grade_min_p against threshold Green &gt;= 0.05; Amber &gt;= 0.0001 for sc_full; oot2: 1.515e-15 (Red).</w:t>
      </w:r>
    </w:p>
    <w:p>
      <w:pPr>
        <w:pStyle w:val="BodyText"/>
      </w:pPr>
      <w:r>
        <w:t xml:space="preserve">Recommendation: Recalibrate the PD (intercept or slope) on recent vintages and monitor calibration quarterly.</w:t>
      </w:r>
    </w:p>
    <w:p>
      <w:pPr>
        <w:pStyle w:val="BodyText"/>
      </w:pPr>
      <w:r>
        <w:rPr>
          <w:b/>
          <w:bCs/>
        </w:rPr>
        <w:t xml:space="preserve">F-20: gini Red for sc_indep (4 samples)</w:t>
      </w:r>
      <w:r>
        <w:t xml:space="preserve"> </w:t>
      </w:r>
      <w:r>
        <w:t xml:space="preserve">(area: Discrimination; source: auto; evidence file:</w:t>
      </w:r>
      <w:r>
        <w:t xml:space="preserve"> </w:t>
      </w:r>
      <w:r>
        <w:rPr>
          <w:rStyle w:val="VerbatimChar"/>
        </w:rPr>
        <w:t xml:space="preserve">validation_results.csv</w:t>
      </w:r>
      <w:r>
        <w:t xml:space="preserve">).</w:t>
      </w:r>
    </w:p>
    <w:p>
      <w:pPr>
        <w:pStyle w:val="BodyText"/>
      </w:pPr>
      <w:r>
        <w:t xml:space="preserve">Description: Automated validation test gini returned Red.</w:t>
      </w:r>
    </w:p>
    <w:p>
      <w:pPr>
        <w:pStyle w:val="BodyText"/>
      </w:pPr>
      <w:r>
        <w:t xml:space="preserve">Evidence: gini against threshold Green &gt;= 0.4; Amber &gt;= 0.3 for sc_indep; dev_holdout: 0.3221 (Amber), oot1: 0.2945 (Red), oot2: 0.2658 (Red), complete36: 0.2724 (Red).</w:t>
      </w:r>
    </w:p>
    <w:p>
      <w:pPr>
        <w:pStyle w:val="BodyText"/>
      </w:pPr>
      <w:r>
        <w:t xml:space="preserve">Recommendation: Refit or redesign the model on the failing population and re-run the out-of-time discrimination tests.</w:t>
      </w:r>
    </w:p>
    <w:p>
      <w:pPr>
        <w:pStyle w:val="BodyText"/>
      </w:pPr>
      <w:r>
        <w:rPr>
          <w:b/>
          <w:bCs/>
        </w:rPr>
        <w:t xml:space="preserve">F-21: ks Red for sc_indep (4 samples)</w:t>
      </w:r>
      <w:r>
        <w:t xml:space="preserve"> </w:t>
      </w:r>
      <w:r>
        <w:t xml:space="preserve">(area: Discrimination; source: auto; evidence file:</w:t>
      </w:r>
      <w:r>
        <w:t xml:space="preserve"> </w:t>
      </w:r>
      <w:r>
        <w:rPr>
          <w:rStyle w:val="VerbatimChar"/>
        </w:rPr>
        <w:t xml:space="preserve">validation_results.csv</w:t>
      </w:r>
      <w:r>
        <w:t xml:space="preserve">).</w:t>
      </w:r>
    </w:p>
    <w:p>
      <w:pPr>
        <w:pStyle w:val="BodyText"/>
      </w:pPr>
      <w:r>
        <w:t xml:space="preserve">Description: Automated validation test ks returned Red.</w:t>
      </w:r>
    </w:p>
    <w:p>
      <w:pPr>
        <w:pStyle w:val="BodyText"/>
      </w:pPr>
      <w:r>
        <w:t xml:space="preserve">Evidence: ks against threshold Green &gt;= 0.3; Amber &gt;= 0.2 for sc_indep; dev_holdout: 0.2405 (Amber), oot1: 0.2084 (Amber), oot2: 0.1916 (Red), complete36: 0.1964 (Red).</w:t>
      </w:r>
    </w:p>
    <w:p>
      <w:pPr>
        <w:pStyle w:val="BodyText"/>
      </w:pPr>
      <w:r>
        <w:t xml:space="preserve">Recommendation: Refit or redesign the model on the failing population and re-run the out-of-time discrimination tests.</w:t>
      </w:r>
    </w:p>
    <w:p>
      <w:pPr>
        <w:pStyle w:val="BodyText"/>
      </w:pPr>
      <w:r>
        <w:rPr>
          <w:b/>
          <w:bCs/>
        </w:rPr>
        <w:t xml:space="preserve">F-22: hl_p Red for sc_indep (2 samples)</w:t>
      </w:r>
      <w:r>
        <w:t xml:space="preserve"> </w:t>
      </w:r>
      <w:r>
        <w:t xml:space="preserve">(area: Calibration; source: auto; evidence file:</w:t>
      </w:r>
      <w:r>
        <w:t xml:space="preserve"> </w:t>
      </w:r>
      <w:r>
        <w:rPr>
          <w:rStyle w:val="VerbatimChar"/>
        </w:rPr>
        <w:t xml:space="preserve">calibration_sc_indep_oot1.csv</w:t>
      </w:r>
      <w:r>
        <w:t xml:space="preserve">).</w:t>
      </w:r>
    </w:p>
    <w:p>
      <w:pPr>
        <w:pStyle w:val="BodyText"/>
      </w:pPr>
      <w:r>
        <w:t xml:space="preserve">Description: Automated validation test hl_p returned Red.</w:t>
      </w:r>
    </w:p>
    <w:p>
      <w:pPr>
        <w:pStyle w:val="BodyText"/>
      </w:pPr>
      <w:r>
        <w:t xml:space="preserve">Evidence: hl_p against threshold Green &gt;= 0.05; Amber &gt;= 0.01 for sc_indep; oot1: 4.151e-07 (Red), oot2: 1.102e-23 (Red). Hosmer-Lemeshow has very high power at this sample size, so read it with the calibration slope and table.</w:t>
      </w:r>
    </w:p>
    <w:p>
      <w:pPr>
        <w:pStyle w:val="BodyText"/>
      </w:pPr>
      <w:r>
        <w:t xml:space="preserve">Recommendation: Recalibrate the PD (intercept or slope) on recent vintages and monitor calibration quarterly.</w:t>
      </w:r>
    </w:p>
    <w:p>
      <w:pPr>
        <w:pStyle w:val="BodyText"/>
      </w:pPr>
      <w:r>
        <w:rPr>
          <w:b/>
          <w:bCs/>
        </w:rPr>
        <w:t xml:space="preserve">F-24: binomial_grade_min_p Red for sc_indep (3 samples)</w:t>
      </w:r>
      <w:r>
        <w:t xml:space="preserve"> </w:t>
      </w:r>
      <w:r>
        <w:t xml:space="preserve">(area: Calibration; source: auto; evidence file:</w:t>
      </w:r>
      <w:r>
        <w:t xml:space="preserve"> </w:t>
      </w:r>
      <w:r>
        <w:rPr>
          <w:rStyle w:val="VerbatimChar"/>
        </w:rPr>
        <w:t xml:space="preserve">grade_binomial_oot1.csv</w:t>
      </w:r>
      <w:r>
        <w:t xml:space="preserve">).</w:t>
      </w:r>
    </w:p>
    <w:p>
      <w:pPr>
        <w:pStyle w:val="BodyText"/>
      </w:pPr>
      <w:r>
        <w:t xml:space="preserve">Description: Automated validation test binomial_grade_min_p returned Red.</w:t>
      </w:r>
    </w:p>
    <w:p>
      <w:pPr>
        <w:pStyle w:val="BodyText"/>
      </w:pPr>
      <w:r>
        <w:t xml:space="preserve">Evidence: binomial_grade_min_p against threshold Green &gt;= 0.05; Amber &gt;= 0.0001 for sc_indep; dev_holdout: 0.002724 (Amber), oot1: 9.55e-11 (Red), oot2: 8.074e-62 (Red).</w:t>
      </w:r>
    </w:p>
    <w:p>
      <w:pPr>
        <w:pStyle w:val="BodyText"/>
      </w:pPr>
      <w:r>
        <w:t xml:space="preserve">Recommendation: Recalibrate the PD (intercept or slope) on recent vintages and monitor calibration quarterly.</w:t>
      </w:r>
    </w:p>
    <w:p>
      <w:pPr>
        <w:pStyle w:val="BodyText"/>
      </w:pPr>
      <w:r>
        <w:rPr>
          <w:b/>
          <w:bCs/>
        </w:rPr>
        <w:t xml:space="preserve">F-27: hl_p Red for sc_full_recal oot2</w:t>
      </w:r>
      <w:r>
        <w:t xml:space="preserve"> </w:t>
      </w:r>
      <w:r>
        <w:t xml:space="preserve">(area: Calibration; source: auto; evidence file:</w:t>
      </w:r>
      <w:r>
        <w:t xml:space="preserve"> </w:t>
      </w:r>
      <w:r>
        <w:rPr>
          <w:rStyle w:val="VerbatimChar"/>
        </w:rPr>
        <w:t xml:space="preserve">calibration_sc_full_recal_oot2.csv</w:t>
      </w:r>
      <w:r>
        <w:t xml:space="preserve">).</w:t>
      </w:r>
    </w:p>
    <w:p>
      <w:pPr>
        <w:pStyle w:val="BodyText"/>
      </w:pPr>
      <w:r>
        <w:t xml:space="preserve">Description: Automated validation test hl_p returned Red.</w:t>
      </w:r>
    </w:p>
    <w:p>
      <w:pPr>
        <w:pStyle w:val="BodyText"/>
      </w:pPr>
      <w:r>
        <w:t xml:space="preserve">Evidence: hl_p against threshold Green &gt;= 0.05; Amber &gt;= 0.01 for sc_full_recal; oot2: 4.228e-24 (Red). Hosmer-Lemeshow has very high power at this sample size, so read it with the calibration slope and table.</w:t>
      </w:r>
    </w:p>
    <w:p>
      <w:pPr>
        <w:pStyle w:val="BodyText"/>
      </w:pPr>
      <w:r>
        <w:t xml:space="preserve">Recommendation: Recalibrate the PD (intercept or slope) on recent vintages and monitor calibration quarterly.</w:t>
      </w:r>
    </w:p>
    <w:p>
      <w:pPr>
        <w:pStyle w:val="BodyText"/>
      </w:pPr>
      <w:r>
        <w:rPr>
          <w:b/>
          <w:bCs/>
        </w:rPr>
        <w:t xml:space="preserve">F-28: binomial_grade_min_p Red for sc_full_recal oot2</w:t>
      </w:r>
      <w:r>
        <w:t xml:space="preserve"> </w:t>
      </w:r>
      <w:r>
        <w:t xml:space="preserve">(area: Calibration; source: auto; evidence file:</w:t>
      </w:r>
      <w:r>
        <w:t xml:space="preserve"> </w:t>
      </w:r>
      <w:r>
        <w:rPr>
          <w:rStyle w:val="VerbatimChar"/>
        </w:rPr>
        <w:t xml:space="preserve">grade_binomial_oot2.csv</w:t>
      </w:r>
      <w:r>
        <w:t xml:space="preserve">).</w:t>
      </w:r>
    </w:p>
    <w:p>
      <w:pPr>
        <w:pStyle w:val="BodyText"/>
      </w:pPr>
      <w:r>
        <w:t xml:space="preserve">Description: Automated validation test binomial_grade_min_p returned Red.</w:t>
      </w:r>
    </w:p>
    <w:p>
      <w:pPr>
        <w:pStyle w:val="BodyText"/>
      </w:pPr>
      <w:r>
        <w:t xml:space="preserve">Evidence: binomial_grade_min_p against threshold Green &gt;= 0.05; Amber &gt;= 0.0001 for sc_full_recal; oot2: 5.079e-43 (Red).</w:t>
      </w:r>
    </w:p>
    <w:p>
      <w:pPr>
        <w:pStyle w:val="BodyText"/>
      </w:pPr>
      <w:r>
        <w:t xml:space="preserve">Recommendation: Recalibrate the PD (intercept or slope) on recent vintages and monitor calibration quarterly.</w:t>
      </w:r>
    </w:p>
    <w:p>
      <w:pPr>
        <w:pStyle w:val="BodyText"/>
      </w:pPr>
      <w:r>
        <w:rPr>
          <w:b/>
          <w:bCs/>
        </w:rPr>
        <w:t xml:space="preserve">F-30: csi_max Red for all (2 samples)</w:t>
      </w:r>
      <w:r>
        <w:t xml:space="preserve"> </w:t>
      </w:r>
      <w:r>
        <w:t xml:space="preserve">(area: Stability; source: auto; evidence file:</w:t>
      </w:r>
      <w:r>
        <w:t xml:space="preserve"> </w:t>
      </w:r>
      <w:r>
        <w:rPr>
          <w:rStyle w:val="VerbatimChar"/>
        </w:rPr>
        <w:t xml:space="preserve">psi_csi.csv</w:t>
      </w:r>
      <w:r>
        <w:t xml:space="preserve">).</w:t>
      </w:r>
    </w:p>
    <w:p>
      <w:pPr>
        <w:pStyle w:val="BodyText"/>
      </w:pPr>
      <w:r>
        <w:t xml:space="preserve">Description: Automated validation test csi_max returned Red.</w:t>
      </w:r>
    </w:p>
    <w:p>
      <w:pPr>
        <w:pStyle w:val="BodyText"/>
      </w:pPr>
      <w:r>
        <w:t xml:space="preserve">Evidence: csi_max against threshold Green &lt;= 0.1; Amber &lt;= 0.25 for all; oot1: 0.4752 (Red), oot2: 1.578 (Red).</w:t>
      </w:r>
    </w:p>
    <w:p>
      <w:pPr>
        <w:pStyle w:val="BodyText"/>
      </w:pPr>
      <w:r>
        <w:t xml:space="preserve">Recommendation: Investigate the drifting characteristics, document the cause, and set a re-development trigger.</w:t>
      </w:r>
    </w:p>
    <w:p>
      <w:pPr>
        <w:pStyle w:val="BodyText"/>
      </w:pPr>
      <w:r>
        <w:rPr>
          <w:b/>
          <w:bCs/>
        </w:rPr>
        <w:t xml:space="preserve">F-31: benchmark_sc_indep_vs_sub_grade_dauc Red for sc_indep (2 samples)</w:t>
      </w:r>
      <w:r>
        <w:t xml:space="preserve"> </w:t>
      </w:r>
      <w:r>
        <w:t xml:space="preserve">(area: Discrimination; source: auto; evidence file:</w:t>
      </w:r>
      <w:r>
        <w:t xml:space="preserve"> </w:t>
      </w:r>
      <w:r>
        <w:rPr>
          <w:rStyle w:val="VerbatimChar"/>
        </w:rPr>
        <w:t xml:space="preserve">benchmark.csv</w:t>
      </w:r>
      <w:r>
        <w:t xml:space="preserve">).</w:t>
      </w:r>
    </w:p>
    <w:p>
      <w:pPr>
        <w:pStyle w:val="BodyText"/>
      </w:pPr>
      <w:r>
        <w:t xml:space="preserve">Description: Automated validation test benchmark_sc_indep_vs_sub_grade_dauc returned Red.</w:t>
      </w:r>
    </w:p>
    <w:p>
      <w:pPr>
        <w:pStyle w:val="BodyText"/>
      </w:pPr>
      <w:r>
        <w:t xml:space="preserve">Evidence: benchmark_sc_indep_vs_sub_grade_dauc against threshold Green: beats sub_grade with DeLong p &lt; 0.05; Amber: ahead but not significant; Red: does not beat for sc_indep; oot1: -0.0263 (Red), oot2: -0.0501 (Red).</w:t>
      </w:r>
    </w:p>
    <w:p>
      <w:pPr>
        <w:pStyle w:val="BodyText"/>
      </w:pPr>
      <w:r>
        <w:t xml:space="preserve">Recommendation: Refit or redesign the model on the failing population and re-run the out-of-time discrimination tests.</w:t>
      </w:r>
    </w:p>
    <w:p>
      <w:pPr>
        <w:pStyle w:val="BodyText"/>
      </w:pPr>
      <w:r>
        <w:rPr>
          <w:b/>
          <w:bCs/>
        </w:rPr>
        <w:t xml:space="preserve">F-32: benchmark_sc_full_vs_sub_grade_dauc Red for sc_full (2 samples)</w:t>
      </w:r>
      <w:r>
        <w:t xml:space="preserve"> </w:t>
      </w:r>
      <w:r>
        <w:t xml:space="preserve">(area: Discrimination; source: auto; evidence file:</w:t>
      </w:r>
      <w:r>
        <w:t xml:space="preserve"> </w:t>
      </w:r>
      <w:r>
        <w:rPr>
          <w:rStyle w:val="VerbatimChar"/>
        </w:rPr>
        <w:t xml:space="preserve">benchmark.csv</w:t>
      </w:r>
      <w:r>
        <w:t xml:space="preserve">).</w:t>
      </w:r>
    </w:p>
    <w:p>
      <w:pPr>
        <w:pStyle w:val="BodyText"/>
      </w:pPr>
      <w:r>
        <w:t xml:space="preserve">Description: Automated validation test benchmark_sc_full_vs_sub_grade_dauc returned Red.</w:t>
      </w:r>
    </w:p>
    <w:p>
      <w:pPr>
        <w:pStyle w:val="BodyText"/>
      </w:pPr>
      <w:r>
        <w:t xml:space="preserve">Evidence: benchmark_sc_full_vs_sub_grade_dauc against threshold Green: beats sub_grade with DeLong p &lt; 0.05; Amber: ahead but not significant; Red: does not beat for sc_full; oot1: 0.002928 (Amber), oot2: -0.01023 (Red).</w:t>
      </w:r>
    </w:p>
    <w:p>
      <w:pPr>
        <w:pStyle w:val="BodyText"/>
      </w:pPr>
      <w:r>
        <w:t xml:space="preserve">Recommendation: Refit or redesign the model on the failing population and re-run the out-of-time discrimination tests.</w:t>
      </w:r>
    </w:p>
    <w:bookmarkEnd w:id="138"/>
    <w:bookmarkStart w:id="139" w:name="other-findings"/>
    <w:p>
      <w:pPr>
        <w:pStyle w:val="Heading2"/>
      </w:pPr>
      <w:r>
        <w:rPr>
          <w:rStyle w:val="SectionNumber"/>
        </w:rPr>
        <w:t xml:space="preserve">18.2</w:t>
      </w:r>
      <w:r>
        <w:tab/>
      </w:r>
      <w:r>
        <w:t xml:space="preserve">Other findings</w:t>
      </w:r>
    </w:p>
    <w:p>
      <w:pPr>
        <w:pStyle w:val="TableCaption"/>
      </w:pPr>
      <w:r>
        <w:t xml:space="preserve">Medium and Low findings (titles only). Descriptions, evidence and recommendations are in</w:t>
      </w:r>
      <w:r>
        <w:t xml:space="preserve"> </w:t>
      </w:r>
      <w:r>
        <w:rPr>
          <w:rStyle w:val="VerbatimChar"/>
        </w:rPr>
        <w:t xml:space="preserve">findings_log.csv</w:t>
      </w:r>
      <w:r>
        <w:t xml:space="preserve">.</w:t>
      </w:r>
    </w:p>
    <w:tbl>
      <w:tblPr>
        <w:tblStyle w:val="Table"/>
        <w:tblW w:type="pct" w:w="5000"/>
        <w:tblLayout w:type="fixed"/>
        <w:tblLook w:firstRow="1" w:lastRow="0" w:firstColumn="0" w:lastColumn="0" w:noHBand="0" w:noVBand="0" w:val="0020"/>
        <w:tblCaption w:val="Medium and Low findings (titles only). Descriptions, evidence and recommendations are in findings_log.csv."/>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
        <w:gridCol w:w="1683"/>
        <w:gridCol w:w="3960"/>
        <w:gridCol w:w="792"/>
        <w:gridCol w:w="495"/>
        <w:gridCol w:w="594"/>
      </w:tblGrid>
      <w:tr>
        <w:trPr>
          <w:tblHeader w:val="on"/>
        </w:trPr>
        <w:tc>
          <w:tcPr/>
          <w:p>
            <w:pPr>
              <w:pStyle w:val="Compact"/>
              <w:jc w:val="left"/>
            </w:pPr>
            <w:r>
              <w:rPr>
                <w:sz w:val="17"/>
              </w:rPr>
              <w:t xml:space="preserve">ID</w:t>
            </w:r>
          </w:p>
        </w:tc>
        <w:tc>
          <w:tcPr/>
          <w:p>
            <w:pPr>
              <w:pStyle w:val="Compact"/>
              <w:jc w:val="right"/>
            </w:pPr>
            <w:r>
              <w:rPr>
                <w:sz w:val="17"/>
              </w:rPr>
              <w:t xml:space="preserve">Area</w:t>
            </w:r>
          </w:p>
        </w:tc>
        <w:tc>
          <w:tcPr/>
          <w:p>
            <w:pPr>
              <w:pStyle w:val="Compact"/>
              <w:jc w:val="right"/>
            </w:pPr>
            <w:r>
              <w:rPr>
                <w:sz w:val="17"/>
              </w:rPr>
              <w:t xml:space="preserve">Title</w:t>
            </w:r>
          </w:p>
        </w:tc>
        <w:tc>
          <w:tcPr/>
          <w:p>
            <w:pPr>
              <w:pStyle w:val="Compact"/>
              <w:jc w:val="right"/>
            </w:pPr>
            <w:r>
              <w:rPr>
                <w:sz w:val="17"/>
              </w:rPr>
              <w:t xml:space="preserve">Severity</w:t>
            </w:r>
          </w:p>
        </w:tc>
        <w:tc>
          <w:tcPr/>
          <w:p>
            <w:pPr>
              <w:pStyle w:val="Compact"/>
              <w:jc w:val="right"/>
            </w:pPr>
            <w:r>
              <w:rPr>
                <w:sz w:val="17"/>
              </w:rPr>
              <w:t xml:space="preserve">Light</w:t>
            </w:r>
          </w:p>
        </w:tc>
        <w:tc>
          <w:tcPr/>
          <w:p>
            <w:pPr>
              <w:pStyle w:val="Compact"/>
              <w:jc w:val="right"/>
            </w:pPr>
            <w:r>
              <w:rPr>
                <w:sz w:val="17"/>
              </w:rPr>
              <w:t xml:space="preserve">Source</w:t>
            </w:r>
          </w:p>
        </w:tc>
      </w:tr>
      <w:tr>
        <w:tc>
          <w:tcPr/>
          <w:p>
            <w:pPr>
              <w:pStyle w:val="Compact"/>
              <w:jc w:val="left"/>
            </w:pPr>
            <w:r>
              <w:rPr>
                <w:sz w:val="17"/>
              </w:rPr>
              <w:t xml:space="preserve">F-06</w:t>
            </w:r>
          </w:p>
        </w:tc>
        <w:tc>
          <w:tcPr/>
          <w:p>
            <w:pPr>
              <w:pStyle w:val="Compact"/>
              <w:jc w:val="right"/>
            </w:pPr>
            <w:r>
              <w:rPr>
                <w:sz w:val="17"/>
              </w:rPr>
              <w:t xml:space="preserve">Statistics</w:t>
            </w:r>
          </w:p>
        </w:tc>
        <w:tc>
          <w:tcPr/>
          <w:p>
            <w:pPr>
              <w:pStyle w:val="Compact"/>
              <w:jc w:val="right"/>
            </w:pPr>
            <w:r>
              <w:rPr>
                <w:sz w:val="17"/>
              </w:rPr>
              <w:t xml:space="preserve">Wald p-values from the custom logistic class are invalid</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review</w:t>
            </w:r>
          </w:p>
        </w:tc>
      </w:tr>
      <w:tr>
        <w:tc>
          <w:tcPr/>
          <w:p>
            <w:pPr>
              <w:pStyle w:val="Compact"/>
              <w:jc w:val="left"/>
            </w:pPr>
            <w:r>
              <w:rPr>
                <w:sz w:val="17"/>
              </w:rPr>
              <w:t xml:space="preserve">F-07</w:t>
            </w:r>
          </w:p>
        </w:tc>
        <w:tc>
          <w:tcPr/>
          <w:p>
            <w:pPr>
              <w:pStyle w:val="Compact"/>
              <w:jc w:val="right"/>
            </w:pPr>
            <w:r>
              <w:rPr>
                <w:sz w:val="17"/>
              </w:rPr>
              <w:t xml:space="preserve">Model design</w:t>
            </w:r>
          </w:p>
        </w:tc>
        <w:tc>
          <w:tcPr/>
          <w:p>
            <w:pPr>
              <w:pStyle w:val="Compact"/>
              <w:jc w:val="right"/>
            </w:pPr>
            <w:r>
              <w:rPr>
                <w:sz w:val="17"/>
              </w:rPr>
              <w:t xml:space="preserve">Grade and interest rate (LendingClub risk outputs) used as PD features</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review</w:t>
            </w:r>
          </w:p>
        </w:tc>
      </w:tr>
      <w:tr>
        <w:tc>
          <w:tcPr/>
          <w:p>
            <w:pPr>
              <w:pStyle w:val="Compact"/>
              <w:jc w:val="left"/>
            </w:pPr>
            <w:r>
              <w:rPr>
                <w:sz w:val="17"/>
              </w:rPr>
              <w:t xml:space="preserve">F-08</w:t>
            </w:r>
          </w:p>
        </w:tc>
        <w:tc>
          <w:tcPr/>
          <w:p>
            <w:pPr>
              <w:pStyle w:val="Compact"/>
              <w:jc w:val="right"/>
            </w:pPr>
            <w:r>
              <w:rPr>
                <w:sz w:val="17"/>
              </w:rPr>
              <w:t xml:space="preserve">Target definition</w:t>
            </w:r>
          </w:p>
        </w:tc>
        <w:tc>
          <w:tcPr/>
          <w:p>
            <w:pPr>
              <w:pStyle w:val="Compact"/>
              <w:jc w:val="right"/>
            </w:pPr>
            <w:r>
              <w:rPr>
                <w:sz w:val="17"/>
              </w:rPr>
              <w:t xml:space="preserve">Default timing proxied by last payment date</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review</w:t>
            </w:r>
          </w:p>
        </w:tc>
      </w:tr>
      <w:tr>
        <w:tc>
          <w:tcPr/>
          <w:p>
            <w:pPr>
              <w:pStyle w:val="Compact"/>
              <w:jc w:val="left"/>
            </w:pPr>
            <w:r>
              <w:rPr>
                <w:sz w:val="17"/>
              </w:rPr>
              <w:t xml:space="preserve">F-09</w:t>
            </w:r>
          </w:p>
        </w:tc>
        <w:tc>
          <w:tcPr/>
          <w:p>
            <w:pPr>
              <w:pStyle w:val="Compact"/>
              <w:jc w:val="right"/>
            </w:pPr>
            <w:r>
              <w:rPr>
                <w:sz w:val="17"/>
              </w:rPr>
              <w:t xml:space="preserve">Target definition</w:t>
            </w:r>
          </w:p>
        </w:tc>
        <w:tc>
          <w:tcPr/>
          <w:p>
            <w:pPr>
              <w:pStyle w:val="Compact"/>
              <w:jc w:val="right"/>
            </w:pPr>
            <w:r>
              <w:rPr>
                <w:sz w:val="17"/>
              </w:rPr>
              <w:t xml:space="preserve">In Grace Period coded good in the code but described as bad in the project notes</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review</w:t>
            </w:r>
          </w:p>
        </w:tc>
      </w:tr>
      <w:tr>
        <w:tc>
          <w:tcPr/>
          <w:p>
            <w:pPr>
              <w:pStyle w:val="Compact"/>
              <w:jc w:val="left"/>
            </w:pPr>
            <w:r>
              <w:rPr>
                <w:sz w:val="17"/>
              </w:rPr>
              <w:t xml:space="preserve">F-10</w:t>
            </w:r>
          </w:p>
        </w:tc>
        <w:tc>
          <w:tcPr/>
          <w:p>
            <w:pPr>
              <w:pStyle w:val="Compact"/>
              <w:jc w:val="right"/>
            </w:pPr>
            <w:r>
              <w:rPr>
                <w:sz w:val="17"/>
              </w:rPr>
              <w:t xml:space="preserve">Reproducibility</w:t>
            </w:r>
          </w:p>
        </w:tc>
        <w:tc>
          <w:tcPr/>
          <w:p>
            <w:pPr>
              <w:pStyle w:val="Compact"/>
              <w:jc w:val="right"/>
            </w:pPr>
            <w:r>
              <w:rPr>
                <w:sz w:val="17"/>
              </w:rPr>
              <w:t xml:space="preserve">pd_model.sav loaded without fitting code; missing dummies silently zero-filled</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review</w:t>
            </w:r>
          </w:p>
        </w:tc>
      </w:tr>
      <w:tr>
        <w:tc>
          <w:tcPr/>
          <w:p>
            <w:pPr>
              <w:pStyle w:val="Compact"/>
              <w:jc w:val="left"/>
            </w:pPr>
            <w:r>
              <w:rPr>
                <w:sz w:val="17"/>
              </w:rPr>
              <w:t xml:space="preserve">F-11</w:t>
            </w:r>
          </w:p>
        </w:tc>
        <w:tc>
          <w:tcPr/>
          <w:p>
            <w:pPr>
              <w:pStyle w:val="Compact"/>
              <w:jc w:val="right"/>
            </w:pPr>
            <w:r>
              <w:rPr>
                <w:sz w:val="17"/>
              </w:rPr>
              <w:t xml:space="preserve">Data quality</w:t>
            </w:r>
          </w:p>
        </w:tc>
        <w:tc>
          <w:tcPr/>
          <w:p>
            <w:pPr>
              <w:pStyle w:val="Compact"/>
              <w:jc w:val="right"/>
            </w:pPr>
            <w:r>
              <w:rPr>
                <w:sz w:val="17"/>
              </w:rPr>
              <w:t xml:space="preserve">Immature recoveries on recent defaults</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review</w:t>
            </w:r>
          </w:p>
        </w:tc>
      </w:tr>
      <w:tr>
        <w:tc>
          <w:tcPr/>
          <w:p>
            <w:pPr>
              <w:pStyle w:val="Compact"/>
              <w:jc w:val="left"/>
            </w:pPr>
            <w:r>
              <w:rPr>
                <w:sz w:val="17"/>
              </w:rPr>
              <w:t xml:space="preserve">F-12</w:t>
            </w:r>
          </w:p>
        </w:tc>
        <w:tc>
          <w:tcPr/>
          <w:p>
            <w:pPr>
              <w:pStyle w:val="Compact"/>
              <w:jc w:val="right"/>
            </w:pPr>
            <w:r>
              <w:rPr>
                <w:sz w:val="17"/>
              </w:rPr>
              <w:t xml:space="preserve">Data quality</w:t>
            </w:r>
          </w:p>
        </w:tc>
        <w:tc>
          <w:tcPr/>
          <w:p>
            <w:pPr>
              <w:pStyle w:val="Compact"/>
              <w:jc w:val="right"/>
            </w:pPr>
            <w:r>
              <w:rPr>
                <w:sz w:val="17"/>
              </w:rPr>
              <w:t xml:space="preserve">Structural breaks in input features</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review</w:t>
            </w:r>
          </w:p>
        </w:tc>
      </w:tr>
      <w:tr>
        <w:tc>
          <w:tcPr/>
          <w:p>
            <w:pPr>
              <w:pStyle w:val="Compact"/>
              <w:jc w:val="left"/>
            </w:pPr>
            <w:r>
              <w:rPr>
                <w:sz w:val="17"/>
              </w:rPr>
              <w:t xml:space="preserve">F-15</w:t>
            </w:r>
          </w:p>
        </w:tc>
        <w:tc>
          <w:tcPr/>
          <w:p>
            <w:pPr>
              <w:pStyle w:val="Compact"/>
              <w:jc w:val="right"/>
            </w:pPr>
            <w:r>
              <w:rPr>
                <w:sz w:val="17"/>
              </w:rPr>
              <w:t xml:space="preserve">Discrimination</w:t>
            </w:r>
          </w:p>
        </w:tc>
        <w:tc>
          <w:tcPr/>
          <w:p>
            <w:pPr>
              <w:pStyle w:val="Compact"/>
              <w:jc w:val="right"/>
            </w:pPr>
            <w:r>
              <w:rPr>
                <w:sz w:val="17"/>
              </w:rPr>
              <w:t xml:space="preserve">gini Amber for sc_full (4 samples)</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auto</w:t>
            </w:r>
          </w:p>
        </w:tc>
      </w:tr>
      <w:tr>
        <w:tc>
          <w:tcPr/>
          <w:p>
            <w:pPr>
              <w:pStyle w:val="Compact"/>
              <w:jc w:val="left"/>
            </w:pPr>
            <w:r>
              <w:rPr>
                <w:sz w:val="17"/>
              </w:rPr>
              <w:t xml:space="preserve">F-16</w:t>
            </w:r>
          </w:p>
        </w:tc>
        <w:tc>
          <w:tcPr/>
          <w:p>
            <w:pPr>
              <w:pStyle w:val="Compact"/>
              <w:jc w:val="right"/>
            </w:pPr>
            <w:r>
              <w:rPr>
                <w:sz w:val="17"/>
              </w:rPr>
              <w:t xml:space="preserve">Discrimination</w:t>
            </w:r>
          </w:p>
        </w:tc>
        <w:tc>
          <w:tcPr/>
          <w:p>
            <w:pPr>
              <w:pStyle w:val="Compact"/>
              <w:jc w:val="right"/>
            </w:pPr>
            <w:r>
              <w:rPr>
                <w:sz w:val="17"/>
              </w:rPr>
              <w:t xml:space="preserve">ks Amber for sc_full (4 samples)</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auto</w:t>
            </w:r>
          </w:p>
        </w:tc>
      </w:tr>
      <w:tr>
        <w:tc>
          <w:tcPr/>
          <w:p>
            <w:pPr>
              <w:pStyle w:val="Compact"/>
              <w:jc w:val="left"/>
            </w:pPr>
            <w:r>
              <w:rPr>
                <w:sz w:val="17"/>
              </w:rPr>
              <w:t xml:space="preserve">F-17</w:t>
            </w:r>
          </w:p>
        </w:tc>
        <w:tc>
          <w:tcPr/>
          <w:p>
            <w:pPr>
              <w:pStyle w:val="Compact"/>
              <w:jc w:val="right"/>
            </w:pPr>
            <w:r>
              <w:rPr>
                <w:sz w:val="17"/>
              </w:rPr>
              <w:t xml:space="preserve">Calibration</w:t>
            </w:r>
          </w:p>
        </w:tc>
        <w:tc>
          <w:tcPr/>
          <w:p>
            <w:pPr>
              <w:pStyle w:val="Compact"/>
              <w:jc w:val="right"/>
            </w:pPr>
            <w:r>
              <w:rPr>
                <w:sz w:val="17"/>
              </w:rPr>
              <w:t xml:space="preserve">central_tendency Amber for sc_full oot1</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auto</w:t>
            </w:r>
          </w:p>
        </w:tc>
      </w:tr>
      <w:tr>
        <w:tc>
          <w:tcPr/>
          <w:p>
            <w:pPr>
              <w:pStyle w:val="Compact"/>
              <w:jc w:val="left"/>
            </w:pPr>
            <w:r>
              <w:rPr>
                <w:sz w:val="17"/>
              </w:rPr>
              <w:t xml:space="preserve">F-23</w:t>
            </w:r>
          </w:p>
        </w:tc>
        <w:tc>
          <w:tcPr/>
          <w:p>
            <w:pPr>
              <w:pStyle w:val="Compact"/>
              <w:jc w:val="right"/>
            </w:pPr>
            <w:r>
              <w:rPr>
                <w:sz w:val="17"/>
              </w:rPr>
              <w:t xml:space="preserve">Calibration</w:t>
            </w:r>
          </w:p>
        </w:tc>
        <w:tc>
          <w:tcPr/>
          <w:p>
            <w:pPr>
              <w:pStyle w:val="Compact"/>
              <w:jc w:val="right"/>
            </w:pPr>
            <w:r>
              <w:rPr>
                <w:sz w:val="17"/>
              </w:rPr>
              <w:t xml:space="preserve">cal_slope Amber for sc_indep oot2</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auto</w:t>
            </w:r>
          </w:p>
        </w:tc>
      </w:tr>
      <w:tr>
        <w:tc>
          <w:tcPr/>
          <w:p>
            <w:pPr>
              <w:pStyle w:val="Compact"/>
              <w:jc w:val="left"/>
            </w:pPr>
            <w:r>
              <w:rPr>
                <w:sz w:val="17"/>
              </w:rPr>
              <w:t xml:space="preserve">F-25</w:t>
            </w:r>
          </w:p>
        </w:tc>
        <w:tc>
          <w:tcPr/>
          <w:p>
            <w:pPr>
              <w:pStyle w:val="Compact"/>
              <w:jc w:val="right"/>
            </w:pPr>
            <w:r>
              <w:rPr>
                <w:sz w:val="17"/>
              </w:rPr>
              <w:t xml:space="preserve">Discrimination</w:t>
            </w:r>
          </w:p>
        </w:tc>
        <w:tc>
          <w:tcPr/>
          <w:p>
            <w:pPr>
              <w:pStyle w:val="Compact"/>
              <w:jc w:val="right"/>
            </w:pPr>
            <w:r>
              <w:rPr>
                <w:sz w:val="17"/>
              </w:rPr>
              <w:t xml:space="preserve">gini Amber for sc_full_recal oot2</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auto</w:t>
            </w:r>
          </w:p>
        </w:tc>
      </w:tr>
      <w:tr>
        <w:tc>
          <w:tcPr/>
          <w:p>
            <w:pPr>
              <w:pStyle w:val="Compact"/>
              <w:jc w:val="left"/>
            </w:pPr>
            <w:r>
              <w:rPr>
                <w:sz w:val="17"/>
              </w:rPr>
              <w:t xml:space="preserve">F-26</w:t>
            </w:r>
          </w:p>
        </w:tc>
        <w:tc>
          <w:tcPr/>
          <w:p>
            <w:pPr>
              <w:pStyle w:val="Compact"/>
              <w:jc w:val="right"/>
            </w:pPr>
            <w:r>
              <w:rPr>
                <w:sz w:val="17"/>
              </w:rPr>
              <w:t xml:space="preserve">Discrimination</w:t>
            </w:r>
          </w:p>
        </w:tc>
        <w:tc>
          <w:tcPr/>
          <w:p>
            <w:pPr>
              <w:pStyle w:val="Compact"/>
              <w:jc w:val="right"/>
            </w:pPr>
            <w:r>
              <w:rPr>
                <w:sz w:val="17"/>
              </w:rPr>
              <w:t xml:space="preserve">ks Amber for sc_full_recal oot2</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auto</w:t>
            </w:r>
          </w:p>
        </w:tc>
      </w:tr>
      <w:tr>
        <w:tc>
          <w:tcPr/>
          <w:p>
            <w:pPr>
              <w:pStyle w:val="Compact"/>
              <w:jc w:val="left"/>
            </w:pPr>
            <w:r>
              <w:rPr>
                <w:sz w:val="17"/>
              </w:rPr>
              <w:t xml:space="preserve">F-29</w:t>
            </w:r>
          </w:p>
        </w:tc>
        <w:tc>
          <w:tcPr/>
          <w:p>
            <w:pPr>
              <w:pStyle w:val="Compact"/>
              <w:jc w:val="right"/>
            </w:pPr>
            <w:r>
              <w:rPr>
                <w:sz w:val="17"/>
              </w:rPr>
              <w:t xml:space="preserve">Discrimination</w:t>
            </w:r>
          </w:p>
        </w:tc>
        <w:tc>
          <w:tcPr/>
          <w:p>
            <w:pPr>
              <w:pStyle w:val="Compact"/>
              <w:jc w:val="right"/>
            </w:pPr>
            <w:r>
              <w:rPr>
                <w:sz w:val="17"/>
              </w:rPr>
              <w:t xml:space="preserve">gini_decay Amber for sc_indep oot2</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auto</w:t>
            </w:r>
          </w:p>
        </w:tc>
      </w:tr>
      <w:tr>
        <w:tc>
          <w:tcPr/>
          <w:p>
            <w:pPr>
              <w:pStyle w:val="Compact"/>
              <w:jc w:val="left"/>
            </w:pPr>
            <w:r>
              <w:rPr>
                <w:sz w:val="17"/>
              </w:rPr>
              <w:t xml:space="preserve">F-33</w:t>
            </w:r>
          </w:p>
        </w:tc>
        <w:tc>
          <w:tcPr/>
          <w:p>
            <w:pPr>
              <w:pStyle w:val="Compact"/>
              <w:jc w:val="right"/>
            </w:pPr>
            <w:r>
              <w:rPr>
                <w:sz w:val="17"/>
              </w:rPr>
              <w:t xml:space="preserve">Loss estimation</w:t>
            </w:r>
          </w:p>
        </w:tc>
        <w:tc>
          <w:tcPr/>
          <w:p>
            <w:pPr>
              <w:pStyle w:val="Compact"/>
              <w:jc w:val="right"/>
            </w:pPr>
            <w:r>
              <w:rPr>
                <w:sz w:val="17"/>
              </w:rPr>
              <w:t xml:space="preserve">Expected loss versus realized loss gap: 12-month EL, first fully resolved out-of-time vintage</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auto</w:t>
            </w:r>
          </w:p>
        </w:tc>
      </w:tr>
      <w:tr>
        <w:tc>
          <w:tcPr/>
          <w:p>
            <w:pPr>
              <w:pStyle w:val="Compact"/>
              <w:jc w:val="left"/>
            </w:pPr>
            <w:r>
              <w:rPr>
                <w:sz w:val="17"/>
              </w:rPr>
              <w:t xml:space="preserve">F-34</w:t>
            </w:r>
          </w:p>
        </w:tc>
        <w:tc>
          <w:tcPr/>
          <w:p>
            <w:pPr>
              <w:pStyle w:val="Compact"/>
              <w:jc w:val="right"/>
            </w:pPr>
            <w:r>
              <w:rPr>
                <w:sz w:val="17"/>
              </w:rPr>
              <w:t xml:space="preserve">Loss estimation</w:t>
            </w:r>
          </w:p>
        </w:tc>
        <w:tc>
          <w:tcPr/>
          <w:p>
            <w:pPr>
              <w:pStyle w:val="Compact"/>
              <w:jc w:val="right"/>
            </w:pPr>
            <w:r>
              <w:rPr>
                <w:sz w:val="17"/>
              </w:rPr>
              <w:t xml:space="preserve">Expected loss versus realized loss gap: lifetime EL, 2012 test cohort</w:t>
            </w:r>
          </w:p>
        </w:tc>
        <w:tc>
          <w:tcPr/>
          <w:p>
            <w:pPr>
              <w:pStyle w:val="Compact"/>
              <w:jc w:val="right"/>
            </w:pPr>
            <w:r>
              <w:rPr>
                <w:sz w:val="17"/>
              </w:rPr>
              <w:t xml:space="preserve">Medium</w:t>
            </w:r>
          </w:p>
        </w:tc>
        <w:tc>
          <w:tcPr/>
          <w:p>
            <w:pPr>
              <w:pStyle w:val="Compact"/>
              <w:jc w:val="right"/>
            </w:pPr>
            <w:r>
              <w:rPr>
                <w:sz w:val="17"/>
              </w:rPr>
              <w:t xml:space="preserve">Amber</w:t>
            </w:r>
          </w:p>
        </w:tc>
        <w:tc>
          <w:tcPr/>
          <w:p>
            <w:pPr>
              <w:pStyle w:val="Compact"/>
              <w:jc w:val="right"/>
            </w:pPr>
            <w:r>
              <w:rPr>
                <w:sz w:val="17"/>
              </w:rPr>
              <w:t xml:space="preserve">auto</w:t>
            </w:r>
          </w:p>
        </w:tc>
      </w:tr>
      <w:tr>
        <w:tc>
          <w:tcPr/>
          <w:p>
            <w:pPr>
              <w:pStyle w:val="Compact"/>
              <w:jc w:val="left"/>
            </w:pPr>
            <w:r>
              <w:rPr>
                <w:sz w:val="17"/>
              </w:rPr>
              <w:t xml:space="preserve">F-13</w:t>
            </w:r>
          </w:p>
        </w:tc>
        <w:tc>
          <w:tcPr/>
          <w:p>
            <w:pPr>
              <w:pStyle w:val="Compact"/>
              <w:jc w:val="right"/>
            </w:pPr>
            <w:r>
              <w:rPr>
                <w:sz w:val="17"/>
              </w:rPr>
              <w:t xml:space="preserve">Reporting</w:t>
            </w:r>
          </w:p>
        </w:tc>
        <w:tc>
          <w:tcPr/>
          <w:p>
            <w:pPr>
              <w:pStyle w:val="Compact"/>
              <w:jc w:val="right"/>
            </w:pPr>
            <w:r>
              <w:rPr>
                <w:sz w:val="17"/>
              </w:rPr>
              <w:t xml:space="preserve">EAD summary prints the LGD stage 2 p-values</w:t>
            </w:r>
          </w:p>
        </w:tc>
        <w:tc>
          <w:tcPr/>
          <w:p>
            <w:pPr>
              <w:pStyle w:val="Compact"/>
              <w:jc w:val="right"/>
            </w:pPr>
            <w:r>
              <w:rPr>
                <w:sz w:val="17"/>
              </w:rPr>
              <w:t xml:space="preserve">Low</w:t>
            </w:r>
          </w:p>
        </w:tc>
        <w:tc>
          <w:tcPr/>
          <w:p>
            <w:pPr>
              <w:pStyle w:val="Compact"/>
              <w:jc w:val="right"/>
            </w:pPr>
            <w:r>
              <w:rPr>
                <w:sz w:val="17"/>
              </w:rPr>
              <w:t xml:space="preserve">Amber</w:t>
            </w:r>
          </w:p>
        </w:tc>
        <w:tc>
          <w:tcPr/>
          <w:p>
            <w:pPr>
              <w:pStyle w:val="Compact"/>
              <w:jc w:val="right"/>
            </w:pPr>
            <w:r>
              <w:rPr>
                <w:sz w:val="17"/>
              </w:rPr>
              <w:t xml:space="preserve">review</w:t>
            </w:r>
          </w:p>
        </w:tc>
      </w:tr>
      <w:tr>
        <w:tc>
          <w:tcPr/>
          <w:p>
            <w:pPr>
              <w:pStyle w:val="Compact"/>
              <w:jc w:val="left"/>
            </w:pPr>
            <w:r>
              <w:rPr>
                <w:sz w:val="17"/>
              </w:rPr>
              <w:t xml:space="preserve">F-14</w:t>
            </w:r>
          </w:p>
        </w:tc>
        <w:tc>
          <w:tcPr/>
          <w:p>
            <w:pPr>
              <w:pStyle w:val="Compact"/>
              <w:jc w:val="right"/>
            </w:pPr>
            <w:r>
              <w:rPr>
                <w:sz w:val="17"/>
              </w:rPr>
              <w:t xml:space="preserve">Data quality</w:t>
            </w:r>
          </w:p>
        </w:tc>
        <w:tc>
          <w:tcPr/>
          <w:p>
            <w:pPr>
              <w:pStyle w:val="Compact"/>
              <w:jc w:val="right"/>
            </w:pPr>
            <w:r>
              <w:rPr>
                <w:sz w:val="17"/>
              </w:rPr>
              <w:t xml:space="preserve">Two-digit year in earliest_cr_line</w:t>
            </w:r>
          </w:p>
        </w:tc>
        <w:tc>
          <w:tcPr/>
          <w:p>
            <w:pPr>
              <w:pStyle w:val="Compact"/>
              <w:jc w:val="right"/>
            </w:pPr>
            <w:r>
              <w:rPr>
                <w:sz w:val="17"/>
              </w:rPr>
              <w:t xml:space="preserve">Low</w:t>
            </w:r>
          </w:p>
        </w:tc>
        <w:tc>
          <w:tcPr/>
          <w:p>
            <w:pPr>
              <w:pStyle w:val="Compact"/>
              <w:jc w:val="right"/>
            </w:pPr>
            <w:r>
              <w:rPr>
                <w:sz w:val="17"/>
              </w:rPr>
              <w:t xml:space="preserve">Green</w:t>
            </w:r>
          </w:p>
        </w:tc>
        <w:tc>
          <w:tcPr/>
          <w:p>
            <w:pPr>
              <w:pStyle w:val="Compact"/>
              <w:jc w:val="right"/>
            </w:pPr>
            <w:r>
              <w:rPr>
                <w:sz w:val="17"/>
              </w:rPr>
              <w:t xml:space="preserve">review</w:t>
            </w:r>
          </w:p>
        </w:tc>
      </w:tr>
    </w:tbl>
    <w:p>
      <w:pPr>
        <w:pStyle w:val="BodyText"/>
      </w:pPr>
      <w:r>
        <w:t xml:space="preserve">The medium review findings cover invalid Wald p-values, the grade and interest-rate circularity, the last-payment-date default proxy, the In Grace Period coding mismatch, the missing fitting code with silent zero-filling of dummies, immature recoveries and structural breaks in inputs. The Low items are the EAD summary that prints the LGD stage 2 p-values (the EAD coefficients are re-estimated in</w:t>
      </w:r>
      <w:r>
        <w:t xml:space="preserve"> </w:t>
      </w:r>
      <w:r>
        <w:rPr>
          <w:rStyle w:val="VerbatimChar"/>
        </w:rPr>
        <w:t xml:space="preserve">ead_coefs.csv</w:t>
      </w:r>
      <w:r>
        <w:t xml:space="preserve">) and the two-digit year parse.</w:t>
      </w:r>
    </w:p>
    <w:bookmarkEnd w:id="139"/>
    <w:bookmarkEnd w:id="140"/>
    <w:bookmarkStart w:id="141" w:name="limitations"/>
    <w:p>
      <w:pPr>
        <w:pStyle w:val="Heading1"/>
      </w:pPr>
      <w:r>
        <w:rPr>
          <w:rStyle w:val="SectionNumber"/>
        </w:rPr>
        <w:t xml:space="preserve">19</w:t>
      </w:r>
      <w:r>
        <w:tab/>
      </w:r>
      <w:r>
        <w:t xml:space="preserve">Limitations</w:t>
      </w:r>
    </w:p>
    <w:p>
      <w:pPr>
        <w:pStyle w:val="Compact"/>
        <w:numPr>
          <w:ilvl w:val="0"/>
          <w:numId w:val="1006"/>
        </w:numPr>
      </w:pPr>
      <w:r>
        <w:rPr>
          <w:b/>
          <w:bCs/>
        </w:rPr>
        <w:t xml:space="preserve">One lender, one era, and public data only.</w:t>
      </w:r>
      <w:r>
        <w:t xml:space="preserve"> </w:t>
      </w:r>
      <w:r>
        <w:t xml:space="preserve">The file contains 2007 to 2014 loans from one platform; the credit environment, underwriting rules and data fields changed during that time. Nothing here supports conclusions about other lenders or later years.</w:t>
      </w:r>
    </w:p>
    <w:p>
      <w:pPr>
        <w:pStyle w:val="Compact"/>
        <w:numPr>
          <w:ilvl w:val="0"/>
          <w:numId w:val="1006"/>
        </w:numPr>
      </w:pPr>
      <w:r>
        <w:rPr>
          <w:b/>
          <w:bCs/>
        </w:rPr>
        <w:t xml:space="preserve">No true default date.</w:t>
      </w:r>
      <w:r>
        <w:t xml:space="preserve"> </w:t>
      </w:r>
      <w:r>
        <w:t xml:space="preserve">Timing is proxied by the last payment date; a loan that kept paying partially after missing payments is dated late. The 12-month window is therefore approximate.</w:t>
      </w:r>
    </w:p>
    <w:p>
      <w:pPr>
        <w:pStyle w:val="Compact"/>
        <w:numPr>
          <w:ilvl w:val="0"/>
          <w:numId w:val="1006"/>
        </w:numPr>
      </w:pPr>
      <w:r>
        <w:rPr>
          <w:b/>
          <w:bCs/>
        </w:rPr>
        <w:t xml:space="preserve">Censoring and immature recoveries.</w:t>
      </w:r>
      <w:r>
        <w:t xml:space="preserve"> </w:t>
      </w:r>
      <w:r>
        <w:t xml:space="preserve">Even the fixed window has the 2014 cohort partly unresolved, and LGD for recent defaults is understated in recovery. The 2014 expected-loss comparison is a lower bound on realized loss.</w:t>
      </w:r>
    </w:p>
    <w:p>
      <w:pPr>
        <w:pStyle w:val="Compact"/>
        <w:numPr>
          <w:ilvl w:val="0"/>
          <w:numId w:val="1006"/>
        </w:numPr>
      </w:pPr>
      <w:r>
        <w:rPr>
          <w:b/>
          <w:bCs/>
        </w:rPr>
        <w:t xml:space="preserve">No credit bureau score.</w:t>
      </w:r>
      <w:r>
        <w:t xml:space="preserve"> </w:t>
      </w:r>
      <w:r>
        <w:t xml:space="preserve">The public file has no FICO score, so the independent model is deprived of the most predictive underwriting input, and the benchmark (the lender's sub-grade) embeds it.</w:t>
      </w:r>
    </w:p>
    <w:p>
      <w:pPr>
        <w:pStyle w:val="Compact"/>
        <w:numPr>
          <w:ilvl w:val="0"/>
          <w:numId w:val="1006"/>
        </w:numPr>
      </w:pPr>
      <w:r>
        <w:rPr>
          <w:b/>
          <w:bCs/>
        </w:rPr>
        <w:t xml:space="preserve">Generic thresholds.</w:t>
      </w:r>
      <w:r>
        <w:t xml:space="preserve"> </w:t>
      </w:r>
      <w:r>
        <w:t xml:space="preserve">The traffic-light cut-offs are conventions, not policy. Amber on Gini would not be a defect for every portfolio.</w:t>
      </w:r>
    </w:p>
    <w:p>
      <w:pPr>
        <w:pStyle w:val="Compact"/>
        <w:numPr>
          <w:ilvl w:val="0"/>
          <w:numId w:val="1006"/>
        </w:numPr>
      </w:pPr>
      <w:r>
        <w:rPr>
          <w:b/>
          <w:bCs/>
        </w:rPr>
        <w:t xml:space="preserve">Power of large-sample tests.</w:t>
      </w:r>
      <w:r>
        <w:t xml:space="preserve"> </w:t>
      </w:r>
      <w:r>
        <w:t xml:space="preserve">Hosmer-Lemeshow and binomial tests reject small gaps; they are reported with the effect size alongside.</w:t>
      </w:r>
    </w:p>
    <w:p>
      <w:pPr>
        <w:pStyle w:val="Compact"/>
        <w:numPr>
          <w:ilvl w:val="0"/>
          <w:numId w:val="1006"/>
        </w:numPr>
      </w:pPr>
      <w:r>
        <w:rPr>
          <w:b/>
          <w:bCs/>
        </w:rPr>
        <w:t xml:space="preserve">Same author.</w:t>
      </w:r>
      <w:r>
        <w:t xml:space="preserve"> </w:t>
      </w:r>
      <w:r>
        <w:t xml:space="preserve">The validator is the model's original developer, so independence is procedural only.</w:t>
      </w:r>
    </w:p>
    <w:p>
      <w:pPr>
        <w:pStyle w:val="Compact"/>
        <w:numPr>
          <w:ilvl w:val="0"/>
          <w:numId w:val="1006"/>
        </w:numPr>
      </w:pPr>
      <w:r>
        <w:rPr>
          <w:b/>
          <w:bCs/>
        </w:rPr>
        <w:t xml:space="preserve">No macroeconomic dimension.</w:t>
      </w:r>
      <w:r>
        <w:t xml:space="preserve"> </w:t>
      </w:r>
      <w:r>
        <w:t xml:space="preserve">There is no stress calibrated to economic scenarios; the sensitivity analysis is mechanical shocks.</w:t>
      </w:r>
    </w:p>
    <w:p>
      <w:pPr>
        <w:pStyle w:val="Compact"/>
        <w:numPr>
          <w:ilvl w:val="0"/>
          <w:numId w:val="1006"/>
        </w:numPr>
      </w:pPr>
      <w:r>
        <w:rPr>
          <w:b/>
          <w:bCs/>
        </w:rPr>
        <w:t xml:space="preserve">Reproduction without the original artifact.</w:t>
      </w:r>
      <w:r>
        <w:t xml:space="preserve"> </w:t>
      </w:r>
      <w:r>
        <w:t xml:space="preserve">The original pickled PD model is not available, so the reproduction re-fits a specification transcribed from the notebooks.</w:t>
      </w:r>
    </w:p>
    <w:bookmarkEnd w:id="141"/>
    <w:bookmarkStart w:id="145" w:name="X04e191f8abf7901de9578d69ad4c8f4a60e3a5d"/>
    <w:p>
      <w:pPr>
        <w:pStyle w:val="Heading1"/>
      </w:pPr>
      <w:r>
        <w:rPr>
          <w:rStyle w:val="SectionNumber"/>
        </w:rPr>
        <w:t xml:space="preserve">20</w:t>
      </w:r>
      <w:r>
        <w:tab/>
      </w:r>
      <w:r>
        <w:t xml:space="preserve">Excel workbook walkthrough and reconciliation</w:t>
      </w:r>
    </w:p>
    <w:bookmarkStart w:id="142" w:name="purpose"/>
    <w:p>
      <w:pPr>
        <w:pStyle w:val="Heading2"/>
      </w:pPr>
      <w:r>
        <w:rPr>
          <w:rStyle w:val="SectionNumber"/>
        </w:rPr>
        <w:t xml:space="preserve">20.1</w:t>
      </w:r>
      <w:r>
        <w:tab/>
      </w:r>
      <w:r>
        <w:t xml:space="preserve">Purpose</w:t>
      </w:r>
    </w:p>
    <w:p>
      <w:pPr>
        <w:pStyle w:val="FirstParagraph"/>
      </w:pPr>
      <w:r>
        <w:t xml:space="preserve">The Excel workbook (</w:t>
      </w:r>
      <w:r>
        <w:rPr>
          <w:rStyle w:val="VerbatimChar"/>
        </w:rPr>
        <w:t xml:space="preserve">excel/credit_validation_workbook.xlsx</w:t>
      </w:r>
      <w:r>
        <w:t xml:space="preserve">) re-implements the key validation calculations with live formulas on a stratified sample of 2013 loans (5,000 loans, sampled proportionally by grade with a floor so thin grades appear). A reviewer who does not trust code can change an input and watch every number move. The workbook is plain in format on purpose.</w:t>
      </w:r>
    </w:p>
    <w:bookmarkEnd w:id="142"/>
    <w:bookmarkStart w:id="143" w:name="sheets"/>
    <w:p>
      <w:pPr>
        <w:pStyle w:val="Heading2"/>
      </w:pPr>
      <w:r>
        <w:rPr>
          <w:rStyle w:val="SectionNumber"/>
        </w:rPr>
        <w:t xml:space="preserve">20.2</w:t>
      </w:r>
      <w:r>
        <w:tab/>
      </w:r>
      <w:r>
        <w:t xml:space="preserve">Sheets</w:t>
      </w:r>
    </w:p>
    <w:p>
      <w:pPr>
        <w:pStyle w:val="Compact"/>
        <w:numPr>
          <w:ilvl w:val="0"/>
          <w:numId w:val="1007"/>
        </w:numPr>
      </w:pPr>
      <w:r>
        <w:rPr>
          <w:b/>
          <w:bCs/>
        </w:rPr>
        <w:t xml:space="preserve">README</w:t>
      </w:r>
      <w:r>
        <w:t xml:space="preserve"> </w:t>
      </w:r>
      <w:r>
        <w:t xml:space="preserve">describes the workbook and the colour-free conventions.</w:t>
      </w:r>
    </w:p>
    <w:p>
      <w:pPr>
        <w:pStyle w:val="Compact"/>
        <w:numPr>
          <w:ilvl w:val="0"/>
          <w:numId w:val="1007"/>
        </w:numPr>
      </w:pPr>
      <w:r>
        <w:rPr>
          <w:b/>
          <w:bCs/>
        </w:rPr>
        <w:t xml:space="preserve">Inputs</w:t>
      </w:r>
      <w:r>
        <w:t xml:space="preserve"> </w:t>
      </w:r>
      <w:r>
        <w:t xml:space="preserve">holds the scaling parameters (PDO, base score, base odds), the PSI floor, the traffic-light thresholds and the attributes for the calculator loan.</w:t>
      </w:r>
    </w:p>
    <w:p>
      <w:pPr>
        <w:pStyle w:val="Compact"/>
        <w:numPr>
          <w:ilvl w:val="0"/>
          <w:numId w:val="1007"/>
        </w:numPr>
      </w:pPr>
      <w:r>
        <w:rPr>
          <w:b/>
          <w:bCs/>
        </w:rPr>
        <w:t xml:space="preserve">Scorecard</w:t>
      </w:r>
      <w:r>
        <w:t xml:space="preserve"> </w:t>
      </w:r>
      <w:r>
        <w:t xml:space="preserve">is the typed points table (bin edges, WoE, coefficients, points) exported from Python.</w:t>
      </w:r>
    </w:p>
    <w:p>
      <w:pPr>
        <w:pStyle w:val="Compact"/>
        <w:numPr>
          <w:ilvl w:val="0"/>
          <w:numId w:val="1007"/>
        </w:numPr>
      </w:pPr>
      <w:r>
        <w:rPr>
          <w:b/>
          <w:bCs/>
        </w:rPr>
        <w:t xml:space="preserve">Score_Calc</w:t>
      </w:r>
      <w:r>
        <w:t xml:space="preserve"> </w:t>
      </w:r>
      <w:r>
        <w:t xml:space="preserve">is a live one-loan calculator: bin lookup, WoE, points, total score, log-odds and PD. The bin rule is the same as in Python (value greater than the lower edge and up to the upper edge, implemented as a count of edges below the value plus one), and categorical lookups use INDEX and MATCH.</w:t>
      </w:r>
    </w:p>
    <w:p>
      <w:pPr>
        <w:pStyle w:val="Compact"/>
        <w:numPr>
          <w:ilvl w:val="0"/>
          <w:numId w:val="1007"/>
        </w:numPr>
      </w:pPr>
      <w:r>
        <w:rPr>
          <w:b/>
          <w:bCs/>
        </w:rPr>
        <w:t xml:space="preserve">Loan_Sample</w:t>
      </w:r>
      <w:r>
        <w:t xml:space="preserve"> </w:t>
      </w:r>
      <w:r>
        <w:t xml:space="preserve">holds the typed attributes and outcomes plus live bin index, WoE, points, score, PD and expected loss for each loan, alongside the Python PD and points.</w:t>
      </w:r>
    </w:p>
    <w:p>
      <w:pPr>
        <w:pStyle w:val="Compact"/>
        <w:numPr>
          <w:ilvl w:val="0"/>
          <w:numId w:val="1007"/>
        </w:numPr>
      </w:pPr>
      <w:r>
        <w:rPr>
          <w:b/>
          <w:bCs/>
        </w:rPr>
        <w:t xml:space="preserve">Deciles</w:t>
      </w:r>
      <w:r>
        <w:t xml:space="preserve"> </w:t>
      </w:r>
      <w:r>
        <w:t xml:space="preserve">builds the decile table with COUNTIFS and SUMIFS, with a rank tie-break (RANK.EQ plus a running COUNTIF), the KS statistic and lift.</w:t>
      </w:r>
    </w:p>
    <w:p>
      <w:pPr>
        <w:pStyle w:val="Compact"/>
        <w:numPr>
          <w:ilvl w:val="0"/>
          <w:numId w:val="1007"/>
        </w:numPr>
      </w:pPr>
      <w:r>
        <w:rPr>
          <w:b/>
          <w:bCs/>
        </w:rPr>
        <w:t xml:space="preserve">Calibration</w:t>
      </w:r>
      <w:r>
        <w:t xml:space="preserve"> </w:t>
      </w:r>
      <w:r>
        <w:t xml:space="preserve">computes decile and grade calibration, the Hosmer-Lemeshow statistic with CHISQ.DIST.RT, the binomial z with NORM.S.DIST and the Jeffreys p-value with BETA.DIST.</w:t>
      </w:r>
    </w:p>
    <w:p>
      <w:pPr>
        <w:pStyle w:val="Compact"/>
        <w:numPr>
          <w:ilvl w:val="0"/>
          <w:numId w:val="1007"/>
        </w:numPr>
      </w:pPr>
      <w:r>
        <w:rPr>
          <w:b/>
          <w:bCs/>
        </w:rPr>
        <w:t xml:space="preserve">PSI</w:t>
      </w:r>
      <w:r>
        <w:t xml:space="preserve"> </w:t>
      </w:r>
      <w:r>
        <w:t xml:space="preserve">holds typed development bins and live out-of-time shares and the PSI.</w:t>
      </w:r>
    </w:p>
    <w:p>
      <w:pPr>
        <w:pStyle w:val="Compact"/>
        <w:numPr>
          <w:ilvl w:val="0"/>
          <w:numId w:val="1007"/>
        </w:numPr>
      </w:pPr>
      <w:r>
        <w:rPr>
          <w:b/>
          <w:bCs/>
        </w:rPr>
        <w:t xml:space="preserve">EL</w:t>
      </w:r>
      <w:r>
        <w:t xml:space="preserve"> </w:t>
      </w:r>
      <w:r>
        <w:t xml:space="preserve">computes expected loss by grade against typed realized loss.</w:t>
      </w:r>
    </w:p>
    <w:p>
      <w:pPr>
        <w:pStyle w:val="Compact"/>
        <w:numPr>
          <w:ilvl w:val="0"/>
          <w:numId w:val="1007"/>
        </w:numPr>
      </w:pPr>
      <w:r>
        <w:rPr>
          <w:b/>
          <w:bCs/>
        </w:rPr>
        <w:t xml:space="preserve">Checks</w:t>
      </w:r>
      <w:r>
        <w:t xml:space="preserve"> </w:t>
      </w:r>
      <w:r>
        <w:t xml:space="preserve">compares each Excel result with its Python value.</w:t>
      </w:r>
    </w:p>
    <w:p>
      <w:pPr>
        <w:pStyle w:val="Compact"/>
        <w:numPr>
          <w:ilvl w:val="0"/>
          <w:numId w:val="1007"/>
        </w:numPr>
      </w:pPr>
      <w:r>
        <w:rPr>
          <w:b/>
          <w:bCs/>
        </w:rPr>
        <w:t xml:space="preserve">Conclusions</w:t>
      </w:r>
      <w:r>
        <w:t xml:space="preserve"> </w:t>
      </w:r>
      <w:r>
        <w:t xml:space="preserve">holds the static written conclusions.</w:t>
      </w:r>
    </w:p>
    <w:p>
      <w:pPr>
        <w:pStyle w:val="Compact"/>
        <w:numPr>
          <w:ilvl w:val="0"/>
          <w:numId w:val="1007"/>
        </w:numPr>
      </w:pPr>
      <w:r>
        <w:rPr>
          <w:b/>
          <w:bCs/>
        </w:rPr>
        <w:t xml:space="preserve">Python_Ref</w:t>
      </w:r>
      <w:r>
        <w:t xml:space="preserve"> </w:t>
      </w:r>
      <w:r>
        <w:t xml:space="preserve">holds the Python reference values for reconciliation.</w:t>
      </w:r>
    </w:p>
    <w:bookmarkEnd w:id="143"/>
    <w:bookmarkStart w:id="144" w:name="reconciliation"/>
    <w:p>
      <w:pPr>
        <w:pStyle w:val="Heading2"/>
      </w:pPr>
      <w:r>
        <w:rPr>
          <w:rStyle w:val="SectionNumber"/>
        </w:rPr>
        <w:t xml:space="preserve">20.3</w:t>
      </w:r>
      <w:r>
        <w:tab/>
      </w:r>
      <w:r>
        <w:t xml:space="preserve">Reconciliation</w:t>
      </w:r>
    </w:p>
    <w:p>
      <w:pPr>
        <w:pStyle w:val="FirstParagraph"/>
      </w:pPr>
      <w:r>
        <w:rPr>
          <w:rStyle w:val="VerbatimChar"/>
        </w:rPr>
        <w:t xml:space="preserve">reconcile_excel.py</w:t>
      </w:r>
      <w:r>
        <w:t xml:space="preserve"> </w:t>
      </w:r>
      <w:r>
        <w:t xml:space="preserve">recalculates the workbook headlessly, reads the values back, and compares them with independent Python computations at tight tolerances (PD 1e-9, points and score 1e-6, counts exact, KS, PSI and bad rates 1e-9, Hosmer-Lemeshow statistic 1e-6, p-values 1e-8, expected loss to the cent), on two input cases (the base loan and a loan with DTI raised by 5 points).</w:t>
      </w:r>
    </w:p>
    <w:p>
      <w:pPr>
        <w:pStyle w:val="BodyText"/>
      </w:pPr>
      <w:r>
        <w:t xml:space="preserve">Overall result:</w:t>
      </w:r>
      <w:r>
        <w:t xml:space="preserve"> </w:t>
      </w:r>
      <w:r>
        <w:rPr>
          <w:b/>
          <w:bCs/>
        </w:rPr>
        <w:t xml:space="preserve">all comparisons passed</w:t>
      </w:r>
      <w:r>
        <w:t xml:space="preserve">. The reconciliation ran 2 scenario cases. The workbook holds 193,154 formulas. The largest absolute difference across all quantities is 2.3e-09 (</w:t>
      </w:r>
      <w:r>
        <w:rPr>
          <w:rStyle w:val="VerbatimChar"/>
        </w:rPr>
        <w:t xml:space="preserve">el_total_usd</w:t>
      </w:r>
      <w:r>
        <w:t xml:space="preserve">). The table lists the 10 largest of 58 compared quantities; all others are smaller. Differences of order 1e-13 to 1e-16 are floating-point rounding.</w:t>
      </w:r>
    </w:p>
    <w:p>
      <w:pPr>
        <w:pStyle w:val="TableCaption"/>
      </w:pPr>
      <w:r>
        <w:t xml:space="preserve">Excel reconciliation, from</w:t>
      </w:r>
      <w:r>
        <w:t xml:space="preserve"> </w:t>
      </w:r>
      <w:r>
        <w:rPr>
          <w:rStyle w:val="VerbatimChar"/>
        </w:rPr>
        <w:t xml:space="preserve">outputs/excel_reconciliation.json</w:t>
      </w:r>
      <w:r>
        <w:t xml:space="preserve">.</w:t>
      </w:r>
    </w:p>
    <w:tbl>
      <w:tblPr>
        <w:tblStyle w:val="Table"/>
        <w:tblW w:type="auto" w:w="0"/>
        <w:tblLook w:firstRow="1" w:lastRow="0" w:firstColumn="0" w:lastColumn="0" w:noHBand="0" w:noVBand="0" w:val="0020"/>
        <w:tblCaption w:val="Excel reconciliation, from outputs/excel_reconciliation.json."/>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p>
            <w:pPr>
              <w:pStyle w:val="Compact"/>
              <w:jc w:val="left"/>
            </w:pPr>
            <w:r>
              <w:rPr>
                <w:sz w:val="17"/>
              </w:rPr>
              <w:t xml:space="preserve">Quantity</w:t>
            </w:r>
          </w:p>
        </w:tc>
        <w:tc>
          <w:tcPr/>
          <w:p>
            <w:pPr>
              <w:pStyle w:val="Compact"/>
              <w:jc w:val="right"/>
            </w:pPr>
            <w:r>
              <w:rPr>
                <w:sz w:val="17"/>
              </w:rPr>
              <w:t xml:space="preserve">Worst absolute difference</w:t>
            </w:r>
          </w:p>
        </w:tc>
      </w:tr>
      <w:tr>
        <w:tc>
          <w:tcPr/>
          <w:p>
            <w:pPr>
              <w:pStyle w:val="Compact"/>
              <w:jc w:val="left"/>
            </w:pPr>
            <w:r>
              <w:rPr>
                <w:sz w:val="17"/>
              </w:rPr>
              <w:t xml:space="preserve">el_total_usd</w:t>
            </w:r>
          </w:p>
        </w:tc>
        <w:tc>
          <w:tcPr/>
          <w:p>
            <w:pPr>
              <w:pStyle w:val="Compact"/>
              <w:jc w:val="right"/>
            </w:pPr>
            <w:r>
              <w:rPr>
                <w:sz w:val="17"/>
              </w:rPr>
              <w:t xml:space="preserve">2.3e-09</w:t>
            </w:r>
          </w:p>
        </w:tc>
      </w:tr>
      <w:tr>
        <w:tc>
          <w:tcPr/>
          <w:p>
            <w:pPr>
              <w:pStyle w:val="Compact"/>
              <w:jc w:val="left"/>
            </w:pPr>
            <w:r>
              <w:rPr>
                <w:sz w:val="17"/>
              </w:rPr>
              <w:t xml:space="preserve">total_el_usd</w:t>
            </w:r>
          </w:p>
        </w:tc>
        <w:tc>
          <w:tcPr/>
          <w:p>
            <w:pPr>
              <w:pStyle w:val="Compact"/>
              <w:jc w:val="right"/>
            </w:pPr>
            <w:r>
              <w:rPr>
                <w:sz w:val="17"/>
              </w:rPr>
              <w:t xml:space="preserve">1.4e-09</w:t>
            </w:r>
          </w:p>
        </w:tc>
      </w:tr>
      <w:tr>
        <w:tc>
          <w:tcPr/>
          <w:p>
            <w:pPr>
              <w:pStyle w:val="Compact"/>
              <w:jc w:val="left"/>
            </w:pPr>
            <w:r>
              <w:rPr>
                <w:sz w:val="17"/>
              </w:rPr>
              <w:t xml:space="preserve">el_grade_usd</w:t>
            </w:r>
          </w:p>
        </w:tc>
        <w:tc>
          <w:tcPr/>
          <w:p>
            <w:pPr>
              <w:pStyle w:val="Compact"/>
              <w:jc w:val="right"/>
            </w:pPr>
            <w:r>
              <w:rPr>
                <w:sz w:val="17"/>
              </w:rPr>
              <w:t xml:space="preserve">5.8e-10</w:t>
            </w:r>
          </w:p>
        </w:tc>
      </w:tr>
      <w:tr>
        <w:tc>
          <w:tcPr/>
          <w:p>
            <w:pPr>
              <w:pStyle w:val="Compact"/>
              <w:jc w:val="left"/>
            </w:pPr>
            <w:r>
              <w:rPr>
                <w:sz w:val="17"/>
              </w:rPr>
              <w:t xml:space="preserve">el_grade_realized_usd</w:t>
            </w:r>
          </w:p>
        </w:tc>
        <w:tc>
          <w:tcPr/>
          <w:p>
            <w:pPr>
              <w:pStyle w:val="Compact"/>
              <w:jc w:val="right"/>
            </w:pPr>
            <w:r>
              <w:rPr>
                <w:sz w:val="17"/>
              </w:rPr>
              <w:t xml:space="preserve">1.5e-11</w:t>
            </w:r>
          </w:p>
        </w:tc>
      </w:tr>
      <w:tr>
        <w:tc>
          <w:tcPr/>
          <w:p>
            <w:pPr>
              <w:pStyle w:val="Compact"/>
              <w:jc w:val="left"/>
            </w:pPr>
            <w:r>
              <w:rPr>
                <w:sz w:val="17"/>
              </w:rPr>
              <w:t xml:space="preserve">loan_el_usd</w:t>
            </w:r>
          </w:p>
        </w:tc>
        <w:tc>
          <w:tcPr/>
          <w:p>
            <w:pPr>
              <w:pStyle w:val="Compact"/>
              <w:jc w:val="right"/>
            </w:pPr>
            <w:r>
              <w:rPr>
                <w:sz w:val="17"/>
              </w:rPr>
              <w:t xml:space="preserve">7.7e-12</w:t>
            </w:r>
          </w:p>
        </w:tc>
      </w:tr>
      <w:tr>
        <w:tc>
          <w:tcPr/>
          <w:p>
            <w:pPr>
              <w:pStyle w:val="Compact"/>
              <w:jc w:val="left"/>
            </w:pPr>
            <w:r>
              <w:rPr>
                <w:sz w:val="17"/>
              </w:rPr>
              <w:t xml:space="preserve">loan_score</w:t>
            </w:r>
          </w:p>
        </w:tc>
        <w:tc>
          <w:tcPr/>
          <w:p>
            <w:pPr>
              <w:pStyle w:val="Compact"/>
              <w:jc w:val="right"/>
            </w:pPr>
            <w:r>
              <w:rPr>
                <w:sz w:val="17"/>
              </w:rPr>
              <w:t xml:space="preserve">6.8e-13</w:t>
            </w:r>
          </w:p>
        </w:tc>
      </w:tr>
      <w:tr>
        <w:tc>
          <w:tcPr/>
          <w:p>
            <w:pPr>
              <w:pStyle w:val="Compact"/>
              <w:jc w:val="left"/>
            </w:pPr>
            <w:r>
              <w:rPr>
                <w:sz w:val="17"/>
              </w:rPr>
              <w:t xml:space="preserve">vs_exported_python_score</w:t>
            </w:r>
          </w:p>
        </w:tc>
        <w:tc>
          <w:tcPr/>
          <w:p>
            <w:pPr>
              <w:pStyle w:val="Compact"/>
              <w:jc w:val="right"/>
            </w:pPr>
            <w:r>
              <w:rPr>
                <w:sz w:val="17"/>
              </w:rPr>
              <w:t xml:space="preserve">6.8e-13</w:t>
            </w:r>
          </w:p>
        </w:tc>
      </w:tr>
      <w:tr>
        <w:tc>
          <w:tcPr/>
          <w:p>
            <w:pPr>
              <w:pStyle w:val="Compact"/>
              <w:jc w:val="left"/>
            </w:pPr>
            <w:r>
              <w:rPr>
                <w:sz w:val="17"/>
              </w:rPr>
              <w:t xml:space="preserve">calc_score</w:t>
            </w:r>
          </w:p>
        </w:tc>
        <w:tc>
          <w:tcPr/>
          <w:p>
            <w:pPr>
              <w:pStyle w:val="Compact"/>
              <w:jc w:val="right"/>
            </w:pPr>
            <w:r>
              <w:rPr>
                <w:sz w:val="17"/>
              </w:rPr>
              <w:t xml:space="preserve">3.4e-13</w:t>
            </w:r>
          </w:p>
        </w:tc>
      </w:tr>
      <w:tr>
        <w:tc>
          <w:tcPr/>
          <w:p>
            <w:pPr>
              <w:pStyle w:val="Compact"/>
              <w:jc w:val="left"/>
            </w:pPr>
            <w:r>
              <w:rPr>
                <w:sz w:val="17"/>
              </w:rPr>
              <w:t xml:space="preserve">calc_points_sum</w:t>
            </w:r>
          </w:p>
        </w:tc>
        <w:tc>
          <w:tcPr/>
          <w:p>
            <w:pPr>
              <w:pStyle w:val="Compact"/>
              <w:jc w:val="right"/>
            </w:pPr>
            <w:r>
              <w:rPr>
                <w:sz w:val="17"/>
              </w:rPr>
              <w:t xml:space="preserve">3.4e-13</w:t>
            </w:r>
          </w:p>
        </w:tc>
      </w:tr>
      <w:tr>
        <w:tc>
          <w:tcPr/>
          <w:p>
            <w:pPr>
              <w:pStyle w:val="Compact"/>
              <w:jc w:val="left"/>
            </w:pPr>
            <w:r>
              <w:rPr>
                <w:sz w:val="17"/>
              </w:rPr>
              <w:t xml:space="preserve">hl_statistic</w:t>
            </w:r>
          </w:p>
        </w:tc>
        <w:tc>
          <w:tcPr/>
          <w:p>
            <w:pPr>
              <w:pStyle w:val="Compact"/>
              <w:jc w:val="right"/>
            </w:pPr>
            <w:r>
              <w:rPr>
                <w:sz w:val="17"/>
              </w:rPr>
              <w:t xml:space="preserve">6.0e-14</w:t>
            </w:r>
          </w:p>
        </w:tc>
      </w:tr>
    </w:tbl>
    <w:p>
      <w:pPr>
        <w:pStyle w:val="BodyText"/>
      </w:pPr>
      <w:r>
        <w:t xml:space="preserve">Reconciliation shows that the formulas implement the same mathematics as the code, which lets a reviewer trace any number to a cell. It says nothing about whether the model is right for real loans.</w:t>
      </w:r>
    </w:p>
    <w:bookmarkEnd w:id="144"/>
    <w:bookmarkEnd w:id="145"/>
    <w:bookmarkStart w:id="146" w:name="how-to-run"/>
    <w:p>
      <w:pPr>
        <w:pStyle w:val="Heading1"/>
      </w:pPr>
      <w:r>
        <w:rPr>
          <w:rStyle w:val="SectionNumber"/>
        </w:rPr>
        <w:t xml:space="preserve">21</w:t>
      </w:r>
      <w:r>
        <w:tab/>
      </w:r>
      <w:r>
        <w:t xml:space="preserve">How to run</w:t>
      </w:r>
    </w:p>
    <w:p>
      <w:pPr>
        <w:pStyle w:val="FirstParagraph"/>
      </w:pPr>
      <w:r>
        <w:t xml:space="preserve">The raw data are not included. Place</w:t>
      </w:r>
      <w:r>
        <w:t xml:space="preserve"> </w:t>
      </w:r>
      <w:r>
        <w:rPr>
          <w:rStyle w:val="VerbatimChar"/>
        </w:rPr>
        <w:t xml:space="preserve">loan_data_2007_2014.csv</w:t>
      </w:r>
      <w:r>
        <w:t xml:space="preserve"> </w:t>
      </w:r>
      <w:r>
        <w:t xml:space="preserve">and</w:t>
      </w:r>
      <w:r>
        <w:t xml:space="preserve"> </w:t>
      </w:r>
      <w:r>
        <w:rPr>
          <w:rStyle w:val="VerbatimChar"/>
        </w:rPr>
        <w:t xml:space="preserve">loan_data_defaults.csv</w:t>
      </w:r>
      <w:r>
        <w:t xml:space="preserve"> </w:t>
      </w:r>
      <w:r>
        <w:t xml:space="preserve">in a folder and point</w:t>
      </w:r>
      <w:r>
        <w:t xml:space="preserve"> </w:t>
      </w:r>
      <w:r>
        <w:rPr>
          <w:rStyle w:val="VerbatimChar"/>
        </w:rPr>
        <w:t xml:space="preserve">CV_RAW_DIR</w:t>
      </w:r>
      <w:r>
        <w:t xml:space="preserve"> </w:t>
      </w:r>
      <w:r>
        <w:t xml:space="preserve">at it.</w:t>
      </w:r>
    </w:p>
    <w:p>
      <w:pPr>
        <w:pStyle w:val="SourceCode"/>
      </w:pPr>
      <w:r>
        <w:rPr>
          <w:rStyle w:val="VerbatimChar"/>
        </w:rPr>
        <w:t xml:space="preserve">cd python</w:t>
      </w:r>
      <w:r>
        <w:br/>
      </w:r>
      <w:r>
        <w:rPr>
          <w:rStyle w:val="VerbatimChar"/>
        </w:rPr>
        <w:t xml:space="preserve">py -3 -m pip install -r requirements.txt</w:t>
      </w:r>
      <w:r>
        <w:br/>
      </w:r>
      <w:r>
        <w:rPr>
          <w:rStyle w:val="VerbatimChar"/>
        </w:rPr>
        <w:t xml:space="preserve">set CV_RAW_DIR=C:\path\to\folder\with\loan_data_2007_2014.csv</w:t>
      </w:r>
      <w:r>
        <w:br/>
      </w:r>
      <w:r>
        <w:rPr>
          <w:rStyle w:val="VerbatimChar"/>
        </w:rPr>
        <w:t xml:space="preserve">py -3 -m credit_validation.cli            # full run (about 9 minutes)</w:t>
      </w:r>
      <w:r>
        <w:br/>
      </w:r>
      <w:r>
        <w:rPr>
          <w:rStyle w:val="VerbatimChar"/>
        </w:rPr>
        <w:t xml:space="preserve">py -3 -m credit_validation.cli --quick    # small run (about 2 minutes)</w:t>
      </w:r>
      <w:r>
        <w:br/>
      </w:r>
      <w:r>
        <w:rPr>
          <w:rStyle w:val="VerbatimChar"/>
        </w:rPr>
        <w:t xml:space="preserve">py -3 -m pytest -q</w:t>
      </w:r>
      <w:r>
        <w:br/>
      </w:r>
      <w:r>
        <w:rPr>
          <w:rStyle w:val="VerbatimChar"/>
        </w:rPr>
        <w:t xml:space="preserve">cd ..</w:t>
      </w:r>
      <w:r>
        <w:br/>
      </w:r>
      <w:r>
        <w:rPr>
          <w:rStyle w:val="VerbatimChar"/>
        </w:rPr>
        <w:t xml:space="preserve">py -3 docs/build_docs.py                  # rebuild this document and the README</w:t>
      </w:r>
    </w:p>
    <w:p>
      <w:pPr>
        <w:pStyle w:val="FirstParagraph"/>
      </w:pPr>
      <w:r>
        <w:t xml:space="preserve">The command-line run loads the data, builds the targets and samples, reproduces the original model, trains the scorecards and challengers, runs the validation battery, fits LGD and EAD and the expected-loss back-tests, runs the sensitivity analysis and SHAP, writes the findings log and charts, and builds and reconciles the Excel workbook (skip with</w:t>
      </w:r>
      <w:r>
        <w:t xml:space="preserve"> </w:t>
      </w:r>
      <w:r>
        <w:rPr>
          <w:rStyle w:val="VerbatimChar"/>
        </w:rPr>
        <w:t xml:space="preserve">--skip-excel</w:t>
      </w:r>
      <w:r>
        <w:t xml:space="preserve">). Every result file lands in</w:t>
      </w:r>
      <w:r>
        <w:t xml:space="preserve"> </w:t>
      </w:r>
      <w:r>
        <w:rPr>
          <w:rStyle w:val="VerbatimChar"/>
        </w:rPr>
        <w:t xml:space="preserve">python/outputs/</w:t>
      </w:r>
      <w:r>
        <w:t xml:space="preserve">.</w:t>
      </w:r>
      <w:r>
        <w:t xml:space="preserve"> </w:t>
      </w:r>
      <w:r>
        <w:rPr>
          <w:rStyle w:val="VerbatimChar"/>
        </w:rPr>
        <w:t xml:space="preserve">docs/build_docs.py</w:t>
      </w:r>
      <w:r>
        <w:t xml:space="preserve"> </w:t>
      </w:r>
      <w:r>
        <w:t xml:space="preserve">reads those files and the cached loan parquet, templates every result into the text and rebuilds the Word document, so the document always matches the last run.</w:t>
      </w:r>
    </w:p>
    <w:bookmarkEnd w:id="146"/>
    <w:bookmarkStart w:id="147" w:name="glossary"/>
    <w:p>
      <w:pPr>
        <w:pStyle w:val="Heading1"/>
      </w:pPr>
      <w:r>
        <w:rPr>
          <w:rStyle w:val="SectionNumber"/>
        </w:rPr>
        <w:t xml:space="preserve">22</w:t>
      </w:r>
      <w:r>
        <w:tab/>
      </w:r>
      <w:r>
        <w:t xml:space="preserve">Glossary</w:t>
      </w:r>
    </w:p>
    <w:p>
      <w:pPr>
        <w:pStyle w:val="Compact"/>
        <w:numPr>
          <w:ilvl w:val="0"/>
          <w:numId w:val="1008"/>
        </w:numPr>
      </w:pPr>
      <w:r>
        <w:rPr>
          <w:b/>
          <w:bCs/>
        </w:rPr>
        <w:t xml:space="preserve">AUC</w:t>
      </w:r>
      <w:r>
        <w:t xml:space="preserve">: probability that a random bad loan is ranked riskier than a random good loan.</w:t>
      </w:r>
    </w:p>
    <w:p>
      <w:pPr>
        <w:pStyle w:val="Compact"/>
        <w:numPr>
          <w:ilvl w:val="0"/>
          <w:numId w:val="1008"/>
        </w:numPr>
      </w:pPr>
      <w:r>
        <w:rPr>
          <w:b/>
          <w:bCs/>
        </w:rPr>
        <w:t xml:space="preserve">Brier score</w:t>
      </w:r>
      <w:r>
        <w:t xml:space="preserve">: mean squared difference between predicted probability and outcome.</w:t>
      </w:r>
    </w:p>
    <w:p>
      <w:pPr>
        <w:pStyle w:val="Compact"/>
        <w:numPr>
          <w:ilvl w:val="0"/>
          <w:numId w:val="1008"/>
        </w:numPr>
      </w:pPr>
      <w:r>
        <w:rPr>
          <w:b/>
          <w:bCs/>
        </w:rPr>
        <w:t xml:space="preserve">CAP</w:t>
      </w:r>
      <w:r>
        <w:t xml:space="preserve">: cumulative accuracy profile, share of bads captured against share of loans, riskiest first.</w:t>
      </w:r>
    </w:p>
    <w:p>
      <w:pPr>
        <w:pStyle w:val="Compact"/>
        <w:numPr>
          <w:ilvl w:val="0"/>
          <w:numId w:val="1008"/>
        </w:numPr>
      </w:pPr>
      <w:r>
        <w:rPr>
          <w:b/>
          <w:bCs/>
        </w:rPr>
        <w:t xml:space="preserve">CCF</w:t>
      </w:r>
      <w:r>
        <w:t xml:space="preserve">: credit conversion factor, the share of the funded amount still outstanding at default.</w:t>
      </w:r>
    </w:p>
    <w:p>
      <w:pPr>
        <w:pStyle w:val="Compact"/>
        <w:numPr>
          <w:ilvl w:val="0"/>
          <w:numId w:val="1008"/>
        </w:numPr>
      </w:pPr>
      <w:r>
        <w:rPr>
          <w:b/>
          <w:bCs/>
        </w:rPr>
        <w:t xml:space="preserve">Censoring</w:t>
      </w:r>
      <w:r>
        <w:t xml:space="preserve">: loans not observed long enough for the outcome to have occurred.</w:t>
      </w:r>
    </w:p>
    <w:p>
      <w:pPr>
        <w:pStyle w:val="Compact"/>
        <w:numPr>
          <w:ilvl w:val="0"/>
          <w:numId w:val="1008"/>
        </w:numPr>
      </w:pPr>
      <w:r>
        <w:rPr>
          <w:b/>
          <w:bCs/>
        </w:rPr>
        <w:t xml:space="preserve">CSI</w:t>
      </w:r>
      <w:r>
        <w:t xml:space="preserve">: characteristic stability index, PSI applied to one input variable.</w:t>
      </w:r>
    </w:p>
    <w:p>
      <w:pPr>
        <w:pStyle w:val="Compact"/>
        <w:numPr>
          <w:ilvl w:val="0"/>
          <w:numId w:val="1008"/>
        </w:numPr>
      </w:pPr>
      <w:r>
        <w:rPr>
          <w:b/>
          <w:bCs/>
        </w:rPr>
        <w:t xml:space="preserve">DNMCP</w:t>
      </w:r>
      <w:r>
        <w:t xml:space="preserve">: "does not meet the credit policy", a LendingClub status for loans under an earlier policy.</w:t>
      </w:r>
    </w:p>
    <w:p>
      <w:pPr>
        <w:pStyle w:val="Compact"/>
        <w:numPr>
          <w:ilvl w:val="0"/>
          <w:numId w:val="1008"/>
        </w:numPr>
      </w:pPr>
      <w:r>
        <w:rPr>
          <w:b/>
          <w:bCs/>
        </w:rPr>
        <w:t xml:space="preserve">EAD</w:t>
      </w:r>
      <w:r>
        <w:t xml:space="preserve">: exposure at default.</w:t>
      </w:r>
      <w:r>
        <w:t xml:space="preserve"> </w:t>
      </w:r>
      <w:r>
        <w:rPr>
          <w:b/>
          <w:bCs/>
        </w:rPr>
        <w:t xml:space="preserve">EL</w:t>
      </w:r>
      <w:r>
        <w:t xml:space="preserve">: expected loss, PD times LGD times EAD.</w:t>
      </w:r>
    </w:p>
    <w:p>
      <w:pPr>
        <w:pStyle w:val="Compact"/>
        <w:numPr>
          <w:ilvl w:val="0"/>
          <w:numId w:val="1008"/>
        </w:numPr>
      </w:pPr>
      <w:r>
        <w:rPr>
          <w:b/>
          <w:bCs/>
        </w:rPr>
        <w:t xml:space="preserve">Gini</w:t>
      </w:r>
      <w:r>
        <w:t xml:space="preserve">: 2 AUC minus 1.</w:t>
      </w:r>
      <w:r>
        <w:t xml:space="preserve"> </w:t>
      </w:r>
      <w:r>
        <w:rPr>
          <w:b/>
          <w:bCs/>
        </w:rPr>
        <w:t xml:space="preserve">KS</w:t>
      </w:r>
      <w:r>
        <w:t xml:space="preserve">: maximum separation between the cumulative bad and good distributions.</w:t>
      </w:r>
    </w:p>
    <w:p>
      <w:pPr>
        <w:pStyle w:val="Compact"/>
        <w:numPr>
          <w:ilvl w:val="0"/>
          <w:numId w:val="1008"/>
        </w:numPr>
      </w:pPr>
      <w:r>
        <w:rPr>
          <w:b/>
          <w:bCs/>
        </w:rPr>
        <w:t xml:space="preserve">Hosmer-Lemeshow</w:t>
      </w:r>
      <w:r>
        <w:t xml:space="preserve">: chi-squared test of predicted against observed bads in score groups.</w:t>
      </w:r>
    </w:p>
    <w:p>
      <w:pPr>
        <w:pStyle w:val="Compact"/>
        <w:numPr>
          <w:ilvl w:val="0"/>
          <w:numId w:val="1008"/>
        </w:numPr>
      </w:pPr>
      <w:r>
        <w:rPr>
          <w:b/>
          <w:bCs/>
        </w:rPr>
        <w:t xml:space="preserve">IV</w:t>
      </w:r>
      <w:r>
        <w:t xml:space="preserve">: information value, total separation of a binned variable.</w:t>
      </w:r>
    </w:p>
    <w:p>
      <w:pPr>
        <w:pStyle w:val="Compact"/>
        <w:numPr>
          <w:ilvl w:val="0"/>
          <w:numId w:val="1008"/>
        </w:numPr>
      </w:pPr>
      <w:r>
        <w:rPr>
          <w:b/>
          <w:bCs/>
        </w:rPr>
        <w:t xml:space="preserve">LGD</w:t>
      </w:r>
      <w:r>
        <w:t xml:space="preserve">: loss given default.</w:t>
      </w:r>
      <w:r>
        <w:t xml:space="preserve"> </w:t>
      </w:r>
      <w:r>
        <w:rPr>
          <w:b/>
          <w:bCs/>
        </w:rPr>
        <w:t xml:space="preserve">MRM</w:t>
      </w:r>
      <w:r>
        <w:t xml:space="preserve">: model risk management.</w:t>
      </w:r>
    </w:p>
    <w:p>
      <w:pPr>
        <w:pStyle w:val="Compact"/>
        <w:numPr>
          <w:ilvl w:val="0"/>
          <w:numId w:val="1008"/>
        </w:numPr>
      </w:pPr>
      <w:r>
        <w:rPr>
          <w:b/>
          <w:bCs/>
        </w:rPr>
        <w:t xml:space="preserve">OOT</w:t>
      </w:r>
      <w:r>
        <w:t xml:space="preserve">: out of time, a sample from a period after development.</w:t>
      </w:r>
    </w:p>
    <w:p>
      <w:pPr>
        <w:pStyle w:val="Compact"/>
        <w:numPr>
          <w:ilvl w:val="0"/>
          <w:numId w:val="1008"/>
        </w:numPr>
      </w:pPr>
      <w:r>
        <w:rPr>
          <w:b/>
          <w:bCs/>
        </w:rPr>
        <w:t xml:space="preserve">PD</w:t>
      </w:r>
      <w:r>
        <w:t xml:space="preserve">: probability of default.</w:t>
      </w:r>
      <w:r>
        <w:t xml:space="preserve"> </w:t>
      </w:r>
      <w:r>
        <w:rPr>
          <w:b/>
          <w:bCs/>
        </w:rPr>
        <w:t xml:space="preserve">PDO</w:t>
      </w:r>
      <w:r>
        <w:t xml:space="preserve">: points to double the odds.</w:t>
      </w:r>
    </w:p>
    <w:p>
      <w:pPr>
        <w:pStyle w:val="Compact"/>
        <w:numPr>
          <w:ilvl w:val="0"/>
          <w:numId w:val="1008"/>
        </w:numPr>
      </w:pPr>
      <w:r>
        <w:rPr>
          <w:b/>
          <w:bCs/>
        </w:rPr>
        <w:t xml:space="preserve">PSI</w:t>
      </w:r>
      <w:r>
        <w:t xml:space="preserve">: population stability index.</w:t>
      </w:r>
    </w:p>
    <w:p>
      <w:pPr>
        <w:pStyle w:val="Compact"/>
        <w:numPr>
          <w:ilvl w:val="0"/>
          <w:numId w:val="1008"/>
        </w:numPr>
      </w:pPr>
      <w:r>
        <w:rPr>
          <w:b/>
          <w:bCs/>
        </w:rPr>
        <w:t xml:space="preserve">SHAP</w:t>
      </w:r>
      <w:r>
        <w:t xml:space="preserve">: Shapley-value-based feature contributions.</w:t>
      </w:r>
    </w:p>
    <w:p>
      <w:pPr>
        <w:pStyle w:val="Compact"/>
        <w:numPr>
          <w:ilvl w:val="0"/>
          <w:numId w:val="1008"/>
        </w:numPr>
      </w:pPr>
      <w:r>
        <w:rPr>
          <w:b/>
          <w:bCs/>
        </w:rPr>
        <w:t xml:space="preserve">SR 11-7</w:t>
      </w:r>
      <w:r>
        <w:t xml:space="preserve">: the Federal Reserve and OCC supervisory guidance on model risk management.</w:t>
      </w:r>
    </w:p>
    <w:p>
      <w:pPr>
        <w:pStyle w:val="Compact"/>
        <w:numPr>
          <w:ilvl w:val="0"/>
          <w:numId w:val="1008"/>
        </w:numPr>
      </w:pPr>
      <w:r>
        <w:rPr>
          <w:b/>
          <w:bCs/>
        </w:rPr>
        <w:t xml:space="preserve">WoE</w:t>
      </w:r>
      <w:r>
        <w:t xml:space="preserve">: weight of evidence, the log ratio of the shares of goods and bads in a bin.</w:t>
      </w:r>
    </w:p>
    <w:bookmarkEnd w:id="147"/>
    <w:bookmarkStart w:id="148" w:name="references"/>
    <w:p>
      <w:pPr>
        <w:pStyle w:val="Heading1"/>
      </w:pPr>
      <w:r>
        <w:rPr>
          <w:rStyle w:val="SectionNumber"/>
        </w:rPr>
        <w:t xml:space="preserve">23</w:t>
      </w:r>
      <w:r>
        <w:tab/>
      </w:r>
      <w:r>
        <w:t xml:space="preserve">References</w:t>
      </w:r>
    </w:p>
    <w:p>
      <w:pPr>
        <w:pStyle w:val="FirstParagraph"/>
      </w:pPr>
      <w:r>
        <w:t xml:space="preserve">Board of Governors of the Federal Reserve System and Office of the Comptroller of the Currency (2011). Supervisory Guidance on Model Risk Management, SR Letter 11-7, April 2011.</w:t>
      </w:r>
    </w:p>
    <w:p>
      <w:pPr>
        <w:pStyle w:val="BodyText"/>
      </w:pPr>
      <w:r>
        <w:t xml:space="preserve">Basel Committee on Banking Supervision (1996). Supervisory Framework for the Use of "Backtesting" in Conjunction with the Internal Models Approach to Market Risk Capital Requirements. Bank for International Settlements.</w:t>
      </w:r>
    </w:p>
    <w:p>
      <w:pPr>
        <w:pStyle w:val="BodyText"/>
      </w:pPr>
      <w:r>
        <w:t xml:space="preserve">Siddiqi, N. (2006). Credit Risk Scorecards: Developing and Implementing Intelligent Credit Scoring. Wiley.</w:t>
      </w:r>
    </w:p>
    <w:p>
      <w:pPr>
        <w:pStyle w:val="BodyText"/>
      </w:pPr>
      <w:r>
        <w:t xml:space="preserve">DeLong, E. R., DeLong, D. M. and Clarke-Pearson, D. L. (1988). Comparing the areas under two or more correlated receiver operating characteristic curves: a nonparametric approach. Biometrics, 44(3), 837-845.</w:t>
      </w:r>
    </w:p>
    <w:p>
      <w:pPr>
        <w:pStyle w:val="BodyText"/>
      </w:pPr>
      <w:r>
        <w:t xml:space="preserve">Hosmer, D. W. and Lemeshow, S. (1980). Goodness of fit tests for the multiple logistic regression model. Communications in Statistics, Theory and Methods, A10(10), 1043-1069.</w:t>
      </w:r>
    </w:p>
    <w:p>
      <w:pPr>
        <w:pStyle w:val="BodyText"/>
      </w:pPr>
      <w:r>
        <w:t xml:space="preserve">Chen, T. and Guestrin, C. (2016). XGBoost: a scalable tree boosting system. Proceedings of the 22nd ACM SIGKDD International Conference on Knowledge Discovery and Data Mining.</w:t>
      </w:r>
    </w:p>
    <w:p>
      <w:pPr>
        <w:pStyle w:val="BodyText"/>
      </w:pPr>
      <w:r>
        <w:t xml:space="preserve">Lundberg, S. M. and Lee, S.-I. (2017). A unified approach to interpreting model predictions. Advances in Neural Information Processing Systems 30.</w:t>
      </w:r>
    </w:p>
    <w:p>
      <w:pPr>
        <w:pStyle w:val="BodyText"/>
      </w:pPr>
      <w:r>
        <w:t xml:space="preserve">LendingClub. Public loan data, loans issued 2007 to 2014. Data source for all results in this document.</w:t>
      </w:r>
    </w:p>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rPr>
  </w:style>
  <w:style w:customStyle="1" w:styleId="Heading8Char" w:type="character">
    <w:name w:val="Heading 8 Char"/>
    <w:basedOn w:val="DefaultParagraphFont"/>
    <w:link w:val="Heading8"/>
    <w:uiPriority w:val="9"/>
    <w:semiHidden/>
    <w:rsid w:val="00A10FD9"/>
    <w:rPr>
      <w:rFonts w:cstheme="majorBidi" w:eastAsiaTheme="majorEastAsia"/>
      <w:i/>
      <w:iCs/>
    </w:rPr>
  </w:style>
  <w:style w:customStyle="1" w:styleId="Heading9Char" w:type="character">
    <w:name w:val="Heading 9 Char"/>
    <w:basedOn w:val="DefaultParagraphFont"/>
    <w:link w:val="Heading9"/>
    <w:uiPriority w:val="9"/>
    <w:semiHidden/>
    <w:rsid w:val="00A10FD9"/>
    <w:rPr>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81" Type="http://schemas.openxmlformats.org/officeDocument/2006/relationships/image" Target="media/rId81.png"/><Relationship Id="rId73" Type="http://schemas.openxmlformats.org/officeDocument/2006/relationships/image" Target="media/rId73.png"/><Relationship Id="rId106" Type="http://schemas.openxmlformats.org/officeDocument/2006/relationships/image" Target="media/rId106.png"/><Relationship Id="rId77" Type="http://schemas.openxmlformats.org/officeDocument/2006/relationships/image" Target="media/rId77.png"/><Relationship Id="rId117" Type="http://schemas.openxmlformats.org/officeDocument/2006/relationships/image" Target="media/rId117.png"/><Relationship Id="rId103" Type="http://schemas.openxmlformats.org/officeDocument/2006/relationships/image" Target="media/rId103.png"/><Relationship Id="rId95" Type="http://schemas.openxmlformats.org/officeDocument/2006/relationships/image" Target="media/rId95.png"/><Relationship Id="rId70" Type="http://schemas.openxmlformats.org/officeDocument/2006/relationships/image" Target="media/rId70.png"/><Relationship Id="rId112" Type="http://schemas.openxmlformats.org/officeDocument/2006/relationships/image" Target="media/rId112.png"/><Relationship Id="rId59" Type="http://schemas.openxmlformats.org/officeDocument/2006/relationships/image" Target="media/rId59.png"/><Relationship Id="rId67" Type="http://schemas.openxmlformats.org/officeDocument/2006/relationships/image" Target="media/rId67.png"/><Relationship Id="rId43" Type="http://schemas.openxmlformats.org/officeDocument/2006/relationships/image" Target="media/rId43.png"/><Relationship Id="rId124" Type="http://schemas.openxmlformats.org/officeDocument/2006/relationships/image" Target="media/rId124.png"/><Relationship Id="rId133" Type="http://schemas.openxmlformats.org/officeDocument/2006/relationships/image" Target="media/rId133.png"/><Relationship Id="rId130" Type="http://schemas.openxmlformats.org/officeDocument/2006/relationships/image" Target="media/rId130.png"/><Relationship Id="rId46" Type="http://schemas.openxmlformats.org/officeDocument/2006/relationships/image" Target="media/rId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Validation of a LendingClub Credit Risk Model: PD, LGD, EAD and Expected Loss</dc:title>
  <dc:creator>Deepak Chaudhary</dc:creator>
  <cp:keywords/>
  <dcterms:created xsi:type="dcterms:W3CDTF">2026-10-02T14:29:24Z</dcterms:created>
  <dcterms:modified xsi:type="dcterms:W3CDTF">2026-10-02T14:29:24Z</dcterms:modified>
  <cp:lastModifiedBy>Deepak Chaudhary</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2026-10-02</vt:lpwstr>
  </property>
</Properties>
</file>