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Margin and Collateral Optimization Engine</w:t>
      </w:r>
    </w:p>
    <w:p>
      <w:pPr>
        <w:pStyle w:val="Subtitle"/>
      </w:pPr>
      <w:r>
        <w:t xml:space="preserve">SIMM-style initial margin and a linear program that picks the cheapest collateral. A step-by-step guide for readers with no background.</w:t>
      </w:r>
    </w:p>
    <w:p>
      <w:pPr>
        <w:pStyle w:val="Author"/>
      </w:pPr>
      <w:r>
        <w:t xml:space="preserve">Deepak Chaudhary</w:t>
      </w:r>
    </w:p>
    <w:p>
      <w:pPr>
        <w:pStyle w:val="Date"/>
      </w:pPr>
      <w:r>
        <w:t xml:space="preserve">October 2026</w:t>
      </w:r>
    </w:p>
    <w:bookmarkStart w:id="9" w:name="what-this-project-does-in-plain-words"/>
    <w:p>
      <w:pPr>
        <w:pStyle w:val="Heading1"/>
      </w:pPr>
      <w:r>
        <w:t xml:space="preserve">1. What this project does, in plain words</w:t>
      </w:r>
    </w:p>
    <w:p>
      <w:pPr>
        <w:pStyle w:val="FirstParagraph"/>
      </w:pPr>
      <w:r>
        <w:t xml:space="preserve">When two financial firms trade derivatives with each other (for example an interest rate swap), each worries the other might fail to pay. To protect against that, regulation requires each side to hand the other a safety deposit called</w:t>
      </w:r>
      <w:r>
        <w:t xml:space="preserve"> </w:t>
      </w:r>
      <w:r>
        <w:rPr>
          <w:b/>
          <w:bCs/>
        </w:rPr>
        <w:t xml:space="preserve">initial margin (IM)</w:t>
      </w:r>
      <w:r>
        <w:t xml:space="preserve">. The deposit is not cash only: it can be made of</w:t>
      </w:r>
      <w:r>
        <w:t xml:space="preserve"> </w:t>
      </w:r>
      <w:r>
        <w:rPr>
          <w:b/>
          <w:bCs/>
        </w:rPr>
        <w:t xml:space="preserve">collateral</w:t>
      </w:r>
      <w:r>
        <w:t xml:space="preserve">, meaning assets such as cash, government bonds, corporate bonds or shares, each with a safety discount called a</w:t>
      </w:r>
      <w:r>
        <w:t xml:space="preserve"> </w:t>
      </w:r>
      <w:r>
        <w:rPr>
          <w:b/>
          <w:bCs/>
        </w:rPr>
        <w:t xml:space="preserve">haircut</w:t>
      </w:r>
      <w:r>
        <w:t xml:space="preserve">.</w:t>
      </w:r>
    </w:p>
    <w:p>
      <w:pPr>
        <w:pStyle w:val="BodyText"/>
      </w:pPr>
      <w:r>
        <w:t xml:space="preserve">Two questions follow, and this project answers both with code:</w:t>
      </w:r>
    </w:p>
    <w:p>
      <w:pPr>
        <w:pStyle w:val="Compact"/>
        <w:numPr>
          <w:ilvl w:val="0"/>
          <w:numId w:val="1001"/>
        </w:numPr>
      </w:pPr>
      <w:r>
        <w:rPr>
          <w:b/>
          <w:bCs/>
        </w:rPr>
        <w:t xml:space="preserve">How big is the deposit?</w:t>
      </w:r>
      <w:r>
        <w:t xml:space="preserve"> </w:t>
      </w:r>
      <w:r>
        <w:t xml:space="preserve">The project computes a simplified,</w:t>
      </w:r>
      <w:r>
        <w:t xml:space="preserve"> </w:t>
      </w:r>
      <w:r>
        <w:rPr>
          <w:b/>
          <w:bCs/>
        </w:rPr>
        <w:t xml:space="preserve">SIMM-style</w:t>
      </w:r>
      <w:r>
        <w:t xml:space="preserve"> </w:t>
      </w:r>
      <w:r>
        <w:t xml:space="preserve">initial margin for two counterparties.</w:t>
      </w:r>
    </w:p>
    <w:p>
      <w:pPr>
        <w:pStyle w:val="Compact"/>
        <w:numPr>
          <w:ilvl w:val="0"/>
          <w:numId w:val="1001"/>
        </w:numPr>
      </w:pPr>
      <w:r>
        <w:rPr>
          <w:b/>
          <w:bCs/>
        </w:rPr>
        <w:t xml:space="preserve">What is the cheapest way to pay it?</w:t>
      </w:r>
      <w:r>
        <w:t xml:space="preserve"> </w:t>
      </w:r>
      <w:r>
        <w:t xml:space="preserve">Posting cash is expensive because the firm gives up the interest it could earn on that cash. Posting a government bond the firm already owns is much cheaper. A</w:t>
      </w:r>
      <w:r>
        <w:t xml:space="preserve"> </w:t>
      </w:r>
      <w:r>
        <w:rPr>
          <w:b/>
          <w:bCs/>
        </w:rPr>
        <w:t xml:space="preserve">linear program</w:t>
      </w:r>
      <w:r>
        <w:t xml:space="preserve"> </w:t>
      </w:r>
      <w:r>
        <w:t xml:space="preserve">chooses the least costly mix of assets that still covers each deposit after haircuts.</w:t>
      </w:r>
    </w:p>
    <w:p>
      <w:pPr>
        <w:pStyle w:val="FirstParagraph"/>
      </w:pPr>
      <w:r>
        <w:rPr>
          <w:b/>
          <w:bCs/>
        </w:rPr>
        <w:t xml:space="preserve">Headline result (pinned market snapshot).</w:t>
      </w:r>
      <w:r>
        <w:t xml:space="preserve"> </w:t>
      </w:r>
      <w:r>
        <w:t xml:space="preserve">Total IM is about $20.41 million. Posting it all in cash costs about $918,247 a year in lost funding income. The optimized mix costs about $31,290 a year, a saving of $886,957 (96.6%).</w:t>
      </w:r>
    </w:p>
    <w:p>
      <w:pPr>
        <w:pStyle w:val="BodyText"/>
      </w:pPr>
      <w:r>
        <w:rPr>
          <w:b/>
          <w:bCs/>
        </w:rPr>
        <w:t xml:space="preserve">Honest labelling.</w:t>
      </w:r>
      <w:r>
        <w:t xml:space="preserve"> </w:t>
      </w:r>
      <w:r>
        <w:rPr>
          <w:i/>
          <w:iCs/>
        </w:rPr>
        <w:t xml:space="preserve">SIMM-style</w:t>
      </w:r>
      <w:r>
        <w:t xml:space="preserve"> </w:t>
      </w:r>
      <w:r>
        <w:t xml:space="preserve">means a simplified illustration of the ISDA SIMM idea (risk weights, then aggregation with a correlation). It is</w:t>
      </w:r>
      <w:r>
        <w:t xml:space="preserve"> </w:t>
      </w:r>
      <w:r>
        <w:rPr>
          <w:b/>
          <w:bCs/>
        </w:rPr>
        <w:t xml:space="preserve">not</w:t>
      </w:r>
      <w:r>
        <w:t xml:space="preserve"> </w:t>
      </w:r>
      <w:r>
        <w:t xml:space="preserve">the ISDA SIMM model, is not ISDA certified, and its parameters are illustrative.</w:t>
      </w:r>
    </w:p>
    <w:bookmarkEnd w:id="9"/>
    <w:bookmarkStart w:id="15" w:name="background-from-scratch"/>
    <w:p>
      <w:pPr>
        <w:pStyle w:val="Heading1"/>
      </w:pPr>
      <w:r>
        <w:t xml:space="preserve">2. Background, from scratch</w:t>
      </w:r>
    </w:p>
    <w:bookmarkStart w:id="10" w:name="derivative-counterparty-and-netting-set"/>
    <w:p>
      <w:pPr>
        <w:pStyle w:val="Heading2"/>
      </w:pPr>
      <w:r>
        <w:t xml:space="preserve">2.1 Derivative, counterparty and netting set</w:t>
      </w:r>
    </w:p>
    <w:p>
      <w:pPr>
        <w:pStyle w:val="FirstParagraph"/>
      </w:pPr>
      <w:r>
        <w:t xml:space="preserve">A</w:t>
      </w:r>
      <w:r>
        <w:t xml:space="preserve"> </w:t>
      </w:r>
      <w:r>
        <w:rPr>
          <w:b/>
          <w:bCs/>
        </w:rPr>
        <w:t xml:space="preserve">derivative</w:t>
      </w:r>
      <w:r>
        <w:t xml:space="preserve"> </w:t>
      </w:r>
      <w:r>
        <w:t xml:space="preserve">is a contract whose value depends on something else, such as a share price, an exchange rate or an interest rate. The firm on the other side of the contract is the</w:t>
      </w:r>
      <w:r>
        <w:t xml:space="preserve"> </w:t>
      </w:r>
      <w:r>
        <w:rPr>
          <w:b/>
          <w:bCs/>
        </w:rPr>
        <w:t xml:space="preserve">counterparty</w:t>
      </w:r>
      <w:r>
        <w:t xml:space="preserve">. All trades with one counterparty under one legal agreement can be</w:t>
      </w:r>
      <w:r>
        <w:t xml:space="preserve"> </w:t>
      </w:r>
      <w:r>
        <w:rPr>
          <w:b/>
          <w:bCs/>
        </w:rPr>
        <w:t xml:space="preserve">netted</w:t>
      </w:r>
      <w:r>
        <w:t xml:space="preserve">, meaning gains on some trades offset losses on others, and only the net amount matters. That bundle is a</w:t>
      </w:r>
      <w:r>
        <w:t xml:space="preserve"> </w:t>
      </w:r>
      <w:r>
        <w:rPr>
          <w:b/>
          <w:bCs/>
        </w:rPr>
        <w:t xml:space="preserve">netting set</w:t>
      </w:r>
      <w:r>
        <w:t xml:space="preserve">.</w:t>
      </w:r>
    </w:p>
    <w:bookmarkEnd w:id="10"/>
    <w:bookmarkStart w:id="11" w:name="why-margin-exists"/>
    <w:p>
      <w:pPr>
        <w:pStyle w:val="Heading2"/>
      </w:pPr>
      <w:r>
        <w:t xml:space="preserve">2.2 Why margin exists</w:t>
      </w:r>
    </w:p>
    <w:p>
      <w:pPr>
        <w:pStyle w:val="FirstParagraph"/>
      </w:pPr>
      <w:r>
        <w:t xml:space="preserve">If the counterparty defaults, the survivor may lose money while replacing the trades.</w:t>
      </w:r>
      <w:r>
        <w:t xml:space="preserve"> </w:t>
      </w:r>
      <w:r>
        <w:rPr>
          <w:b/>
          <w:bCs/>
        </w:rPr>
        <w:t xml:space="preserve">Margin</w:t>
      </w:r>
      <w:r>
        <w:t xml:space="preserve"> </w:t>
      </w:r>
      <w:r>
        <w:t xml:space="preserve">reduces that loss. There are two kinds:</w:t>
      </w:r>
    </w:p>
    <w:p>
      <w:pPr>
        <w:pStyle w:val="Compact"/>
        <w:numPr>
          <w:ilvl w:val="0"/>
          <w:numId w:val="1002"/>
        </w:numPr>
      </w:pPr>
      <w:r>
        <w:rPr>
          <w:b/>
          <w:bCs/>
        </w:rPr>
        <w:t xml:space="preserve">Variation margin (VM):</w:t>
      </w:r>
      <w:r>
        <w:t xml:space="preserve"> </w:t>
      </w:r>
      <w:r>
        <w:t xml:space="preserve">daily payments that follow the current profit or loss of the trades.</w:t>
      </w:r>
    </w:p>
    <w:p>
      <w:pPr>
        <w:pStyle w:val="Compact"/>
        <w:numPr>
          <w:ilvl w:val="0"/>
          <w:numId w:val="1002"/>
        </w:numPr>
      </w:pPr>
      <w:r>
        <w:rPr>
          <w:b/>
          <w:bCs/>
        </w:rPr>
        <w:t xml:space="preserve">Initial margin (IM):</w:t>
      </w:r>
      <w:r>
        <w:t xml:space="preserve"> </w:t>
      </w:r>
      <w:r>
        <w:t xml:space="preserve">an extra buffer sized to cover the loss that could happen between the default and the close-out of the trades, with a high degree of confidence.</w:t>
      </w:r>
    </w:p>
    <w:p>
      <w:pPr>
        <w:pStyle w:val="FirstParagraph"/>
      </w:pPr>
      <w:r>
        <w:t xml:space="preserve">This project is about IM.</w:t>
      </w:r>
    </w:p>
    <w:bookmarkEnd w:id="11"/>
    <w:bookmarkStart w:id="12" w:name="what-isda-simm-is"/>
    <w:p>
      <w:pPr>
        <w:pStyle w:val="Heading2"/>
      </w:pPr>
      <w:r>
        <w:t xml:space="preserve">2.3 What ISDA SIMM is</w:t>
      </w:r>
    </w:p>
    <w:p>
      <w:pPr>
        <w:pStyle w:val="FirstParagraph"/>
      </w:pPr>
      <w:r>
        <w:t xml:space="preserve">The</w:t>
      </w:r>
      <w:r>
        <w:t xml:space="preserve"> </w:t>
      </w:r>
      <w:r>
        <w:rPr>
          <w:b/>
          <w:bCs/>
        </w:rPr>
        <w:t xml:space="preserve">ISDA Standard Initial Margin Model (SIMM)</w:t>
      </w:r>
      <w:r>
        <w:t xml:space="preserve"> </w:t>
      </w:r>
      <w:r>
        <w:t xml:space="preserve">is an industry-agreed formula that both sides can compute and agree on. In outline:</w:t>
      </w:r>
    </w:p>
    <w:p>
      <w:pPr>
        <w:pStyle w:val="Compact"/>
        <w:numPr>
          <w:ilvl w:val="0"/>
          <w:numId w:val="1003"/>
        </w:numPr>
      </w:pPr>
      <w:r>
        <w:t xml:space="preserve">Measure</w:t>
      </w:r>
      <w:r>
        <w:t xml:space="preserve"> </w:t>
      </w:r>
      <w:r>
        <w:rPr>
          <w:b/>
          <w:bCs/>
        </w:rPr>
        <w:t xml:space="preserve">sensitivities</w:t>
      </w:r>
      <w:r>
        <w:t xml:space="preserve">: how much the trades' value changes if a risk factor (a share price, FX rate, interest rate) moves a little.</w:t>
      </w:r>
    </w:p>
    <w:p>
      <w:pPr>
        <w:pStyle w:val="Compact"/>
        <w:numPr>
          <w:ilvl w:val="0"/>
          <w:numId w:val="1003"/>
        </w:numPr>
      </w:pPr>
      <w:r>
        <w:t xml:space="preserve">Multiply each sensitivity by a</w:t>
      </w:r>
      <w:r>
        <w:t xml:space="preserve"> </w:t>
      </w:r>
      <w:r>
        <w:rPr>
          <w:b/>
          <w:bCs/>
        </w:rPr>
        <w:t xml:space="preserve">risk weight</w:t>
      </w:r>
      <w:r>
        <w:t xml:space="preserve"> </w:t>
      </w:r>
      <w:r>
        <w:t xml:space="preserve">that reflects how much that factor tends to move.</w:t>
      </w:r>
    </w:p>
    <w:p>
      <w:pPr>
        <w:pStyle w:val="Compact"/>
        <w:numPr>
          <w:ilvl w:val="0"/>
          <w:numId w:val="1003"/>
        </w:numPr>
      </w:pPr>
      <w:r>
        <w:t xml:space="preserve">Combine the weighted numbers with</w:t>
      </w:r>
      <w:r>
        <w:t xml:space="preserve"> </w:t>
      </w:r>
      <w:r>
        <w:rPr>
          <w:b/>
          <w:bCs/>
        </w:rPr>
        <w:t xml:space="preserve">correlations</w:t>
      </w:r>
      <w:r>
        <w:t xml:space="preserve">, so that risks that do not move together partly offset.</w:t>
      </w:r>
    </w:p>
    <w:p>
      <w:pPr>
        <w:pStyle w:val="FirstParagraph"/>
      </w:pPr>
      <w:r>
        <w:t xml:space="preserve">The result is a single dollar number for each counterparty.</w:t>
      </w:r>
    </w:p>
    <w:bookmarkEnd w:id="12"/>
    <w:bookmarkStart w:id="13" w:name="collateral-haircuts-and-opportunity-cost"/>
    <w:p>
      <w:pPr>
        <w:pStyle w:val="Heading2"/>
      </w:pPr>
      <w:r>
        <w:t xml:space="preserve">2.4 Collateral, haircuts and opportunity cost</w:t>
      </w:r>
    </w:p>
    <w:p>
      <w:pPr>
        <w:pStyle w:val="Compact"/>
        <w:numPr>
          <w:ilvl w:val="0"/>
          <w:numId w:val="1004"/>
        </w:numPr>
      </w:pPr>
      <w:r>
        <w:rPr>
          <w:b/>
          <w:bCs/>
        </w:rPr>
        <w:t xml:space="preserve">Eligible collateral</w:t>
      </w:r>
      <w:r>
        <w:t xml:space="preserve"> </w:t>
      </w:r>
      <w:r>
        <w:t xml:space="preserve">is the list of assets a counterparty will accept.</w:t>
      </w:r>
    </w:p>
    <w:p>
      <w:pPr>
        <w:pStyle w:val="Compact"/>
        <w:numPr>
          <w:ilvl w:val="0"/>
          <w:numId w:val="1004"/>
        </w:numPr>
      </w:pPr>
      <w:r>
        <w:t xml:space="preserve">A</w:t>
      </w:r>
      <w:r>
        <w:t xml:space="preserve"> </w:t>
      </w:r>
      <w:r>
        <w:rPr>
          <w:b/>
          <w:bCs/>
        </w:rPr>
        <w:t xml:space="preserve">haircut</w:t>
      </w:r>
      <w:r>
        <w:t xml:space="preserve"> </w:t>
      </w:r>
      <w:r>
        <w:t xml:space="preserve">is a discount applied to the market value. A bond worth $100 with a 4% haircut counts as only $96 towards the margin requirement. Riskier or longer-dated assets get larger haircuts. The haircuts here follow the BCBS-IOSCO standard schedule by asset type.</w:t>
      </w:r>
    </w:p>
    <w:p>
      <w:pPr>
        <w:pStyle w:val="Compact"/>
        <w:numPr>
          <w:ilvl w:val="0"/>
          <w:numId w:val="1004"/>
        </w:numPr>
      </w:pPr>
      <w:r>
        <w:rPr>
          <w:b/>
          <w:bCs/>
        </w:rPr>
        <w:t xml:space="preserve">Opportunity cost</w:t>
      </w:r>
      <w:r>
        <w:t xml:space="preserve"> </w:t>
      </w:r>
      <w:r>
        <w:t xml:space="preserve">is what the firm gives up by posting an asset instead of using it elsewhere. For cash, that is the funding rate it could otherwise earn (about 450 basis points a year here; 1 basis point is 0.01%). For a government bond the firm holds anyway, the incremental cost is small (for example 15 to 35 basis points).</w:t>
      </w:r>
    </w:p>
    <w:bookmarkEnd w:id="13"/>
    <w:bookmarkStart w:id="14" w:name="linear-programming"/>
    <w:p>
      <w:pPr>
        <w:pStyle w:val="Heading2"/>
      </w:pPr>
      <w:r>
        <w:t xml:space="preserve">2.5 Linear programming</w:t>
      </w:r>
    </w:p>
    <w:p>
      <w:pPr>
        <w:pStyle w:val="FirstParagraph"/>
      </w:pPr>
      <w:r>
        <w:t xml:space="preserve">A</w:t>
      </w:r>
      <w:r>
        <w:t xml:space="preserve"> </w:t>
      </w:r>
      <w:r>
        <w:rPr>
          <w:b/>
          <w:bCs/>
        </w:rPr>
        <w:t xml:space="preserve">linear program (LP)</w:t>
      </w:r>
      <w:r>
        <w:t xml:space="preserve"> </w:t>
      </w:r>
      <w:r>
        <w:t xml:space="preserve">finds the best values of some decision variables to minimise a cost, when both the cost and the rules (constraints) are straight-line (linear) expressions. Here the decision variables are: how much market value of each asset to post to each counterparty. The cost is opportunity cost. The rules are: cover each counterparty's IM after haircuts, respect eligibility, and do not post more of an asset than the firm owns.</w:t>
      </w:r>
    </w:p>
    <w:bookmarkEnd w:id="14"/>
    <w:bookmarkEnd w:id="15"/>
    <w:bookmarkStart w:id="16" w:name="inputs"/>
    <w:p>
      <w:pPr>
        <w:pStyle w:val="Heading1"/>
      </w:pPr>
      <w:r>
        <w:t xml:space="preserve">3. Inputs</w:t>
      </w:r>
    </w:p>
    <w:p>
      <w:pPr>
        <w:pStyle w:val="FirstParagraph"/>
      </w:pPr>
      <w:r>
        <w:t xml:space="preserve">All inputs sit in one config block (</w:t>
      </w:r>
      <w:r>
        <w:rPr>
          <w:rStyle w:val="VerbatimChar"/>
        </w:rPr>
        <w:t xml:space="preserve">python/margin_engine/config.py</w:t>
      </w:r>
      <w:r>
        <w:t xml:space="preserve">) and are mirrored in the Excel</w:t>
      </w:r>
      <w:r>
        <w:t xml:space="preserve"> </w:t>
      </w:r>
      <w:r>
        <w:rPr>
          <w:rStyle w:val="VerbatimChar"/>
        </w:rPr>
        <w:t xml:space="preserve">Inputs</w:t>
      </w:r>
      <w:r>
        <w:t xml:space="preserve"> </w:t>
      </w:r>
      <w:r>
        <w:t xml:space="preserve">sheet.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Input</w:t>
            </w:r>
          </w:p>
        </w:tc>
        <w:tc>
          <w:tcPr/>
          <w:p>
            <w:pPr>
              <w:pStyle w:val="Compact"/>
              <w:jc w:val="right"/>
            </w:pPr>
            <w:r>
              <w:t xml:space="preserve">Value</w:t>
            </w:r>
          </w:p>
        </w:tc>
      </w:tr>
      <w:tr>
        <w:tc>
          <w:tcPr/>
          <w:p>
            <w:pPr>
              <w:pStyle w:val="Compact"/>
              <w:jc w:val="left"/>
            </w:pPr>
            <w:r>
              <w:t xml:space="preserve">AAPL, JPM, XOM share prices</w:t>
            </w:r>
          </w:p>
        </w:tc>
        <w:tc>
          <w:tcPr/>
          <w:p>
            <w:pPr>
              <w:pStyle w:val="Compact"/>
              <w:jc w:val="right"/>
            </w:pPr>
            <w:r>
              <w:t xml:space="preserve">$341.07, $343.06, $160.59</w:t>
            </w:r>
          </w:p>
        </w:tc>
      </w:tr>
      <w:tr>
        <w:tc>
          <w:tcPr/>
          <w:p>
            <w:pPr>
              <w:pStyle w:val="Compact"/>
              <w:jc w:val="left"/>
            </w:pPr>
            <w:r>
              <w:t xml:space="preserve">EURUSD</w:t>
            </w:r>
          </w:p>
        </w:tc>
        <w:tc>
          <w:tcPr/>
          <w:p>
            <w:pPr>
              <w:pStyle w:val="Compact"/>
              <w:jc w:val="right"/>
            </w:pPr>
            <w:r>
              <w:t xml:space="preserve">1.1401</w:t>
            </w:r>
          </w:p>
        </w:tc>
      </w:tr>
      <w:tr>
        <w:tc>
          <w:tcPr/>
          <w:p>
            <w:pPr>
              <w:pStyle w:val="Compact"/>
              <w:jc w:val="left"/>
            </w:pPr>
            <w:r>
              <w:t xml:space="preserve">US 10-year yield</w:t>
            </w:r>
          </w:p>
        </w:tc>
        <w:tc>
          <w:tcPr/>
          <w:p>
            <w:pPr>
              <w:pStyle w:val="Compact"/>
              <w:jc w:val="right"/>
            </w:pPr>
            <w:r>
              <w:t xml:space="preserve">5.18%</w:t>
            </w:r>
          </w:p>
        </w:tc>
      </w:tr>
      <w:tr>
        <w:tc>
          <w:tcPr/>
          <w:p>
            <w:pPr>
              <w:pStyle w:val="Compact"/>
              <w:jc w:val="left"/>
            </w:pPr>
            <w:r>
              <w:t xml:space="preserve">Risk weights: equity, FX, rate</w:t>
            </w:r>
          </w:p>
        </w:tc>
        <w:tc>
          <w:tcPr/>
          <w:p>
            <w:pPr>
              <w:pStyle w:val="Compact"/>
              <w:jc w:val="right"/>
            </w:pPr>
            <w:r>
              <w:t xml:space="preserve">24%, 15.5%, 1.9%</w:t>
            </w:r>
          </w:p>
        </w:tc>
      </w:tr>
      <w:tr>
        <w:tc>
          <w:tcPr/>
          <w:p>
            <w:pPr>
              <w:pStyle w:val="Compact"/>
              <w:jc w:val="left"/>
            </w:pPr>
            <w:r>
              <w:t xml:space="preserve">Cross-risk-class correlation</w:t>
            </w:r>
          </w:p>
        </w:tc>
        <w:tc>
          <w:tcPr/>
          <w:p>
            <w:pPr>
              <w:pStyle w:val="Compact"/>
              <w:jc w:val="right"/>
            </w:pPr>
            <w:r>
              <w:t xml:space="preserve">30%</w:t>
            </w:r>
          </w:p>
        </w:tc>
      </w:tr>
      <w:tr>
        <w:tc>
          <w:tcPr/>
          <w:p>
            <w:pPr>
              <w:pStyle w:val="Compact"/>
              <w:jc w:val="left"/>
            </w:pPr>
            <w:r>
              <w:t xml:space="preserve">Cash opportunity cost</w:t>
            </w:r>
          </w:p>
        </w:tc>
        <w:tc>
          <w:tcPr/>
          <w:p>
            <w:pPr>
              <w:pStyle w:val="Compact"/>
              <w:jc w:val="right"/>
            </w:pPr>
            <w:r>
              <w:t xml:space="preserve">450 bps a year</w:t>
            </w:r>
          </w:p>
        </w:tc>
      </w:tr>
    </w:tbl>
    <w:p>
      <w:pPr>
        <w:pStyle w:val="BodyText"/>
      </w:pPr>
      <w:r>
        <w:t xml:space="preserve">The prices are a pinned snapshot rounded to cents. The original run used live, unrounded prices, which moves the total IM by about $8 (0.00004%).</w:t>
      </w:r>
    </w:p>
    <w:p>
      <w:pPr>
        <w:pStyle w:val="BodyText"/>
      </w:pPr>
      <w:r>
        <w:rPr>
          <w:b/>
          <w:bCs/>
        </w:rPr>
        <w:t xml:space="preserve">Two counterparties.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Counterparty A (equity-heavy)</w:t>
            </w:r>
          </w:p>
        </w:tc>
        <w:tc>
          <w:tcPr/>
          <w:p>
            <w:pPr>
              <w:pStyle w:val="Compact"/>
              <w:jc w:val="right"/>
            </w:pPr>
            <w:r>
              <w:t xml:space="preserve">Counterparty B (rates-heavy)</w:t>
            </w:r>
          </w:p>
        </w:tc>
      </w:tr>
      <w:tr>
        <w:tc>
          <w:tcPr/>
          <w:p>
            <w:pPr>
              <w:pStyle w:val="Compact"/>
              <w:jc w:val="left"/>
            </w:pPr>
            <w:r>
              <w:t xml:space="preserve">Shares</w:t>
            </w:r>
          </w:p>
        </w:tc>
        <w:tc>
          <w:tcPr/>
          <w:p>
            <w:pPr>
              <w:pStyle w:val="Compact"/>
              <w:jc w:val="right"/>
            </w:pPr>
            <w:r>
              <w:t xml:space="preserve">3,000 AAPL, 2,000 JPM</w:t>
            </w:r>
          </w:p>
        </w:tc>
        <w:tc>
          <w:tcPr/>
          <w:p>
            <w:pPr>
              <w:pStyle w:val="Compact"/>
              <w:jc w:val="right"/>
            </w:pPr>
            <w:r>
              <w:t xml:space="preserve">500 XOM</w:t>
            </w:r>
          </w:p>
        </w:tc>
      </w:tr>
      <w:tr>
        <w:tc>
          <w:tcPr/>
          <w:p>
            <w:pPr>
              <w:pStyle w:val="Compact"/>
              <w:jc w:val="left"/>
            </w:pPr>
            <w:r>
              <w:t xml:space="preserve">EUR notional</w:t>
            </w:r>
          </w:p>
        </w:tc>
        <w:tc>
          <w:tcPr/>
          <w:p>
            <w:pPr>
              <w:pStyle w:val="Compact"/>
              <w:jc w:val="right"/>
            </w:pPr>
            <w:r>
              <w:t xml:space="preserve">5,000,000</w:t>
            </w:r>
          </w:p>
        </w:tc>
        <w:tc>
          <w:tcPr/>
          <w:p>
            <w:pPr>
              <w:pStyle w:val="Compact"/>
              <w:jc w:val="right"/>
            </w:pPr>
            <w:r>
              <w:t xml:space="preserve">1,000,000</w:t>
            </w:r>
          </w:p>
        </w:tc>
      </w:tr>
      <w:tr>
        <w:tc>
          <w:tcPr/>
          <w:p>
            <w:pPr>
              <w:pStyle w:val="Compact"/>
              <w:jc w:val="left"/>
            </w:pPr>
            <w:r>
              <w:t xml:space="preserve">USD rate notional</w:t>
            </w:r>
          </w:p>
        </w:tc>
        <w:tc>
          <w:tcPr/>
          <w:p>
            <w:pPr>
              <w:pStyle w:val="Compact"/>
              <w:jc w:val="right"/>
            </w:pPr>
            <w:r>
              <w:t xml:space="preserve">30,000,000</w:t>
            </w:r>
          </w:p>
        </w:tc>
        <w:tc>
          <w:tcPr/>
          <w:p>
            <w:pPr>
              <w:pStyle w:val="Compact"/>
              <w:jc w:val="right"/>
            </w:pPr>
            <w:r>
              <w:t xml:space="preserve">80,000,000</w:t>
            </w:r>
          </w:p>
        </w:tc>
      </w:tr>
    </w:tbl>
    <w:p>
      <w:pPr>
        <w:pStyle w:val="BodyText"/>
      </w:pPr>
      <w:r>
        <w:rPr>
          <w:b/>
          <w:bCs/>
        </w:rPr>
        <w:t xml:space="preserve">Collateral inventory.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w:t>
            </w:r>
          </w:p>
        </w:tc>
        <w:tc>
          <w:tcPr/>
          <w:p>
            <w:pPr>
              <w:pStyle w:val="Compact"/>
              <w:jc w:val="right"/>
            </w:pPr>
            <w:r>
              <w:t xml:space="preserve">Market value</w:t>
            </w:r>
          </w:p>
        </w:tc>
        <w:tc>
          <w:tcPr/>
          <w:p>
            <w:pPr>
              <w:pStyle w:val="Compact"/>
              <w:jc w:val="right"/>
            </w:pPr>
            <w:r>
              <w:t xml:space="preserve">Haircut</w:t>
            </w:r>
          </w:p>
        </w:tc>
        <w:tc>
          <w:tcPr/>
          <w:p>
            <w:pPr>
              <w:pStyle w:val="Compact"/>
              <w:jc w:val="right"/>
            </w:pPr>
            <w:r>
              <w:t xml:space="preserve">Opportunity cost (bps)</w:t>
            </w:r>
          </w:p>
        </w:tc>
        <w:tc>
          <w:tcPr/>
          <w:p>
            <w:pPr>
              <w:pStyle w:val="Compact"/>
              <w:jc w:val="center"/>
            </w:pPr>
            <w:r>
              <w:t xml:space="preserve">Eligible for A</w:t>
            </w:r>
          </w:p>
        </w:tc>
        <w:tc>
          <w:tcPr/>
          <w:p>
            <w:pPr>
              <w:pStyle w:val="Compact"/>
              <w:jc w:val="center"/>
            </w:pPr>
            <w:r>
              <w:t xml:space="preserve">Eligible for B</w:t>
            </w:r>
          </w:p>
        </w:tc>
      </w:tr>
      <w:tr>
        <w:tc>
          <w:tcPr/>
          <w:p>
            <w:pPr>
              <w:pStyle w:val="Compact"/>
              <w:jc w:val="left"/>
            </w:pPr>
            <w:r>
              <w:t xml:space="preserve">Cash (USD)</w:t>
            </w:r>
          </w:p>
        </w:tc>
        <w:tc>
          <w:tcPr/>
          <w:p>
            <w:pPr>
              <w:pStyle w:val="Compact"/>
              <w:jc w:val="right"/>
            </w:pPr>
            <w:r>
              <w:t xml:space="preserve">15,000,000</w:t>
            </w:r>
          </w:p>
        </w:tc>
        <w:tc>
          <w:tcPr/>
          <w:p>
            <w:pPr>
              <w:pStyle w:val="Compact"/>
              <w:jc w:val="right"/>
            </w:pPr>
            <w:r>
              <w:t xml:space="preserve">0.0%</w:t>
            </w:r>
          </w:p>
        </w:tc>
        <w:tc>
          <w:tcPr/>
          <w:p>
            <w:pPr>
              <w:pStyle w:val="Compact"/>
              <w:jc w:val="right"/>
            </w:pPr>
            <w:r>
              <w:t xml:space="preserve">450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US Treasury under 1Y</w:t>
            </w:r>
          </w:p>
        </w:tc>
        <w:tc>
          <w:tcPr/>
          <w:p>
            <w:pPr>
              <w:pStyle w:val="Compact"/>
              <w:jc w:val="right"/>
            </w:pPr>
            <w:r>
              <w:t xml:space="preserve">20,000,000</w:t>
            </w:r>
          </w:p>
        </w:tc>
        <w:tc>
          <w:tcPr/>
          <w:p>
            <w:pPr>
              <w:pStyle w:val="Compact"/>
              <w:jc w:val="right"/>
            </w:pPr>
            <w:r>
              <w:t xml:space="preserve">0.5%</w:t>
            </w:r>
          </w:p>
        </w:tc>
        <w:tc>
          <w:tcPr/>
          <w:p>
            <w:pPr>
              <w:pStyle w:val="Compact"/>
              <w:jc w:val="right"/>
            </w:pPr>
            <w:r>
              <w:t xml:space="preserve">15</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US Treasury 1-5Y</w:t>
            </w:r>
          </w:p>
        </w:tc>
        <w:tc>
          <w:tcPr/>
          <w:p>
            <w:pPr>
              <w:pStyle w:val="Compact"/>
              <w:jc w:val="right"/>
            </w:pPr>
            <w:r>
              <w:t xml:space="preserve">25,000,000</w:t>
            </w:r>
          </w:p>
        </w:tc>
        <w:tc>
          <w:tcPr/>
          <w:p>
            <w:pPr>
              <w:pStyle w:val="Compact"/>
              <w:jc w:val="right"/>
            </w:pPr>
            <w:r>
              <w:t xml:space="preserve">2.0%</w:t>
            </w:r>
          </w:p>
        </w:tc>
        <w:tc>
          <w:tcPr/>
          <w:p>
            <w:pPr>
              <w:pStyle w:val="Compact"/>
              <w:jc w:val="right"/>
            </w:pPr>
            <w:r>
              <w:t xml:space="preserve">25</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US Treasury 5-10Y</w:t>
            </w:r>
          </w:p>
        </w:tc>
        <w:tc>
          <w:tcPr/>
          <w:p>
            <w:pPr>
              <w:pStyle w:val="Compact"/>
              <w:jc w:val="right"/>
            </w:pPr>
            <w:r>
              <w:t xml:space="preserve">15,000,000</w:t>
            </w:r>
          </w:p>
        </w:tc>
        <w:tc>
          <w:tcPr/>
          <w:p>
            <w:pPr>
              <w:pStyle w:val="Compact"/>
              <w:jc w:val="right"/>
            </w:pPr>
            <w:r>
              <w:t xml:space="preserve">4.0%</w:t>
            </w:r>
          </w:p>
        </w:tc>
        <w:tc>
          <w:tcPr/>
          <w:p>
            <w:pPr>
              <w:pStyle w:val="Compact"/>
              <w:jc w:val="right"/>
            </w:pPr>
            <w:r>
              <w:t xml:space="preserve">35</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IG corporate bonds</w:t>
            </w:r>
          </w:p>
        </w:tc>
        <w:tc>
          <w:tcPr/>
          <w:p>
            <w:pPr>
              <w:pStyle w:val="Compact"/>
              <w:jc w:val="right"/>
            </w:pPr>
            <w:r>
              <w:t xml:space="preserve">10,000,000</w:t>
            </w:r>
          </w:p>
        </w:tc>
        <w:tc>
          <w:tcPr/>
          <w:p>
            <w:pPr>
              <w:pStyle w:val="Compact"/>
              <w:jc w:val="right"/>
            </w:pPr>
            <w:r>
              <w:t xml:space="preserve">8.0%</w:t>
            </w:r>
          </w:p>
        </w:tc>
        <w:tc>
          <w:tcPr/>
          <w:p>
            <w:pPr>
              <w:pStyle w:val="Compact"/>
              <w:jc w:val="right"/>
            </w:pPr>
            <w:r>
              <w:t xml:space="preserve">55</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Large-cap equities</w:t>
            </w:r>
          </w:p>
        </w:tc>
        <w:tc>
          <w:tcPr/>
          <w:p>
            <w:pPr>
              <w:pStyle w:val="Compact"/>
              <w:jc w:val="right"/>
            </w:pPr>
            <w:r>
              <w:t xml:space="preserve">8,000,000</w:t>
            </w:r>
          </w:p>
        </w:tc>
        <w:tc>
          <w:tcPr/>
          <w:p>
            <w:pPr>
              <w:pStyle w:val="Compact"/>
              <w:jc w:val="right"/>
            </w:pPr>
            <w:r>
              <w:t xml:space="preserve">15.0%</w:t>
            </w:r>
          </w:p>
        </w:tc>
        <w:tc>
          <w:tcPr/>
          <w:p>
            <w:pPr>
              <w:pStyle w:val="Compact"/>
              <w:jc w:val="right"/>
            </w:pPr>
            <w:r>
              <w:t xml:space="preserve">80</w:t>
            </w:r>
          </w:p>
        </w:tc>
        <w:tc>
          <w:tcPr/>
          <w:p>
            <w:pPr>
              <w:pStyle w:val="Compact"/>
              <w:jc w:val="center"/>
            </w:pPr>
            <w:r>
              <w:t xml:space="preserve">No</w:t>
            </w:r>
          </w:p>
        </w:tc>
        <w:tc>
          <w:tcPr/>
          <w:p>
            <w:pPr>
              <w:pStyle w:val="Compact"/>
              <w:jc w:val="center"/>
            </w:pPr>
            <w:r>
              <w:t xml:space="preserve">No</w:t>
            </w:r>
          </w:p>
        </w:tc>
      </w:tr>
    </w:tbl>
    <w:bookmarkEnd w:id="16"/>
    <w:bookmarkStart w:id="24" w:name="step-1-the-initial-margin-calculation"/>
    <w:p>
      <w:pPr>
        <w:pStyle w:val="Heading1"/>
      </w:pPr>
      <w:r>
        <w:t xml:space="preserve">4. Step 1: the initial margin calculation</w:t>
      </w:r>
    </w:p>
    <w:bookmarkStart w:id="17" w:name="exposures"/>
    <w:p>
      <w:pPr>
        <w:pStyle w:val="Heading2"/>
      </w:pPr>
      <w:r>
        <w:t xml:space="preserve">4.1 Exposures</w:t>
      </w:r>
    </w:p>
    <w:p>
      <w:pPr>
        <w:pStyle w:val="Compact"/>
        <w:numPr>
          <w:ilvl w:val="0"/>
          <w:numId w:val="1005"/>
        </w:numPr>
      </w:pPr>
      <w:r>
        <w:rPr>
          <w:b/>
          <w:bCs/>
        </w:rPr>
        <w:t xml:space="preserve">Equity delta</w:t>
      </w:r>
      <w:r>
        <w:t xml:space="preserve"> </w:t>
      </w:r>
      <w:r>
        <w:t xml:space="preserve">is the dollar value of the shares held: A has</w:t>
      </w:r>
      <w:r>
        <w:t xml:space="preserve"> </w:t>
      </w:r>
      <m:oMath>
        <m:r>
          <m:t>3</m:t>
        </m:r>
        <m:r>
          <m:rPr>
            <m:sty m:val="p"/>
          </m:rPr>
          <m:t>,</m:t>
        </m:r>
        <m:r>
          <m:t>000</m:t>
        </m:r>
        <m:r>
          <m:rPr>
            <m:sty m:val="p"/>
          </m:rPr>
          <m:t>×</m:t>
        </m:r>
        <m:r>
          <m:t>341.07</m:t>
        </m:r>
        <m:r>
          <m:rPr>
            <m:sty m:val="p"/>
          </m:rPr>
          <m:t>+</m:t>
        </m:r>
        <m:r>
          <m:t>2</m:t>
        </m:r>
        <m:r>
          <m:rPr>
            <m:sty m:val="p"/>
          </m:rPr>
          <m:t>,</m:t>
        </m:r>
        <m:r>
          <m:t>000</m:t>
        </m:r>
        <m:r>
          <m:rPr>
            <m:sty m:val="p"/>
          </m:rPr>
          <m:t>×</m:t>
        </m:r>
        <m:r>
          <m:t>343.06</m:t>
        </m:r>
        <m:r>
          <m:rPr>
            <m:sty m:val="p"/>
          </m:rPr>
          <m:t>=</m:t>
        </m:r>
        <m:r>
          <m:rPr>
            <m:sty m:val="p"/>
          </m:rPr>
          <m:t>$</m:t>
        </m:r>
        <m:r>
          <m:t>1</m:t>
        </m:r>
        <m:r>
          <m:rPr>
            <m:sty m:val="p"/>
          </m:rPr>
          <m:t>,</m:t>
        </m:r>
        <m:r>
          <m:t>709</m:t>
        </m:r>
        <m:r>
          <m:rPr>
            <m:sty m:val="p"/>
          </m:rPr>
          <m:t>,</m:t>
        </m:r>
        <m:r>
          <m:t>330</m:t>
        </m:r>
      </m:oMath>
      <w:r>
        <w:t xml:space="preserve">.</w:t>
      </w:r>
    </w:p>
    <w:p>
      <w:pPr>
        <w:pStyle w:val="Compact"/>
        <w:numPr>
          <w:ilvl w:val="0"/>
          <w:numId w:val="1005"/>
        </w:numPr>
      </w:pPr>
      <w:r>
        <w:rPr>
          <w:b/>
          <w:bCs/>
        </w:rPr>
        <w:t xml:space="preserve">FX delta</w:t>
      </w:r>
      <w:r>
        <w:t xml:space="preserve"> </w:t>
      </w:r>
      <w:r>
        <w:t xml:space="preserve">is the euro notional converted to dollars: A has</w:t>
      </w:r>
      <w:r>
        <w:t xml:space="preserve"> </w:t>
      </w:r>
      <m:oMath>
        <m:r>
          <m:t>5</m:t>
        </m:r>
        <m:r>
          <m:rPr>
            <m:sty m:val="p"/>
          </m:rPr>
          <m:t>,</m:t>
        </m:r>
        <m:r>
          <m:t>000</m:t>
        </m:r>
        <m:r>
          <m:rPr>
            <m:sty m:val="p"/>
          </m:rPr>
          <m:t>,</m:t>
        </m:r>
        <m:r>
          <m:t>000</m:t>
        </m:r>
        <m:r>
          <m:rPr>
            <m:sty m:val="p"/>
          </m:rPr>
          <m:t>×</m:t>
        </m:r>
        <m:r>
          <m:t>1.1401</m:t>
        </m:r>
        <m:r>
          <m:rPr>
            <m:sty m:val="p"/>
          </m:rPr>
          <m:t>=</m:t>
        </m:r>
        <m:r>
          <m:rPr>
            <m:sty m:val="p"/>
          </m:rPr>
          <m:t>$</m:t>
        </m:r>
        <m:r>
          <m:t>5</m:t>
        </m:r>
        <m:r>
          <m:rPr>
            <m:sty m:val="p"/>
          </m:rPr>
          <m:t>,</m:t>
        </m:r>
        <m:r>
          <m:t>700</m:t>
        </m:r>
        <m:r>
          <m:rPr>
            <m:sty m:val="p"/>
          </m:rPr>
          <m:t>,</m:t>
        </m:r>
        <m:r>
          <m:t>500</m:t>
        </m:r>
      </m:oMath>
      <w:r>
        <w:t xml:space="preserve">.</w:t>
      </w:r>
    </w:p>
    <w:p>
      <w:pPr>
        <w:pStyle w:val="Compact"/>
        <w:numPr>
          <w:ilvl w:val="0"/>
          <w:numId w:val="1005"/>
        </w:numPr>
      </w:pPr>
      <w:r>
        <w:rPr>
          <w:b/>
          <w:bCs/>
        </w:rPr>
        <w:t xml:space="preserve">Rate exposure</w:t>
      </w:r>
      <w:r>
        <w:t xml:space="preserve"> </w:t>
      </w:r>
      <w:r>
        <w:t xml:space="preserve">is a duration-style notional equivalent:</w:t>
      </w:r>
      <w:r>
        <w:t xml:space="preserve"> </w:t>
      </w:r>
      <m:oMath>
        <m:r>
          <m:rPr>
            <m:nor/>
            <m:sty m:val="p"/>
          </m:rPr>
          <m:t>notional</m:t>
        </m:r>
        <m:r>
          <m:rPr>
            <m:sty m:val="p"/>
          </m:rPr>
          <m:t>×</m:t>
        </m:r>
        <m:f>
          <m:fPr>
            <m:type m:val="bar"/>
          </m:fPr>
          <m:num>
            <m:r>
              <m:t>10</m:t>
            </m:r>
          </m:num>
          <m:den>
            <m:r>
              <m:t>1</m:t>
            </m:r>
            <m:r>
              <m:rPr>
                <m:sty m:val="p"/>
              </m:rPr>
              <m:t>+</m:t>
            </m:r>
            <m:r>
              <m:t>y</m:t>
            </m:r>
          </m:den>
        </m:f>
      </m:oMath>
      <w:r>
        <w:t xml:space="preserve">, so A has</w:t>
      </w:r>
      <w:r>
        <w:t xml:space="preserve"> </w:t>
      </w:r>
      <m:oMath>
        <m:r>
          <m:t>30</m:t>
        </m:r>
        <m:r>
          <m:rPr>
            <m:sty m:val="p"/>
          </m:rPr>
          <m:t>,</m:t>
        </m:r>
        <m:r>
          <m:t>000</m:t>
        </m:r>
        <m:r>
          <m:rPr>
            <m:sty m:val="p"/>
          </m:rPr>
          <m:t>,</m:t>
        </m:r>
        <m:r>
          <m:t>000</m:t>
        </m:r>
        <m:r>
          <m:rPr>
            <m:sty m:val="p"/>
          </m:rPr>
          <m:t>×</m:t>
        </m:r>
        <m:r>
          <m:t>10</m:t>
        </m:r>
        <m:r>
          <m:rPr>
            <m:sty m:val="p"/>
          </m:rPr>
          <m:t>/</m:t>
        </m:r>
        <m:r>
          <m:t>1.0518</m:t>
        </m:r>
        <m:r>
          <m:rPr>
            <m:sty m:val="p"/>
          </m:rPr>
          <m:t>=</m:t>
        </m:r>
        <m:r>
          <m:rPr>
            <m:sty m:val="p"/>
          </m:rPr>
          <m:t>$</m:t>
        </m:r>
        <m:r>
          <m:t>285</m:t>
        </m:r>
        <m:r>
          <m:rPr>
            <m:sty m:val="p"/>
          </m:rPr>
          <m:t>,</m:t>
        </m:r>
        <m:r>
          <m:t>225</m:t>
        </m:r>
        <m:r>
          <m:rPr>
            <m:sty m:val="p"/>
          </m:rPr>
          <m:t>,</m:t>
        </m:r>
        <m:r>
          <m:t>328</m:t>
        </m:r>
      </m:oMath>
      <w:r>
        <w:t xml:space="preserve">. This is a simplified scale (the notional multiplied by a duration of about 9.5),</w:t>
      </w:r>
      <w:r>
        <w:t xml:space="preserve"> </w:t>
      </w:r>
      <w:r>
        <w:rPr>
          <w:b/>
          <w:bCs/>
        </w:rPr>
        <w:t xml:space="preserve">not</w:t>
      </w:r>
      <w:r>
        <w:t xml:space="preserve"> </w:t>
      </w:r>
      <w:r>
        <w:t xml:space="preserve">a true dollar-per-basis-point sensitivity. Section 9 shows what a true PV01-based version gives.</w:t>
      </w:r>
    </w:p>
    <w:bookmarkEnd w:id="17"/>
    <w:bookmarkStart w:id="18" w:name="weighted-sensitivities"/>
    <w:p>
      <w:pPr>
        <w:pStyle w:val="Heading2"/>
      </w:pPr>
      <w:r>
        <w:t xml:space="preserve">4.2 Weighted sensitivities</w:t>
      </w:r>
    </w:p>
    <w:p>
      <w:pPr>
        <w:pStyle w:val="FirstParagraph"/>
      </w:pPr>
      <w:r>
        <w:t xml:space="preserve">Multiply each exposure by its risk weight. For Counterparty 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right"/>
            </w:pPr>
            <w:r>
              <w:t xml:space="preserve">Exposure</w:t>
            </w:r>
          </w:p>
        </w:tc>
        <w:tc>
          <w:tcPr/>
          <w:p>
            <w:pPr>
              <w:pStyle w:val="Compact"/>
              <w:jc w:val="right"/>
            </w:pPr>
            <w:r>
              <w:t xml:space="preserve">Risk weight</w:t>
            </w:r>
          </w:p>
        </w:tc>
        <w:tc>
          <w:tcPr/>
          <w:p>
            <w:pPr>
              <w:pStyle w:val="Compact"/>
              <w:jc w:val="right"/>
            </w:pPr>
            <w:r>
              <w:t xml:space="preserve">Weighted</w:t>
            </w:r>
          </w:p>
        </w:tc>
      </w:tr>
      <w:tr>
        <w:tc>
          <w:tcPr/>
          <w:p>
            <w:pPr>
              <w:pStyle w:val="Compact"/>
              <w:jc w:val="left"/>
            </w:pPr>
            <w:r>
              <w:t xml:space="preserve">Equity</w:t>
            </w:r>
          </w:p>
        </w:tc>
        <w:tc>
          <w:tcPr/>
          <w:p>
            <w:pPr>
              <w:pStyle w:val="Compact"/>
              <w:jc w:val="right"/>
            </w:pPr>
            <w:r>
              <w:t xml:space="preserve">1,709,330</w:t>
            </w:r>
          </w:p>
        </w:tc>
        <w:tc>
          <w:tcPr/>
          <w:p>
            <w:pPr>
              <w:pStyle w:val="Compact"/>
              <w:jc w:val="right"/>
            </w:pPr>
            <w:r>
              <w:t xml:space="preserve">24%</w:t>
            </w:r>
          </w:p>
        </w:tc>
        <w:tc>
          <w:tcPr/>
          <w:p>
            <w:pPr>
              <w:pStyle w:val="Compact"/>
              <w:jc w:val="right"/>
            </w:pPr>
            <w:r>
              <w:t xml:space="preserve">410,239</w:t>
            </w:r>
          </w:p>
        </w:tc>
      </w:tr>
      <w:tr>
        <w:tc>
          <w:tcPr/>
          <w:p>
            <w:pPr>
              <w:pStyle w:val="Compact"/>
              <w:jc w:val="left"/>
            </w:pPr>
            <w:r>
              <w:t xml:space="preserve">FX</w:t>
            </w:r>
          </w:p>
        </w:tc>
        <w:tc>
          <w:tcPr/>
          <w:p>
            <w:pPr>
              <w:pStyle w:val="Compact"/>
              <w:jc w:val="right"/>
            </w:pPr>
            <w:r>
              <w:t xml:space="preserve">5,700,500</w:t>
            </w:r>
          </w:p>
        </w:tc>
        <w:tc>
          <w:tcPr/>
          <w:p>
            <w:pPr>
              <w:pStyle w:val="Compact"/>
              <w:jc w:val="right"/>
            </w:pPr>
            <w:r>
              <w:t xml:space="preserve">15.5%</w:t>
            </w:r>
          </w:p>
        </w:tc>
        <w:tc>
          <w:tcPr/>
          <w:p>
            <w:pPr>
              <w:pStyle w:val="Compact"/>
              <w:jc w:val="right"/>
            </w:pPr>
            <w:r>
              <w:t xml:space="preserve">883,578</w:t>
            </w:r>
          </w:p>
        </w:tc>
      </w:tr>
      <w:tr>
        <w:tc>
          <w:tcPr/>
          <w:p>
            <w:pPr>
              <w:pStyle w:val="Compact"/>
              <w:jc w:val="left"/>
            </w:pPr>
            <w:r>
              <w:t xml:space="preserve">Rate</w:t>
            </w:r>
          </w:p>
        </w:tc>
        <w:tc>
          <w:tcPr/>
          <w:p>
            <w:pPr>
              <w:pStyle w:val="Compact"/>
              <w:jc w:val="right"/>
            </w:pPr>
            <w:r>
              <w:t xml:space="preserve">285,225,328</w:t>
            </w:r>
          </w:p>
        </w:tc>
        <w:tc>
          <w:tcPr/>
          <w:p>
            <w:pPr>
              <w:pStyle w:val="Compact"/>
              <w:jc w:val="right"/>
            </w:pPr>
            <w:r>
              <w:t xml:space="preserve">1.9%</w:t>
            </w:r>
          </w:p>
        </w:tc>
        <w:tc>
          <w:tcPr/>
          <w:p>
            <w:pPr>
              <w:pStyle w:val="Compact"/>
              <w:jc w:val="right"/>
            </w:pPr>
            <w:r>
              <w:t xml:space="preserve">5,419,281</w:t>
            </w:r>
          </w:p>
        </w:tc>
      </w:tr>
    </w:tbl>
    <w:bookmarkEnd w:id="18"/>
    <w:bookmarkStart w:id="19" w:name="aggregate-with-a-correlation"/>
    <w:p>
      <w:pPr>
        <w:pStyle w:val="Heading2"/>
      </w:pPr>
      <w:r>
        <w:t xml:space="preserve">4.3 Aggregate with a correlation</w:t>
      </w:r>
    </w:p>
    <w:p>
      <w:pPr>
        <w:pStyle w:val="FirstParagraph"/>
      </w:pPr>
      <m:oMathPara>
        <m:oMathParaPr>
          <m:jc m:val="center"/>
        </m:oMathParaPr>
        <m:oMath>
          <m:r>
            <m:t>I</m:t>
          </m:r>
          <m:r>
            <m:t>M</m:t>
          </m:r>
          <m:r>
            <m:rPr>
              <m:sty m:val="p"/>
            </m:rPr>
            <m:t>=</m:t>
          </m:r>
          <m:rad>
            <m:radPr>
              <m:degHide m:val="on"/>
            </m:radPr>
            <m:deg/>
            <m:e>
              <m:nary>
                <m:naryPr>
                  <m:chr m:val="∑"/>
                  <m:limLoc m:val="undOvr"/>
                  <m:subHide m:val="off"/>
                  <m:supHide m:val="on"/>
                </m:naryPr>
                <m:sub>
                  <m:r>
                    <m:t>i</m:t>
                  </m:r>
                </m:sub>
                <m:sup>
                  <m:r>
                    <m:t>​</m:t>
                  </m:r>
                </m:sup>
                <m:e>
                  <m:r>
                    <m:t>W</m:t>
                  </m:r>
                </m:e>
              </m:nary>
              <m:sSubSup>
                <m:e>
                  <m:r>
                    <m:t>S</m:t>
                  </m:r>
                </m:e>
                <m:sub>
                  <m:r>
                    <m:t>i</m:t>
                  </m:r>
                </m:sub>
                <m:sup>
                  <m:r>
                    <m:t>2</m:t>
                  </m:r>
                </m:sup>
              </m:sSubSup>
              <m:r>
                <m:rPr>
                  <m:sty m:val="p"/>
                </m:rPr>
                <m:t>+</m:t>
              </m:r>
              <m:r>
                <m:t>2</m:t>
              </m:r>
              <m:r>
                <m:t>ρ</m:t>
              </m:r>
              <m:nary>
                <m:naryPr>
                  <m:chr m:val="∑"/>
                  <m:limLoc m:val="undOvr"/>
                  <m:subHide m:val="off"/>
                  <m:supHide m:val="on"/>
                </m:naryPr>
                <m:sub>
                  <m:r>
                    <m:t>i</m:t>
                  </m:r>
                  <m:r>
                    <m:rPr>
                      <m:sty m:val="p"/>
                    </m:rPr>
                    <m:t>&lt;</m:t>
                  </m:r>
                  <m:r>
                    <m:t>j</m:t>
                  </m:r>
                </m:sub>
                <m:sup>
                  <m:r>
                    <m:t>​</m:t>
                  </m:r>
                </m:sup>
                <m:e>
                  <m:r>
                    <m:t>W</m:t>
                  </m:r>
                </m:e>
              </m:nary>
              <m:sSub>
                <m:e>
                  <m:r>
                    <m:t>S</m:t>
                  </m:r>
                </m:e>
                <m:sub>
                  <m:r>
                    <m:t>i</m:t>
                  </m:r>
                </m:sub>
              </m:sSub>
              <m:r>
                <m:t> </m:t>
              </m:r>
              <m:r>
                <m:t>W</m:t>
              </m:r>
              <m:sSub>
                <m:e>
                  <m:r>
                    <m:t>S</m:t>
                  </m:r>
                </m:e>
                <m:sub>
                  <m:r>
                    <m:t>j</m:t>
                  </m:r>
                </m:sub>
              </m:sSub>
            </m:e>
          </m:rad>
          <m:r>
            <m:rPr>
              <m:sty m:val="p"/>
            </m:rPr>
            <m:t>,</m:t>
          </m:r>
          <m:r>
            <m:t>  </m:t>
          </m:r>
          <m:r>
            <m:t>ρ</m:t>
          </m:r>
          <m:r>
            <m:rPr>
              <m:sty m:val="p"/>
            </m:rPr>
            <m:t>=</m:t>
          </m:r>
          <m:r>
            <m:t>0.30</m:t>
          </m:r>
          <m:r>
            <m:rPr>
              <m:sty m:val="p"/>
            </m:rPr>
            <m:t>.</m:t>
          </m:r>
        </m:oMath>
      </m:oMathPara>
    </w:p>
    <w:p>
      <w:pPr>
        <w:pStyle w:val="FirstParagraph"/>
      </w:pPr>
      <w:r>
        <w:t xml:space="preserve">Why this shape: if the three risks were perfectly independent (</w:t>
      </w:r>
      <m:oMath>
        <m:r>
          <m:t>ρ</m:t>
        </m:r>
        <m:r>
          <m:rPr>
            <m:sty m:val="p"/>
          </m:rPr>
          <m:t>=</m:t>
        </m:r>
        <m:r>
          <m:t>0</m:t>
        </m:r>
      </m:oMath>
      <w:r>
        <w:t xml:space="preserve">), the total would be the square root of the sum of squares. If they were perfectly aligned (</w:t>
      </w:r>
      <m:oMath>
        <m:r>
          <m:t>ρ</m:t>
        </m:r>
        <m:r>
          <m:rPr>
            <m:sty m:val="p"/>
          </m:rPr>
          <m:t>=</m:t>
        </m:r>
        <m:r>
          <m:t>1</m:t>
        </m:r>
      </m:oMath>
      <w:r>
        <w:t xml:space="preserve">), the total would be the simple sum. A correlation of 30% sits in between.</w:t>
      </w:r>
    </w:p>
    <w:p>
      <w:pPr>
        <w:pStyle w:val="BodyText"/>
      </w:pPr>
      <w:r>
        <w:t xml:space="preserve">For A:</w:t>
      </w:r>
      <w:r>
        <w:t xml:space="preserve"> </w:t>
      </w:r>
      <m:oMath>
        <m:rad>
          <m:radPr>
            <m:degHide m:val="on"/>
          </m:radPr>
          <m:deg/>
          <m:e>
            <m:r>
              <m:t>410</m:t>
            </m:r>
            <m:r>
              <m:rPr>
                <m:sty m:val="p"/>
              </m:rPr>
              <m:t>,</m:t>
            </m:r>
            <m:sSup>
              <m:e>
                <m:r>
                  <m:t>239</m:t>
                </m:r>
              </m:e>
              <m:sup>
                <m:r>
                  <m:t>2</m:t>
                </m:r>
              </m:sup>
            </m:sSup>
            <m:r>
              <m:rPr>
                <m:sty m:val="p"/>
              </m:rPr>
              <m:t>+</m:t>
            </m:r>
            <m:r>
              <m:t>883</m:t>
            </m:r>
            <m:r>
              <m:rPr>
                <m:sty m:val="p"/>
              </m:rPr>
              <m:t>,</m:t>
            </m:r>
            <m:sSup>
              <m:e>
                <m:r>
                  <m:t>578</m:t>
                </m:r>
              </m:e>
              <m:sup>
                <m:r>
                  <m:t>2</m:t>
                </m:r>
              </m:sup>
            </m:sSup>
            <m:r>
              <m:rPr>
                <m:sty m:val="p"/>
              </m:rPr>
              <m:t>+</m:t>
            </m:r>
            <m:r>
              <m:t>5</m:t>
            </m:r>
            <m:r>
              <m:rPr>
                <m:sty m:val="p"/>
              </m:rPr>
              <m:t>,</m:t>
            </m:r>
            <m:r>
              <m:t>419</m:t>
            </m:r>
            <m:r>
              <m:rPr>
                <m:sty m:val="p"/>
              </m:rPr>
              <m:t>,</m:t>
            </m:r>
            <m:sSup>
              <m:e>
                <m:r>
                  <m:t>281</m:t>
                </m:r>
              </m:e>
              <m:sup>
                <m:r>
                  <m:t>2</m:t>
                </m:r>
              </m:sup>
            </m:sSup>
            <m:r>
              <m:rPr>
                <m:sty m:val="p"/>
              </m:rPr>
              <m:t>+</m:t>
            </m:r>
            <m:r>
              <m:t>2</m:t>
            </m:r>
            <m:r>
              <m:rPr>
                <m:sty m:val="p"/>
              </m:rPr>
              <m:t>(</m:t>
            </m:r>
            <m:r>
              <m:t>0.3</m:t>
            </m:r>
            <m:r>
              <m:rPr>
                <m:sty m:val="p"/>
              </m:rPr>
              <m:t>)</m:t>
            </m:r>
            <m:r>
              <m:rPr>
                <m:sty m:val="p"/>
              </m:rPr>
              <m:t>(</m:t>
            </m:r>
            <m:r>
              <m:rPr>
                <m:sty m:val="p"/>
              </m:rPr>
              <m:t>…</m:t>
            </m:r>
            <m:r>
              <m:rPr>
                <m:sty m:val="p"/>
              </m:rPr>
              <m:t>)</m:t>
            </m:r>
          </m:e>
        </m:rad>
        <m:r>
          <m:rPr>
            <m:sty m:val="p"/>
          </m:rPr>
          <m:t>=</m:t>
        </m:r>
        <m:r>
          <m:rPr>
            <m:sty m:val="p"/>
          </m:rPr>
          <m:t>$</m:t>
        </m:r>
        <m:r>
          <m:t>5</m:t>
        </m:r>
        <m:r>
          <m:rPr>
            <m:sty m:val="p"/>
          </m:rPr>
          <m:t>,</m:t>
        </m:r>
        <m:r>
          <m:t>894</m:t>
        </m:r>
        <m:r>
          <m:rPr>
            <m:sty m:val="p"/>
          </m:rPr>
          <m:t>,</m:t>
        </m:r>
        <m:r>
          <m:t>237</m:t>
        </m:r>
      </m:oMath>
      <w:r>
        <w:t xml:space="preserve">.</w:t>
      </w:r>
    </w:p>
    <w:bookmarkEnd w:id="19"/>
    <w:bookmarkStart w:id="23" w:name="results"/>
    <w:p>
      <w:pPr>
        <w:pStyle w:val="Heading2"/>
      </w:pPr>
      <w:r>
        <w:t xml:space="preserve">4.4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IM</w:t>
            </w:r>
          </w:p>
        </w:tc>
      </w:tr>
      <w:tr>
        <w:tc>
          <w:tcPr/>
          <w:p>
            <w:pPr>
              <w:pStyle w:val="Compact"/>
              <w:jc w:val="left"/>
            </w:pPr>
            <w:r>
              <w:t xml:space="preserve">Counterparty A</w:t>
            </w:r>
          </w:p>
        </w:tc>
        <w:tc>
          <w:tcPr/>
          <w:p>
            <w:pPr>
              <w:pStyle w:val="Compact"/>
              <w:jc w:val="right"/>
            </w:pPr>
            <w:r>
              <w:t xml:space="preserve">$5,894,237</w:t>
            </w:r>
          </w:p>
        </w:tc>
      </w:tr>
      <w:tr>
        <w:tc>
          <w:tcPr/>
          <w:p>
            <w:pPr>
              <w:pStyle w:val="Compact"/>
              <w:jc w:val="left"/>
            </w:pPr>
            <w:r>
              <w:t xml:space="preserve">Counterparty B</w:t>
            </w:r>
          </w:p>
        </w:tc>
        <w:tc>
          <w:tcPr/>
          <w:p>
            <w:pPr>
              <w:pStyle w:val="Compact"/>
              <w:jc w:val="right"/>
            </w:pPr>
            <w:r>
              <w:t xml:space="preserve">$14,511,253</w:t>
            </w:r>
          </w:p>
        </w:tc>
      </w:tr>
      <w:tr>
        <w:tc>
          <w:tcPr/>
          <w:p>
            <w:pPr>
              <w:pStyle w:val="Compact"/>
              <w:jc w:val="left"/>
            </w:pPr>
            <w:r>
              <w:rPr>
                <w:b/>
                <w:bCs/>
              </w:rPr>
              <w:t xml:space="preserve">Total</w:t>
            </w:r>
          </w:p>
        </w:tc>
        <w:tc>
          <w:tcPr/>
          <w:p>
            <w:pPr>
              <w:pStyle w:val="Compact"/>
              <w:jc w:val="right"/>
            </w:pPr>
            <w:r>
              <w:rPr>
                <w:b/>
                <w:bCs/>
              </w:rPr>
              <w:t xml:space="preserve">$20,405,490</w:t>
            </w:r>
          </w:p>
        </w:tc>
      </w:tr>
    </w:tbl>
    <w:p>
      <w:pPr>
        <w:pStyle w:val="BodyText"/>
      </w:pPr>
      <w:r>
        <w:t xml:space="preserve">Counterparty B's weighted rate sensitivity is $14,451,417 ($760.6 million exposure times 1.9%), which drives its IM.</w:t>
      </w:r>
    </w:p>
    <w:p>
      <w:pPr>
        <w:pStyle w:val="CaptionedFigure"/>
      </w:pPr>
      <w:r>
        <w:drawing>
          <wp:inline>
            <wp:extent cx="5334000" cy="3048000"/>
            <wp:effectExtent b="0" l="0" r="0" t="0"/>
            <wp:docPr descr="Risk-weighted sensitivities by class for each counterparty." title="" id="21" name="Picture"/>
            <a:graphic>
              <a:graphicData uri="http://schemas.openxmlformats.org/drawingml/2006/picture">
                <pic:pic>
                  <pic:nvPicPr>
                    <pic:cNvPr descr="../outputs/figures/fig_im_by_class.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Risk-weighted sensitivities by class for each counterparty.</w:t>
      </w:r>
    </w:p>
    <w:bookmarkEnd w:id="23"/>
    <w:bookmarkEnd w:id="24"/>
    <w:bookmarkStart w:id="32" w:name="X887d814b0611959bd9be913640fb013eee6f2c5"/>
    <w:p>
      <w:pPr>
        <w:pStyle w:val="Heading1"/>
      </w:pPr>
      <w:r>
        <w:t xml:space="preserve">5. Step 2: the cheapest collateral, by linear program</w:t>
      </w:r>
    </w:p>
    <w:bookmarkStart w:id="25" w:name="the-formulation"/>
    <w:p>
      <w:pPr>
        <w:pStyle w:val="Heading2"/>
      </w:pPr>
      <w:r>
        <w:t xml:space="preserve">5.1 The formulation</w:t>
      </w:r>
    </w:p>
    <w:p>
      <w:pPr>
        <w:pStyle w:val="FirstParagraph"/>
      </w:pPr>
      <w:r>
        <w:t xml:space="preserve">Decision variables:</w:t>
      </w:r>
      <w:r>
        <w:t xml:space="preserve"> </w:t>
      </w:r>
      <m:oMath>
        <m:sSub>
          <m:e>
            <m:r>
              <m:t>a</m:t>
            </m:r>
          </m:e>
          <m:sub>
            <m:r>
              <m:t>i</m:t>
            </m:r>
          </m:sub>
        </m:sSub>
      </m:oMath>
      <w:r>
        <w:t xml:space="preserve"> </w:t>
      </w:r>
      <w:r>
        <w:t xml:space="preserve">and</w:t>
      </w:r>
      <w:r>
        <w:t xml:space="preserve"> </w:t>
      </w:r>
      <m:oMath>
        <m:sSub>
          <m:e>
            <m:r>
              <m:t>b</m:t>
            </m:r>
          </m:e>
          <m:sub>
            <m:r>
              <m:t>i</m:t>
            </m:r>
          </m:sub>
        </m:sSub>
      </m:oMath>
      <w:r>
        <w:t xml:space="preserve"> </w:t>
      </w:r>
      <w:r>
        <w:t xml:space="preserve">are the market value of asset</w:t>
      </w:r>
      <w:r>
        <w:t xml:space="preserve"> </w:t>
      </w:r>
      <m:oMath>
        <m:r>
          <m:t>i</m:t>
        </m:r>
      </m:oMath>
      <w:r>
        <w:t xml:space="preserve"> </w:t>
      </w:r>
      <w:r>
        <w:t xml:space="preserve">posted to Counterparty A and B.</w:t>
      </w:r>
    </w:p>
    <w:p>
      <w:pPr>
        <w:pStyle w:val="BodyText"/>
      </w:pPr>
      <m:oMathPara>
        <m:oMathParaPr>
          <m:jc m:val="center"/>
        </m:oMathParaPr>
        <m:oMath>
          <m:r>
            <m:rPr>
              <m:sty m:val="p"/>
            </m:rPr>
            <m:t>min</m:t>
          </m:r>
          <m:nary>
            <m:naryPr>
              <m:chr m:val="∑"/>
              <m:limLoc m:val="undOvr"/>
              <m:subHide m:val="off"/>
              <m:supHide m:val="on"/>
            </m:naryPr>
            <m:sub>
              <m:r>
                <m:t>i</m:t>
              </m:r>
            </m:sub>
            <m:sup>
              <m:r>
                <m:t>​</m:t>
              </m:r>
            </m:sup>
            <m:e>
              <m:sSub>
                <m:e>
                  <m:r>
                    <m:t>c</m:t>
                  </m:r>
                </m:e>
                <m:sub>
                  <m:r>
                    <m:t>i</m:t>
                  </m:r>
                </m:sub>
              </m:sSub>
            </m:e>
          </m:nary>
          <m:r>
            <m:t> </m:t>
          </m:r>
          <m:r>
            <m:rPr>
              <m:sty m:val="p"/>
            </m:rPr>
            <m:t>(</m:t>
          </m:r>
          <m:sSub>
            <m:e>
              <m:r>
                <m:t>a</m:t>
              </m:r>
            </m:e>
            <m:sub>
              <m:r>
                <m:t>i</m:t>
              </m:r>
            </m:sub>
          </m:sSub>
          <m:r>
            <m:rPr>
              <m:sty m:val="p"/>
            </m:rPr>
            <m:t>+</m:t>
          </m:r>
          <m:sSub>
            <m:e>
              <m:r>
                <m:t>b</m:t>
              </m:r>
            </m:e>
            <m:sub>
              <m:r>
                <m:t>i</m:t>
              </m:r>
            </m:sub>
          </m:sSub>
          <m:r>
            <m:rPr>
              <m:sty m:val="p"/>
            </m:rPr>
            <m:t>)</m:t>
          </m:r>
          <m:r>
            <m:t> </m:t>
          </m:r>
          <m:r>
            <m:rPr>
              <m:nor/>
              <m:sty m:val="p"/>
            </m:rPr>
            <m:t>subject to</m:t>
          </m:r>
        </m:oMath>
      </m:oMathPara>
    </w:p>
    <w:p>
      <w:pPr>
        <w:pStyle w:val="FirstParagraph"/>
      </w:pPr>
      <m:oMathPara>
        <m:oMathParaPr>
          <m:jc m:val="center"/>
        </m:oMathParaPr>
        <m:oMath>
          <m:nary>
            <m:naryPr>
              <m:chr m:val="∑"/>
              <m:limLoc m:val="undOvr"/>
              <m:subHide m:val="off"/>
              <m:supHide m:val="on"/>
            </m:naryPr>
            <m:sub>
              <m:r>
                <m:t>i</m:t>
              </m:r>
            </m:sub>
            <m:sup>
              <m:r>
                <m:t>​</m:t>
              </m:r>
            </m:sup>
            <m:e>
              <m:r>
                <m:rPr>
                  <m:sty m:val="p"/>
                </m:rPr>
                <m:t>(</m:t>
              </m:r>
            </m:e>
          </m:nary>
          <m:r>
            <m:t>1</m:t>
          </m:r>
          <m:r>
            <m:rPr>
              <m:sty m:val="p"/>
            </m:rPr>
            <m:t>−</m:t>
          </m:r>
          <m:sSub>
            <m:e>
              <m:r>
                <m:t>h</m:t>
              </m:r>
            </m:e>
            <m:sub>
              <m:r>
                <m:t>i</m:t>
              </m:r>
            </m:sub>
          </m:sSub>
          <m:r>
            <m:rPr>
              <m:sty m:val="p"/>
            </m:rPr>
            <m:t>)</m:t>
          </m:r>
          <m:r>
            <m:t> </m:t>
          </m:r>
          <m:sSub>
            <m:e>
              <m:r>
                <m:t>a</m:t>
              </m:r>
            </m:e>
            <m:sub>
              <m:r>
                <m:t>i</m:t>
              </m:r>
            </m:sub>
          </m:sSub>
          <m:r>
            <m:rPr>
              <m:sty m:val="p"/>
            </m:rPr>
            <m:t>≥</m:t>
          </m:r>
          <m:r>
            <m:t>I</m:t>
          </m:r>
          <m:sSub>
            <m:e>
              <m:r>
                <m:t>M</m:t>
              </m:r>
            </m:e>
            <m:sub>
              <m:r>
                <m:t>A</m:t>
              </m:r>
            </m:sub>
          </m:sSub>
          <m:r>
            <m:rPr>
              <m:sty m:val="p"/>
            </m:rPr>
            <m:t>,</m:t>
          </m:r>
          <m:r>
            <m:t>  </m:t>
          </m:r>
          <m:nary>
            <m:naryPr>
              <m:chr m:val="∑"/>
              <m:limLoc m:val="undOvr"/>
              <m:subHide m:val="off"/>
              <m:supHide m:val="on"/>
            </m:naryPr>
            <m:sub>
              <m:r>
                <m:t>i</m:t>
              </m:r>
            </m:sub>
            <m:sup>
              <m:r>
                <m:t>​</m:t>
              </m:r>
            </m:sup>
            <m:e>
              <m:r>
                <m:rPr>
                  <m:sty m:val="p"/>
                </m:rPr>
                <m:t>(</m:t>
              </m:r>
            </m:e>
          </m:nary>
          <m:r>
            <m:t>1</m:t>
          </m:r>
          <m:r>
            <m:rPr>
              <m:sty m:val="p"/>
            </m:rPr>
            <m:t>−</m:t>
          </m:r>
          <m:sSub>
            <m:e>
              <m:r>
                <m:t>h</m:t>
              </m:r>
            </m:e>
            <m:sub>
              <m:r>
                <m:t>i</m:t>
              </m:r>
            </m:sub>
          </m:sSub>
          <m:r>
            <m:rPr>
              <m:sty m:val="p"/>
            </m:rPr>
            <m:t>)</m:t>
          </m:r>
          <m:r>
            <m:t> </m:t>
          </m:r>
          <m:sSub>
            <m:e>
              <m:r>
                <m:t>b</m:t>
              </m:r>
            </m:e>
            <m:sub>
              <m:r>
                <m:t>i</m:t>
              </m:r>
            </m:sub>
          </m:sSub>
          <m:r>
            <m:rPr>
              <m:sty m:val="p"/>
            </m:rPr>
            <m:t>≥</m:t>
          </m:r>
          <m:r>
            <m:t>I</m:t>
          </m:r>
          <m:sSub>
            <m:e>
              <m:r>
                <m:t>M</m:t>
              </m:r>
            </m:e>
            <m:sub>
              <m:r>
                <m:t>B</m:t>
              </m:r>
            </m:sub>
          </m:sSub>
          <m:r>
            <m:rPr>
              <m:sty m:val="p"/>
            </m:rPr>
            <m:t>,</m:t>
          </m:r>
        </m:oMath>
      </m:oMathPara>
    </w:p>
    <w:p>
      <w:pPr>
        <w:pStyle w:val="FirstParagraph"/>
      </w:pPr>
      <m:oMathPara>
        <m:oMathParaPr>
          <m:jc m:val="center"/>
        </m:oMathParaPr>
        <m:oMath>
          <m:sSub>
            <m:e>
              <m:r>
                <m:t>a</m:t>
              </m:r>
            </m:e>
            <m:sub>
              <m:r>
                <m:t>i</m:t>
              </m:r>
            </m:sub>
          </m:sSub>
          <m:r>
            <m:rPr>
              <m:sty m:val="p"/>
            </m:rPr>
            <m:t>+</m:t>
          </m:r>
          <m:sSub>
            <m:e>
              <m:r>
                <m:t>b</m:t>
              </m:r>
            </m:e>
            <m:sub>
              <m:r>
                <m:t>i</m:t>
              </m:r>
            </m:sub>
          </m:sSub>
          <m:r>
            <m:rPr>
              <m:sty m:val="p"/>
            </m:rPr>
            <m:t>≤</m:t>
          </m:r>
          <m:r>
            <m:t>M</m:t>
          </m:r>
          <m:sSub>
            <m:e>
              <m:r>
                <m:t>V</m:t>
              </m:r>
            </m:e>
            <m:sub>
              <m:r>
                <m:t>i</m:t>
              </m:r>
            </m:sub>
          </m:sSub>
          <m:r>
            <m:rPr>
              <m:sty m:val="p"/>
            </m:rPr>
            <m:t>,</m:t>
          </m:r>
          <m:r>
            <m:t>  </m:t>
          </m:r>
          <m:sSub>
            <m:e>
              <m:r>
                <m:t>a</m:t>
              </m:r>
            </m:e>
            <m:sub>
              <m:r>
                <m:t>i</m:t>
              </m:r>
            </m:sub>
          </m:sSub>
          <m:r>
            <m:rPr>
              <m:sty m:val="p"/>
            </m:rPr>
            <m:t>=</m:t>
          </m:r>
          <m:r>
            <m:t>0</m:t>
          </m:r>
          <m:r>
            <m:rPr>
              <m:nor/>
              <m:sty m:val="p"/>
            </m:rPr>
            <m:t> if not eligible for A</m:t>
          </m:r>
          <m:r>
            <m:rPr>
              <m:sty m:val="p"/>
            </m:rPr>
            <m:t>,</m:t>
          </m:r>
          <m:r>
            <m:t> </m:t>
          </m:r>
          <m:sSub>
            <m:e>
              <m:r>
                <m:t>b</m:t>
              </m:r>
            </m:e>
            <m:sub>
              <m:r>
                <m:t>i</m:t>
              </m:r>
            </m:sub>
          </m:sSub>
          <m:r>
            <m:rPr>
              <m:sty m:val="p"/>
            </m:rPr>
            <m:t>=</m:t>
          </m:r>
          <m:r>
            <m:t>0</m:t>
          </m:r>
          <m:r>
            <m:rPr>
              <m:nor/>
              <m:sty m:val="p"/>
            </m:rPr>
            <m:t> if not eligible for B</m:t>
          </m:r>
          <m:r>
            <m:rPr>
              <m:sty m:val="p"/>
            </m:rPr>
            <m:t>,</m:t>
          </m:r>
          <m:r>
            <m:t> </m:t>
          </m:r>
          <m:sSub>
            <m:e>
              <m:r>
                <m:t>a</m:t>
              </m:r>
            </m:e>
            <m:sub>
              <m:r>
                <m:t>i</m:t>
              </m:r>
            </m:sub>
          </m:sSub>
          <m:r>
            <m:rPr>
              <m:sty m:val="p"/>
            </m:rPr>
            <m:t>,</m:t>
          </m:r>
          <m:sSub>
            <m:e>
              <m:r>
                <m:t>b</m:t>
              </m:r>
            </m:e>
            <m:sub>
              <m:r>
                <m:t>i</m:t>
              </m:r>
            </m:sub>
          </m:sSub>
          <m:r>
            <m:rPr>
              <m:sty m:val="p"/>
            </m:rPr>
            <m:t>≥</m:t>
          </m:r>
          <m:r>
            <m:t>0</m:t>
          </m:r>
          <m:r>
            <m:rPr>
              <m:sty m:val="p"/>
            </m:rPr>
            <m:t>.</m:t>
          </m:r>
        </m:oMath>
      </m:oMathPara>
    </w:p>
    <w:p>
      <w:pPr>
        <w:pStyle w:val="FirstParagraph"/>
      </w:pPr>
      <w:r>
        <w:t xml:space="preserve">where</w:t>
      </w:r>
      <w:r>
        <w:t xml:space="preserve"> </w:t>
      </w:r>
      <m:oMath>
        <m:sSub>
          <m:e>
            <m:r>
              <m:t>c</m:t>
            </m:r>
          </m:e>
          <m:sub>
            <m:r>
              <m:t>i</m:t>
            </m:r>
          </m:sub>
        </m:sSub>
      </m:oMath>
      <w:r>
        <w:t xml:space="preserve"> </w:t>
      </w:r>
      <w:r>
        <w:t xml:space="preserve">is the opportunity cost,</w:t>
      </w:r>
      <w:r>
        <w:t xml:space="preserve"> </w:t>
      </w:r>
      <m:oMath>
        <m:sSub>
          <m:e>
            <m:r>
              <m:t>h</m:t>
            </m:r>
          </m:e>
          <m:sub>
            <m:r>
              <m:t>i</m:t>
            </m:r>
          </m:sub>
        </m:sSub>
      </m:oMath>
      <w:r>
        <w:t xml:space="preserve"> </w:t>
      </w:r>
      <w:r>
        <w:t xml:space="preserve">the haircut and</w:t>
      </w:r>
      <w:r>
        <w:t xml:space="preserve"> </w:t>
      </w:r>
      <m:oMath>
        <m:r>
          <m:t>M</m:t>
        </m:r>
        <m:sSub>
          <m:e>
            <m:r>
              <m:t>V</m:t>
            </m:r>
          </m:e>
          <m:sub>
            <m:r>
              <m:t>i</m:t>
            </m:r>
          </m:sub>
        </m:sSub>
      </m:oMath>
      <w:r>
        <w:t xml:space="preserve"> </w:t>
      </w:r>
      <w:r>
        <w:t xml:space="preserve">the inventory. The solver is</w:t>
      </w:r>
      <w:r>
        <w:t xml:space="preserve"> </w:t>
      </w:r>
      <w:r>
        <w:rPr>
          <w:rStyle w:val="VerbatimChar"/>
        </w:rPr>
        <w:t xml:space="preserve">scipy.optimize.linprog</w:t>
      </w:r>
      <w:r>
        <w:t xml:space="preserve"> </w:t>
      </w:r>
      <w:r>
        <w:t xml:space="preserve">with the HiGHS method.</w:t>
      </w:r>
    </w:p>
    <w:bookmarkEnd w:id="25"/>
    <w:bookmarkStart w:id="29" w:name="the-solution"/>
    <w:p>
      <w:pPr>
        <w:pStyle w:val="Heading2"/>
      </w:pPr>
      <w:r>
        <w:t xml:space="preserve">5.2 The solution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right"/>
            </w:pPr>
            <w:r>
              <w:t xml:space="preserve">To A</w:t>
            </w:r>
          </w:p>
        </w:tc>
        <w:tc>
          <w:tcPr/>
          <w:p>
            <w:pPr>
              <w:pStyle w:val="Compact"/>
              <w:jc w:val="right"/>
            </w:pPr>
            <w:r>
              <w:t xml:space="preserve">To B</w:t>
            </w:r>
          </w:p>
        </w:tc>
        <w:tc>
          <w:tcPr/>
          <w:p>
            <w:pPr>
              <w:pStyle w:val="Compact"/>
              <w:jc w:val="right"/>
            </w:pPr>
            <w:r>
              <w:t xml:space="preserve">Total posted</w:t>
            </w:r>
          </w:p>
        </w:tc>
        <w:tc>
          <w:tcPr/>
          <w:p>
            <w:pPr>
              <w:pStyle w:val="Compact"/>
              <w:jc w:val="right"/>
            </w:pPr>
            <w:r>
              <w:t xml:space="preserve">Annual cost</w:t>
            </w:r>
          </w:p>
        </w:tc>
      </w:tr>
      <w:tr>
        <w:tc>
          <w:tcPr/>
          <w:p>
            <w:pPr>
              <w:pStyle w:val="Compact"/>
              <w:jc w:val="left"/>
            </w:pPr>
            <w:r>
              <w:t xml:space="preserve">US Treasury under 1Y</w:t>
            </w:r>
          </w:p>
        </w:tc>
        <w:tc>
          <w:tcPr/>
          <w:p>
            <w:pPr>
              <w:pStyle w:val="Compact"/>
              <w:jc w:val="right"/>
            </w:pPr>
            <w:r>
              <w:t xml:space="preserve">5,923,857</w:t>
            </w:r>
          </w:p>
        </w:tc>
        <w:tc>
          <w:tcPr/>
          <w:p>
            <w:pPr>
              <w:pStyle w:val="Compact"/>
              <w:jc w:val="right"/>
            </w:pPr>
            <w:r>
              <w:t xml:space="preserve">14,076,143</w:t>
            </w:r>
          </w:p>
        </w:tc>
        <w:tc>
          <w:tcPr/>
          <w:p>
            <w:pPr>
              <w:pStyle w:val="Compact"/>
              <w:jc w:val="right"/>
            </w:pPr>
            <w:r>
              <w:t xml:space="preserve">20,000,000</w:t>
            </w:r>
          </w:p>
        </w:tc>
        <w:tc>
          <w:tcPr/>
          <w:p>
            <w:pPr>
              <w:pStyle w:val="Compact"/>
              <w:jc w:val="right"/>
            </w:pPr>
            <w:r>
              <w:t xml:space="preserve">$30,000</w:t>
            </w:r>
          </w:p>
        </w:tc>
      </w:tr>
      <w:tr>
        <w:tc>
          <w:tcPr/>
          <w:p>
            <w:pPr>
              <w:pStyle w:val="Compact"/>
              <w:jc w:val="left"/>
            </w:pPr>
            <w:r>
              <w:t xml:space="preserve">US Treasury 1-5Y</w:t>
            </w:r>
          </w:p>
        </w:tc>
        <w:tc>
          <w:tcPr/>
          <w:p>
            <w:pPr>
              <w:pStyle w:val="Compact"/>
              <w:jc w:val="right"/>
            </w:pPr>
            <w:r>
              <w:t xml:space="preserve">0</w:t>
            </w:r>
          </w:p>
        </w:tc>
        <w:tc>
          <w:tcPr/>
          <w:p>
            <w:pPr>
              <w:pStyle w:val="Compact"/>
              <w:jc w:val="right"/>
            </w:pPr>
            <w:r>
              <w:t xml:space="preserve">515,806</w:t>
            </w:r>
          </w:p>
        </w:tc>
        <w:tc>
          <w:tcPr/>
          <w:p>
            <w:pPr>
              <w:pStyle w:val="Compact"/>
              <w:jc w:val="right"/>
            </w:pPr>
            <w:r>
              <w:t xml:space="preserve">515,806</w:t>
            </w:r>
          </w:p>
        </w:tc>
        <w:tc>
          <w:tcPr/>
          <w:p>
            <w:pPr>
              <w:pStyle w:val="Compact"/>
              <w:jc w:val="right"/>
            </w:pPr>
            <w:r>
              <w:t xml:space="preserve">$1,290</w:t>
            </w:r>
          </w:p>
        </w:tc>
      </w:tr>
      <w:tr>
        <w:tc>
          <w:tcPr/>
          <w:p>
            <w:pPr>
              <w:pStyle w:val="Compact"/>
              <w:jc w:val="left"/>
            </w:pPr>
            <w:r>
              <w:t xml:space="preserve">Everything else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rPr>
          <w:b/>
          <w:bCs/>
        </w:rPr>
        <w:t xml:space="preserve">Total annual cost: $31,290.</w:t>
      </w:r>
      <w:r>
        <w:t xml:space="preserve"> </w:t>
      </w:r>
      <w:r>
        <w:t xml:space="preserve">The solver uses all of the cheapest asset (the under-1Y Treasuries), then a small amount of the next cheapest (1-5Y Treasuries). It does not use cash at all.</w:t>
      </w:r>
    </w:p>
    <w:p>
      <w:pPr>
        <w:pStyle w:val="CaptionedFigure"/>
      </w:pPr>
      <w:r>
        <w:drawing>
          <wp:inline>
            <wp:extent cx="5334000" cy="3048000"/>
            <wp:effectExtent b="0" l="0" r="0" t="0"/>
            <wp:docPr descr="The optimized allocation across the two counterparties." title="" id="27" name="Picture"/>
            <a:graphic>
              <a:graphicData uri="http://schemas.openxmlformats.org/drawingml/2006/picture">
                <pic:pic>
                  <pic:nvPicPr>
                    <pic:cNvPr descr="../outputs/figures/fig_allocation.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The optimized allocation across the two counterparties.</w:t>
      </w:r>
    </w:p>
    <w:bookmarkEnd w:id="29"/>
    <w:bookmarkStart w:id="30" w:name="the-naive-comparison"/>
    <w:p>
      <w:pPr>
        <w:pStyle w:val="Heading2"/>
      </w:pPr>
      <w:r>
        <w:t xml:space="preserve">5.3 The naive comparison</w:t>
      </w:r>
    </w:p>
    <w:p>
      <w:pPr>
        <w:pStyle w:val="FirstParagraph"/>
      </w:pPr>
      <w:r>
        <w:t xml:space="preserve">Posting the full requirement in cash (0% haircut) costs</w:t>
      </w:r>
      <w:r>
        <w:t xml:space="preserve"> </w:t>
      </w:r>
      <m:oMath>
        <m:r>
          <m:t>20</m:t>
        </m:r>
        <m:r>
          <m:rPr>
            <m:sty m:val="p"/>
          </m:rPr>
          <m:t>,</m:t>
        </m:r>
        <m:r>
          <m:t>405</m:t>
        </m:r>
        <m:r>
          <m:rPr>
            <m:sty m:val="p"/>
          </m:rPr>
          <m:t>,</m:t>
        </m:r>
        <m:r>
          <m:t>490</m:t>
        </m:r>
        <m:r>
          <m:rPr>
            <m:sty m:val="p"/>
          </m:rPr>
          <m:t>×</m:t>
        </m:r>
        <m:r>
          <m:t>0.045</m:t>
        </m:r>
        <m:r>
          <m:rPr>
            <m:sty m:val="p"/>
          </m:rPr>
          <m:t>=</m:t>
        </m:r>
        <m:r>
          <m:rPr>
            <m:sty m:val="p"/>
          </m:rPr>
          <m:t>$</m:t>
        </m:r>
        <m:r>
          <m:t>918</m:t>
        </m:r>
        <m:r>
          <m:rPr>
            <m:sty m:val="p"/>
          </m:rPr>
          <m:t>,</m:t>
        </m:r>
        <m:r>
          <m:t>247</m:t>
        </m:r>
      </m:oMath>
      <w:r>
        <w:t xml:space="preserve"> </w:t>
      </w:r>
      <w:r>
        <w:t xml:space="preserve">a year. The optimizer saves</w:t>
      </w:r>
      <w:r>
        <w:t xml:space="preserve"> </w:t>
      </w:r>
      <m:oMath>
        <m:r>
          <m:t>918</m:t>
        </m:r>
        <m:r>
          <m:rPr>
            <m:sty m:val="p"/>
          </m:rPr>
          <m:t>,</m:t>
        </m:r>
        <m:r>
          <m:t>247</m:t>
        </m:r>
        <m:r>
          <m:rPr>
            <m:sty m:val="p"/>
          </m:rPr>
          <m:t>−</m:t>
        </m:r>
        <m:r>
          <m:t>31</m:t>
        </m:r>
        <m:r>
          <m:rPr>
            <m:sty m:val="p"/>
          </m:rPr>
          <m:t>,</m:t>
        </m:r>
        <m:r>
          <m:t>290</m:t>
        </m:r>
        <m:r>
          <m:rPr>
            <m:sty m:val="p"/>
          </m:rPr>
          <m:t>=</m:t>
        </m:r>
        <m:r>
          <m:rPr>
            <m:sty m:val="p"/>
          </m:rPr>
          <m:t>$</m:t>
        </m:r>
        <m:r>
          <m:t>886</m:t>
        </m:r>
        <m:r>
          <m:rPr>
            <m:sty m:val="p"/>
          </m:rPr>
          <m:t>,</m:t>
        </m:r>
        <m:r>
          <m:t>957</m:t>
        </m:r>
      </m:oMath>
      <w:r>
        <w:t xml:space="preserve">, which is 96.6%.</w:t>
      </w:r>
    </w:p>
    <w:bookmarkEnd w:id="30"/>
    <w:bookmarkStart w:id="31" w:name="Xcf99c12515c64a9790d2e55403e50653144ef04"/>
    <w:p>
      <w:pPr>
        <w:pStyle w:val="Heading2"/>
      </w:pPr>
      <w:r>
        <w:t xml:space="preserve">5.4 What the solver also tells you: the shadow price</w:t>
      </w:r>
    </w:p>
    <w:p>
      <w:pPr>
        <w:pStyle w:val="FirstParagraph"/>
      </w:pPr>
      <w:r>
        <w:t xml:space="preserve">Every constraint in an LP has a</w:t>
      </w:r>
      <w:r>
        <w:t xml:space="preserve"> </w:t>
      </w:r>
      <w:r>
        <w:rPr>
          <w:b/>
          <w:bCs/>
        </w:rPr>
        <w:t xml:space="preserve">shadow price</w:t>
      </w:r>
      <w:r>
        <w:t xml:space="preserve">: the extra cost of tightening it by one unit. Here, the shadow price of Counterparty A's IM constraint is</w:t>
      </w:r>
      <w:r>
        <w:t xml:space="preserve"> </w:t>
      </w:r>
      <w:r>
        <w:rPr>
          <w:b/>
          <w:bCs/>
        </w:rPr>
        <w:t xml:space="preserve">0.2551% per dollar</w:t>
      </w:r>
      <w:r>
        <w:t xml:space="preserve">. That equals</w:t>
      </w:r>
      <w:r>
        <w:t xml:space="preserve"> </w:t>
      </w:r>
      <m:oMath>
        <m:r>
          <m:t>25</m:t>
        </m:r>
        <m:r>
          <m:rPr>
            <m:nor/>
            <m:sty m:val="p"/>
          </m:rPr>
          <m:t> bps</m:t>
        </m:r>
        <m:r>
          <m:rPr>
            <m:sty m:val="p"/>
          </m:rPr>
          <m:t>/</m:t>
        </m:r>
        <m:r>
          <m:rPr>
            <m:sty m:val="p"/>
          </m:rPr>
          <m:t>(</m:t>
        </m:r>
        <m:r>
          <m:t>1</m:t>
        </m:r>
        <m:r>
          <m:rPr>
            <m:sty m:val="p"/>
          </m:rPr>
          <m:t>−</m:t>
        </m:r>
        <m:r>
          <m:t>0.02</m:t>
        </m:r>
        <m:r>
          <m:rPr>
            <m:sty m:val="p"/>
          </m:rPr>
          <m:t>)</m:t>
        </m:r>
      </m:oMath>
      <w:r>
        <w:t xml:space="preserve">, the cost per dollar of coverage of the 1-5Y Treasury, which is the</w:t>
      </w:r>
      <w:r>
        <w:t xml:space="preserve"> </w:t>
      </w:r>
      <w:r>
        <w:rPr>
          <w:b/>
          <w:bCs/>
        </w:rPr>
        <w:t xml:space="preserve">marginal asset</w:t>
      </w:r>
      <w:r>
        <w:t xml:space="preserve"> </w:t>
      </w:r>
      <w:r>
        <w:t xml:space="preserve">(the last one the solver uses). So:</w:t>
      </w:r>
      <w:r>
        <w:t xml:space="preserve"> </w:t>
      </w:r>
      <w:r>
        <w:rPr>
          <w:i/>
          <w:iCs/>
        </w:rPr>
        <w:t xml:space="preserve">if A's margin rises by $1 million, the extra annual cost is about $2,551</w:t>
      </w:r>
      <w:r>
        <w:t xml:space="preserve">, until that asset also runs out. This is a useful number for pricing the cost of extra margin to a trading desk.</w:t>
      </w:r>
    </w:p>
    <w:bookmarkEnd w:id="31"/>
    <w:bookmarkEnd w:id="32"/>
    <w:bookmarkStart w:id="39" w:name="scenarios"/>
    <w:p>
      <w:pPr>
        <w:pStyle w:val="Heading1"/>
      </w:pPr>
      <w:r>
        <w:t xml:space="preserve">6. Scenarios</w:t>
      </w:r>
    </w:p>
    <w:p>
      <w:pPr>
        <w:pStyle w:val="CaptionedFigure"/>
      </w:pPr>
      <w:r>
        <w:drawing>
          <wp:inline>
            <wp:extent cx="5334000" cy="3048000"/>
            <wp:effectExtent b="0" l="0" r="0" t="0"/>
            <wp:docPr descr="Cost of posting collateral versus the cash funding rate." title="" id="34" name="Picture"/>
            <a:graphic>
              <a:graphicData uri="http://schemas.openxmlformats.org/drawingml/2006/picture">
                <pic:pic>
                  <pic:nvPicPr>
                    <pic:cNvPr descr="../outputs/figures/fig_funding_sweep.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Cost of posting collateral versus the cash funding rate.</w:t>
      </w:r>
    </w:p>
    <w:p>
      <w:pPr>
        <w:pStyle w:val="BodyText"/>
      </w:pPr>
      <w:r>
        <w:rPr>
          <w:b/>
          <w:bCs/>
        </w:rPr>
        <w:t xml:space="preserve">Funding rate sweep.</w:t>
      </w:r>
      <w:r>
        <w:t xml:space="preserve"> </w:t>
      </w:r>
      <w:r>
        <w:t xml:space="preserve">The optimized cost stays at $31,290 because the optimizer never uses cash. The cash-only cost scales with the funding rate, so the saving rises from $70,738 (50 bps) to $1,193,040 (600 bps).</w:t>
      </w:r>
    </w:p>
    <w:p>
      <w:pPr>
        <w:pStyle w:val="BodyText"/>
      </w:pPr>
      <w:r>
        <w:rPr>
          <w:b/>
          <w:bCs/>
        </w:rPr>
        <w:t xml:space="preserve">Haircut stress.</w:t>
      </w:r>
      <w:r>
        <w:t xml:space="preserve"> </w:t>
      </w:r>
      <w:r>
        <w:t xml:space="preserve">Multiplying every haircut by 1.0, 1.5, 2.0, 3.0 raises the optimized cost only slightly ($31,290 to $31,876) because the cheap Treasuries have small haircuts to begin with, so the firm posts about 0.5% to 1.7% more market value than the IM.</w:t>
      </w:r>
    </w:p>
    <w:p>
      <w:pPr>
        <w:pStyle w:val="BodyText"/>
      </w:pPr>
      <w:r>
        <w:rPr>
          <w:b/>
          <w:bCs/>
        </w:rPr>
        <w:t xml:space="preserve">Initial margin scaling.</w:t>
      </w:r>
      <w:r>
        <w:t xml:space="preserve"> </w:t>
      </w:r>
      <w:r>
        <w:t xml:space="preserve">As total IM grows, cost grows faster than proportionally once the cheapest assets run out. The shadow price steps up from 0.255% to 0.365% at 2.5 times the base IM, and 0.598% at 3 times.</w:t>
      </w:r>
    </w:p>
    <w:p>
      <w:pPr>
        <w:pStyle w:val="CaptionedFigure"/>
      </w:pPr>
      <w:r>
        <w:drawing>
          <wp:inline>
            <wp:extent cx="5334000" cy="3048000"/>
            <wp:effectExtent b="0" l="0" r="0" t="0"/>
            <wp:docPr descr="Optimized cost as total initial margin grows." title="" id="37" name="Picture"/>
            <a:graphic>
              <a:graphicData uri="http://schemas.openxmlformats.org/drawingml/2006/picture">
                <pic:pic>
                  <pic:nvPicPr>
                    <pic:cNvPr descr="../outputs/figures/fig_im_scaling.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Optimized cost as total initial margin grows.</w:t>
      </w:r>
    </w:p>
    <w:p>
      <w:pPr>
        <w:pStyle w:val="BodyText"/>
      </w:pPr>
      <w:r>
        <w:rPr>
          <w:b/>
          <w:bCs/>
        </w:rPr>
        <w:t xml:space="preserve">Treasury scarcity.</w:t>
      </w:r>
      <w:r>
        <w:t xml:space="preserve"> </w:t>
      </w:r>
      <w:r>
        <w:t xml:space="preserve">If only 25% of the Treasury inventory is available, cost rises to $70,359. At 10% the firm is forced to use $8.6 million of cash and cost jumps to $438,144, showing how valuable a deep stock of high-quality liquid assets is.</w:t>
      </w:r>
    </w:p>
    <w:p>
      <w:pPr>
        <w:pStyle w:val="BodyText"/>
      </w:pPr>
      <w:r>
        <w:rPr>
          <w:b/>
          <w:bCs/>
        </w:rPr>
        <w:t xml:space="preserve">Eligibility.</w:t>
      </w:r>
      <w:r>
        <w:t xml:space="preserve"> </w:t>
      </w:r>
      <w:r>
        <w:t xml:space="preserve">If the under-1Y Treasuries are not accepted by Counterparty B, cost rises from $31,290 to $45,904. If neither counterparty accepts them, cost is $52,055. Eligibility terms in the legal agreements therefore have a direct price.</w:t>
      </w:r>
    </w:p>
    <w:bookmarkEnd w:id="39"/>
    <w:bookmarkStart w:id="40" w:name="the-mistake-that-was-caught-and-fixed"/>
    <w:p>
      <w:pPr>
        <w:pStyle w:val="Heading1"/>
      </w:pPr>
      <w:r>
        <w:t xml:space="preserve">7. The mistake that was caught and fixed</w:t>
      </w:r>
    </w:p>
    <w:p>
      <w:pPr>
        <w:pStyle w:val="FirstParagraph"/>
      </w:pPr>
      <w:r>
        <w:t xml:space="preserve">The first version of the model set cash's opportunity cost to</w:t>
      </w:r>
      <w:r>
        <w:t xml:space="preserve"> </w:t>
      </w:r>
      <w:r>
        <w:rPr>
          <w:b/>
          <w:bCs/>
        </w:rPr>
        <w:t xml:space="preserve">zero</w:t>
      </w:r>
      <w:r>
        <w:t xml:space="preserve">. That is backwards: cash is the most expensive collateral because it forgoes the funding rate. With a zero cost, the optimizer fills the</w:t>
      </w:r>
      <w:r>
        <w:t xml:space="preserve"> </w:t>
      </w:r>
      <w:r>
        <w:rPr>
          <w:b/>
          <w:bCs/>
        </w:rPr>
        <w:t xml:space="preserve">whole $15 million cash line first</w:t>
      </w:r>
      <w:r>
        <w:t xml:space="preserve">, then covers the rest with Treasuries, and reports a total cost of only $8,149, a fake saving. The fix was to set cash's opportunity cost to the funding rate (about 450 bps). A regression test (</w:t>
      </w:r>
      <w:r>
        <w:rPr>
          <w:rStyle w:val="VerbatimChar"/>
        </w:rPr>
        <w:t xml:space="preserve">test_zero_cash_cost_bug_is_detectable</w:t>
      </w:r>
      <w:r>
        <w:t xml:space="preserve">) keeps this error from returning.</w:t>
      </w:r>
    </w:p>
    <w:p>
      <w:pPr>
        <w:pStyle w:val="BodyText"/>
      </w:pPr>
      <w:r>
        <w:rPr>
          <w:b/>
          <w:bCs/>
        </w:rPr>
        <w:t xml:space="preserve">Lesson.</w:t>
      </w:r>
      <w:r>
        <w:t xml:space="preserve"> </w:t>
      </w:r>
      <w:r>
        <w:t xml:space="preserve">An optimizer is only as good as its cost inputs. A result that looks too good deserves a sanity check against economic logic.</w:t>
      </w:r>
    </w:p>
    <w:bookmarkEnd w:id="40"/>
    <w:bookmarkStart w:id="41" w:name="how-the-result-was-checked"/>
    <w:p>
      <w:pPr>
        <w:pStyle w:val="Heading1"/>
      </w:pPr>
      <w:r>
        <w:t xml:space="preserve">8. How the result was checked</w:t>
      </w:r>
    </w:p>
    <w:p>
      <w:pPr>
        <w:pStyle w:val="FirstParagraph"/>
      </w:pPr>
      <w:r>
        <w:t xml:space="preserve">The tests (</w:t>
      </w:r>
      <w:r>
        <w:rPr>
          <w:rStyle w:val="VerbatimChar"/>
        </w:rPr>
        <w:t xml:space="preserve">python/tests/test_engine.py</w:t>
      </w:r>
      <w:r>
        <w:t xml:space="preserve">, 12 tests, all passing) check:</w:t>
      </w:r>
    </w:p>
    <w:p>
      <w:pPr>
        <w:pStyle w:val="Compact"/>
        <w:numPr>
          <w:ilvl w:val="0"/>
          <w:numId w:val="1006"/>
        </w:numPr>
      </w:pPr>
      <w:r>
        <w:t xml:space="preserve">The aggregation formula against hand calculations at</w:t>
      </w:r>
      <w:r>
        <w:t xml:space="preserve"> </w:t>
      </w:r>
      <m:oMath>
        <m:r>
          <m:t>ρ</m:t>
        </m:r>
        <m:r>
          <m:rPr>
            <m:sty m:val="p"/>
          </m:rPr>
          <m:t>=</m:t>
        </m:r>
        <m:r>
          <m:t>0</m:t>
        </m:r>
      </m:oMath>
      <w:r>
        <w:t xml:space="preserve"> </w:t>
      </w:r>
      <w:r>
        <w:t xml:space="preserve">and</w:t>
      </w:r>
      <w:r>
        <w:t xml:space="preserve"> </w:t>
      </w:r>
      <m:oMath>
        <m:r>
          <m:t>ρ</m:t>
        </m:r>
        <m:r>
          <m:rPr>
            <m:sty m:val="p"/>
          </m:rPr>
          <m:t>=</m:t>
        </m:r>
        <m:r>
          <m:t>1</m:t>
        </m:r>
      </m:oMath>
      <w:r>
        <w:t xml:space="preserve">.</w:t>
      </w:r>
    </w:p>
    <w:p>
      <w:pPr>
        <w:pStyle w:val="Compact"/>
        <w:numPr>
          <w:ilvl w:val="0"/>
          <w:numId w:val="1006"/>
        </w:numPr>
      </w:pPr>
      <w:r>
        <w:t xml:space="preserve">The IM lies between the root-sum-of-squares and the simple sum.</w:t>
      </w:r>
    </w:p>
    <w:p>
      <w:pPr>
        <w:pStyle w:val="Compact"/>
        <w:numPr>
          <w:ilvl w:val="0"/>
          <w:numId w:val="1006"/>
        </w:numPr>
      </w:pPr>
      <w:r>
        <w:t xml:space="preserve">Headline IM and costs match the pinned values.</w:t>
      </w:r>
    </w:p>
    <w:p>
      <w:pPr>
        <w:pStyle w:val="Compact"/>
        <w:numPr>
          <w:ilvl w:val="0"/>
          <w:numId w:val="1006"/>
        </w:numPr>
      </w:pPr>
      <w:r>
        <w:t xml:space="preserve">The allocation covers each IM after haircuts, respects inventory and eligibility.</w:t>
      </w:r>
    </w:p>
    <w:p>
      <w:pPr>
        <w:pStyle w:val="Compact"/>
        <w:numPr>
          <w:ilvl w:val="0"/>
          <w:numId w:val="1006"/>
        </w:numPr>
      </w:pPr>
      <w:r>
        <w:t xml:space="preserve">No random feasible allocation is cheaper than the LP solution (several thousand random trials).</w:t>
      </w:r>
    </w:p>
    <w:p>
      <w:pPr>
        <w:pStyle w:val="Compact"/>
        <w:numPr>
          <w:ilvl w:val="0"/>
          <w:numId w:val="1006"/>
        </w:numPr>
      </w:pPr>
      <w:r>
        <w:t xml:space="preserve">The shadow price equals the marginal asset's unit cost.</w:t>
      </w:r>
    </w:p>
    <w:p>
      <w:pPr>
        <w:pStyle w:val="Compact"/>
        <w:numPr>
          <w:ilvl w:val="0"/>
          <w:numId w:val="1006"/>
        </w:numPr>
      </w:pPr>
      <w:r>
        <w:t xml:space="preserve">Higher haircuts never reduce cost.</w:t>
      </w:r>
    </w:p>
    <w:p>
      <w:pPr>
        <w:pStyle w:val="Compact"/>
        <w:numPr>
          <w:ilvl w:val="0"/>
          <w:numId w:val="1006"/>
        </w:numPr>
      </w:pPr>
      <w:r>
        <w:t xml:space="preserve">An impossible request (20 times the IM) is correctly reported as infeasible.</w:t>
      </w:r>
    </w:p>
    <w:p>
      <w:pPr>
        <w:pStyle w:val="Compact"/>
        <w:numPr>
          <w:ilvl w:val="0"/>
          <w:numId w:val="1006"/>
        </w:numPr>
      </w:pPr>
      <w:r>
        <w:t xml:space="preserve">The cash-cost error is detectable.</w:t>
      </w:r>
    </w:p>
    <w:p>
      <w:pPr>
        <w:pStyle w:val="FirstParagraph"/>
      </w:pPr>
      <w:r>
        <w:t xml:space="preserve">The</w:t>
      </w:r>
      <w:r>
        <w:t xml:space="preserve"> </w:t>
      </w:r>
      <w:r>
        <w:rPr>
          <w:b/>
          <w:bCs/>
        </w:rPr>
        <w:t xml:space="preserve">Excel workbook</w:t>
      </w:r>
      <w:r>
        <w:t xml:space="preserve"> </w:t>
      </w:r>
      <w:r>
        <w:t xml:space="preserve">recomputes the IM and the coverage and cost checks with live formulas and matches Python to the cent.</w:t>
      </w:r>
    </w:p>
    <w:bookmarkEnd w:id="41"/>
    <w:bookmarkStart w:id="42" w:name="cross-check-with-a-structured-version"/>
    <w:p>
      <w:pPr>
        <w:pStyle w:val="Heading1"/>
      </w:pPr>
      <w:r>
        <w:t xml:space="preserve">9. Cross-check with a structured version</w:t>
      </w:r>
    </w:p>
    <w:p>
      <w:pPr>
        <w:pStyle w:val="FirstParagraph"/>
      </w:pPr>
      <w:r>
        <w:t xml:space="preserve">To test how much the simplified rate treatment matters,</w:t>
      </w:r>
      <w:r>
        <w:t xml:space="preserve"> </w:t>
      </w:r>
      <w:r>
        <w:rPr>
          <w:rStyle w:val="VerbatimChar"/>
        </w:rPr>
        <w:t xml:space="preserve">structured_im</w:t>
      </w:r>
      <w:r>
        <w:t xml:space="preserve"> </w:t>
      </w:r>
      <w:r>
        <w:t xml:space="preserve">recomputes IM with:</w:t>
      </w:r>
    </w:p>
    <w:p>
      <w:pPr>
        <w:pStyle w:val="Compact"/>
        <w:numPr>
          <w:ilvl w:val="0"/>
          <w:numId w:val="1007"/>
        </w:numPr>
      </w:pPr>
      <w:r>
        <w:t xml:space="preserve">per-name equity buckets and a 15% within-bucket correlation;</w:t>
      </w:r>
    </w:p>
    <w:p>
      <w:pPr>
        <w:pStyle w:val="Compact"/>
        <w:numPr>
          <w:ilvl w:val="0"/>
          <w:numId w:val="1007"/>
        </w:numPr>
      </w:pPr>
      <w:r>
        <w:t xml:space="preserve">a true</w:t>
      </w:r>
      <w:r>
        <w:t xml:space="preserve"> </w:t>
      </w:r>
      <w:r>
        <w:rPr>
          <w:b/>
          <w:bCs/>
        </w:rPr>
        <w:t xml:space="preserve">PV01</w:t>
      </w:r>
      <w:r>
        <w:t xml:space="preserve"> </w:t>
      </w:r>
      <w:r>
        <w:t xml:space="preserve">for rates (dollars per basis point,</w:t>
      </w:r>
      <w:r>
        <w:t xml:space="preserve"> </w:t>
      </w:r>
      <m:oMath>
        <m:r>
          <m:rPr>
            <m:sty m:val="p"/>
          </m:rPr>
          <m:t>=</m:t>
        </m:r>
        <m:r>
          <m:rPr>
            <m:nor/>
            <m:sty m:val="p"/>
          </m:rPr>
          <m:t>notional</m:t>
        </m:r>
        <m:r>
          <m:rPr>
            <m:sty m:val="p"/>
          </m:rPr>
          <m:t>×</m:t>
        </m:r>
        <m:r>
          <m:rPr>
            <m:nor/>
            <m:sty m:val="p"/>
          </m:rPr>
          <m:t>duration</m:t>
        </m:r>
        <m:r>
          <m:rPr>
            <m:sty m:val="p"/>
          </m:rPr>
          <m:t>/</m:t>
        </m:r>
        <m:r>
          <m:rPr>
            <m:sty m:val="p"/>
          </m:rPr>
          <m:t>(</m:t>
        </m:r>
        <m:r>
          <m:t>1</m:t>
        </m:r>
        <m:r>
          <m:rPr>
            <m:sty m:val="p"/>
          </m:rPr>
          <m:t>+</m:t>
        </m:r>
        <m:r>
          <m:t>y</m:t>
        </m:r>
        <m:r>
          <m:rPr>
            <m:sty m:val="p"/>
          </m:rPr>
          <m:t>)</m:t>
        </m:r>
        <m:r>
          <m:rPr>
            <m:sty m:val="p"/>
          </m:rPr>
          <m:t>×</m:t>
        </m:r>
        <m:r>
          <m:t>0.0001</m:t>
        </m:r>
      </m:oMath>
      <w:r>
        <w:t xml:space="preserve">) times a 60 bp risk weight, an illustrative figure.</w:t>
      </w:r>
    </w:p>
    <w:p>
      <w:pPr>
        <w:pStyle w:val="FirstParagraph"/>
      </w:pPr>
      <w:r>
        <w:t xml:space="preserve">It gives IM of about $2.28 million (A) and $4.63 million (B), a total of</w:t>
      </w:r>
      <w:r>
        <w:t xml:space="preserve"> </w:t>
      </w:r>
      <w:r>
        <w:rPr>
          <w:b/>
          <w:bCs/>
        </w:rPr>
        <w:t xml:space="preserve">$6.9 million, about one third of the headline $20.4 million</w:t>
      </w:r>
      <w:r>
        <w:t xml:space="preserve">. The headline's rate leg multiplies a notional-equivalent scale by a percentage weight, which is much larger than a PV01-based weighting. This is why the headline should be described as</w:t>
      </w:r>
      <w:r>
        <w:t xml:space="preserve"> </w:t>
      </w:r>
      <w:r>
        <w:rPr>
          <w:b/>
          <w:bCs/>
        </w:rPr>
        <w:t xml:space="preserve">illustrative and conservative</w:t>
      </w:r>
      <w:r>
        <w:t xml:space="preserve">, not as a prediction of what a real SIMM calculation would produce for these trades. The collateral-optimization logic is unaffected: it takes any IM figure as input.</w:t>
      </w:r>
    </w:p>
    <w:bookmarkEnd w:id="42"/>
    <w:bookmarkStart w:id="43" w:name="limitations"/>
    <w:p>
      <w:pPr>
        <w:pStyle w:val="Heading1"/>
      </w:pPr>
      <w:r>
        <w:t xml:space="preserve">10. Limitations</w:t>
      </w:r>
    </w:p>
    <w:p>
      <w:pPr>
        <w:pStyle w:val="Compact"/>
        <w:numPr>
          <w:ilvl w:val="0"/>
          <w:numId w:val="1008"/>
        </w:numPr>
      </w:pPr>
      <w:r>
        <w:t xml:space="preserve">Delta risk only. No vega, curvature, base correlation, credit or commodity classes.</w:t>
      </w:r>
    </w:p>
    <w:p>
      <w:pPr>
        <w:pStyle w:val="Compact"/>
        <w:numPr>
          <w:ilvl w:val="0"/>
          <w:numId w:val="1008"/>
        </w:numPr>
      </w:pPr>
      <w:r>
        <w:t xml:space="preserve">Single risk bucket per class in the headline method; real SIMM has many buckets and tenor correlations.</w:t>
      </w:r>
    </w:p>
    <w:p>
      <w:pPr>
        <w:pStyle w:val="Compact"/>
        <w:numPr>
          <w:ilvl w:val="0"/>
          <w:numId w:val="1008"/>
        </w:numPr>
      </w:pPr>
      <w:r>
        <w:t xml:space="preserve">Risk weights and correlations are illustrative, not ISDA calibrated.</w:t>
      </w:r>
    </w:p>
    <w:p>
      <w:pPr>
        <w:pStyle w:val="Compact"/>
        <w:numPr>
          <w:ilvl w:val="0"/>
          <w:numId w:val="1008"/>
        </w:numPr>
      </w:pPr>
      <w:r>
        <w:t xml:space="preserve">Static one-period optimization with no margin call timing, thresholds, minimum transfer amounts, concentration limits or collateral substitution costs.</w:t>
      </w:r>
    </w:p>
    <w:p>
      <w:pPr>
        <w:pStyle w:val="Compact"/>
        <w:numPr>
          <w:ilvl w:val="0"/>
          <w:numId w:val="1008"/>
        </w:numPr>
      </w:pPr>
      <w:r>
        <w:t xml:space="preserve">Opportunity costs are assumed, not derived from a repo curve.</w:t>
      </w:r>
    </w:p>
    <w:p>
      <w:pPr>
        <w:pStyle w:val="Compact"/>
        <w:numPr>
          <w:ilvl w:val="0"/>
          <w:numId w:val="1008"/>
        </w:numPr>
      </w:pPr>
      <w:r>
        <w:t xml:space="preserve">The portfolios and inventory are constructed examples, not a real book.</w:t>
      </w:r>
    </w:p>
    <w:bookmarkEnd w:id="43"/>
    <w:bookmarkStart w:id="44" w:name="how-to-run"/>
    <w:p>
      <w:pPr>
        <w:pStyle w:val="Heading1"/>
      </w:pPr>
      <w:r>
        <w:t xml:space="preserve">11. How to run</w:t>
      </w:r>
    </w:p>
    <w:p>
      <w:pPr>
        <w:pStyle w:val="SourceCode"/>
      </w:pPr>
      <w:r>
        <w:rPr>
          <w:rStyle w:val="VerbatimChar"/>
        </w:rPr>
        <w:t xml:space="preserve">pip install -r python/requirements.txt</w:t>
      </w:r>
      <w:r>
        <w:br/>
      </w:r>
      <w:r>
        <w:rPr>
          <w:rStyle w:val="VerbatimChar"/>
        </w:rPr>
        <w:t xml:space="preserve">python python/run_all.py          # computes everything, writes outputs/, checks the headline numbers</w:t>
      </w:r>
      <w:r>
        <w:br/>
      </w:r>
      <w:r>
        <w:rPr>
          <w:rStyle w:val="VerbatimChar"/>
        </w:rPr>
        <w:t xml:space="preserve">python -m pytest python/tests     # 12 tests</w:t>
      </w:r>
      <w:r>
        <w:br/>
      </w:r>
      <w:r>
        <w:rPr>
          <w:rStyle w:val="VerbatimChar"/>
        </w:rPr>
        <w:t xml:space="preserve">python python/build_excel.py      # rebuilds the Excel workbook</w:t>
      </w:r>
    </w:p>
    <w:bookmarkEnd w:id="44"/>
    <w:bookmarkStart w:id="45" w:name="glossary"/>
    <w:p>
      <w:pPr>
        <w:pStyle w:val="Heading1"/>
      </w:pPr>
      <w:r>
        <w:t xml:space="preserve">12. Glossary</w:t>
      </w:r>
    </w:p>
    <w:p>
      <w:pPr>
        <w:pStyle w:val="FirstParagraph"/>
      </w:pPr>
      <w:r>
        <w:rPr>
          <w:b/>
          <w:bCs/>
        </w:rPr>
        <w:t xml:space="preserve">Basis point (bp).</w:t>
      </w:r>
      <w:r>
        <w:t xml:space="preserve"> </w:t>
      </w:r>
      <w:r>
        <w:t xml:space="preserve">One hundredth of one percent.</w:t>
      </w:r>
    </w:p>
    <w:p>
      <w:pPr>
        <w:pStyle w:val="BodyText"/>
      </w:pPr>
      <w:r>
        <w:rPr>
          <w:b/>
          <w:bCs/>
        </w:rPr>
        <w:t xml:space="preserve">BCBS-IOSCO.</w:t>
      </w:r>
      <w:r>
        <w:t xml:space="preserve"> </w:t>
      </w:r>
      <w:r>
        <w:t xml:space="preserve">The Basel Committee and the securities regulators' group that set the global rules for margin on non-cleared derivatives.</w:t>
      </w:r>
    </w:p>
    <w:p>
      <w:pPr>
        <w:pStyle w:val="BodyText"/>
      </w:pPr>
      <w:r>
        <w:rPr>
          <w:b/>
          <w:bCs/>
        </w:rPr>
        <w:t xml:space="preserve">Collateral.</w:t>
      </w:r>
      <w:r>
        <w:t xml:space="preserve"> </w:t>
      </w:r>
      <w:r>
        <w:t xml:space="preserve">Assets pledged to secure an obligation.</w:t>
      </w:r>
    </w:p>
    <w:p>
      <w:pPr>
        <w:pStyle w:val="BodyText"/>
      </w:pPr>
      <w:r>
        <w:rPr>
          <w:b/>
          <w:bCs/>
        </w:rPr>
        <w:t xml:space="preserve">Counterparty.</w:t>
      </w:r>
      <w:r>
        <w:t xml:space="preserve"> </w:t>
      </w:r>
      <w:r>
        <w:t xml:space="preserve">The firm on the other side of a contract.</w:t>
      </w:r>
    </w:p>
    <w:p>
      <w:pPr>
        <w:pStyle w:val="BodyText"/>
      </w:pPr>
      <w:r>
        <w:rPr>
          <w:b/>
          <w:bCs/>
        </w:rPr>
        <w:t xml:space="preserve">Delta.</w:t>
      </w:r>
      <w:r>
        <w:t xml:space="preserve"> </w:t>
      </w:r>
      <w:r>
        <w:t xml:space="preserve">Change in a position's value for a small move in a risk factor.</w:t>
      </w:r>
    </w:p>
    <w:p>
      <w:pPr>
        <w:pStyle w:val="BodyText"/>
      </w:pPr>
      <w:r>
        <w:rPr>
          <w:b/>
          <w:bCs/>
        </w:rPr>
        <w:t xml:space="preserve">Haircut.</w:t>
      </w:r>
      <w:r>
        <w:t xml:space="preserve"> </w:t>
      </w:r>
      <w:r>
        <w:t xml:space="preserve">A discount applied to the market value of collateral.</w:t>
      </w:r>
    </w:p>
    <w:p>
      <w:pPr>
        <w:pStyle w:val="BodyText"/>
      </w:pPr>
      <w:r>
        <w:rPr>
          <w:b/>
          <w:bCs/>
        </w:rPr>
        <w:t xml:space="preserve">Initial margin (IM).</w:t>
      </w:r>
      <w:r>
        <w:t xml:space="preserve"> </w:t>
      </w:r>
      <w:r>
        <w:t xml:space="preserve">A buffer posted at the start of trading to cover potential loss after a default.</w:t>
      </w:r>
    </w:p>
    <w:p>
      <w:pPr>
        <w:pStyle w:val="BodyText"/>
      </w:pPr>
      <w:r>
        <w:rPr>
          <w:b/>
          <w:bCs/>
        </w:rPr>
        <w:t xml:space="preserve">ISDA.</w:t>
      </w:r>
      <w:r>
        <w:t xml:space="preserve"> </w:t>
      </w:r>
      <w:r>
        <w:t xml:space="preserve">International Swaps and Derivatives Association.</w:t>
      </w:r>
    </w:p>
    <w:p>
      <w:pPr>
        <w:pStyle w:val="BodyText"/>
      </w:pPr>
      <w:r>
        <w:rPr>
          <w:b/>
          <w:bCs/>
        </w:rPr>
        <w:t xml:space="preserve">Linear program.</w:t>
      </w:r>
      <w:r>
        <w:t xml:space="preserve"> </w:t>
      </w:r>
      <w:r>
        <w:t xml:space="preserve">An optimization with a linear cost and linear constraints.</w:t>
      </w:r>
    </w:p>
    <w:p>
      <w:pPr>
        <w:pStyle w:val="BodyText"/>
      </w:pPr>
      <w:r>
        <w:rPr>
          <w:b/>
          <w:bCs/>
        </w:rPr>
        <w:t xml:space="preserve">Netting set.</w:t>
      </w:r>
      <w:r>
        <w:t xml:space="preserve"> </w:t>
      </w:r>
      <w:r>
        <w:t xml:space="preserve">All trades with one counterparty that can be netted against each other.</w:t>
      </w:r>
    </w:p>
    <w:p>
      <w:pPr>
        <w:pStyle w:val="BodyText"/>
      </w:pPr>
      <w:r>
        <w:rPr>
          <w:b/>
          <w:bCs/>
        </w:rPr>
        <w:t xml:space="preserve">Opportunity cost.</w:t>
      </w:r>
      <w:r>
        <w:t xml:space="preserve"> </w:t>
      </w:r>
      <w:r>
        <w:t xml:space="preserve">What is given up by using an asset one way instead of another.</w:t>
      </w:r>
    </w:p>
    <w:p>
      <w:pPr>
        <w:pStyle w:val="BodyText"/>
      </w:pPr>
      <w:r>
        <w:rPr>
          <w:b/>
          <w:bCs/>
        </w:rPr>
        <w:t xml:space="preserve">PV01.</w:t>
      </w:r>
      <w:r>
        <w:t xml:space="preserve"> </w:t>
      </w:r>
      <w:r>
        <w:t xml:space="preserve">The change in value for a one basis point move in interest rates.</w:t>
      </w:r>
    </w:p>
    <w:p>
      <w:pPr>
        <w:pStyle w:val="BodyText"/>
      </w:pPr>
      <w:r>
        <w:rPr>
          <w:b/>
          <w:bCs/>
        </w:rPr>
        <w:t xml:space="preserve">Risk weight.</w:t>
      </w:r>
      <w:r>
        <w:t xml:space="preserve"> </w:t>
      </w:r>
      <w:r>
        <w:t xml:space="preserve">A factor that scales a sensitivity by how much the risk typically moves.</w:t>
      </w:r>
    </w:p>
    <w:p>
      <w:pPr>
        <w:pStyle w:val="BodyText"/>
      </w:pPr>
      <w:r>
        <w:rPr>
          <w:b/>
          <w:bCs/>
        </w:rPr>
        <w:t xml:space="preserve">Shadow price.</w:t>
      </w:r>
      <w:r>
        <w:t xml:space="preserve"> </w:t>
      </w:r>
      <w:r>
        <w:t xml:space="preserve">The change in the optimum cost per unit tightening of a constraint.</w:t>
      </w:r>
    </w:p>
    <w:p>
      <w:pPr>
        <w:pStyle w:val="BodyText"/>
      </w:pPr>
      <w:r>
        <w:rPr>
          <w:b/>
          <w:bCs/>
        </w:rPr>
        <w:t xml:space="preserve">SIMM.</w:t>
      </w:r>
      <w:r>
        <w:t xml:space="preserve"> </w:t>
      </w:r>
      <w:r>
        <w:t xml:space="preserve">The ISDA Standard Initial Margin Model.</w:t>
      </w:r>
    </w:p>
    <w:p>
      <w:pPr>
        <w:pStyle w:val="BodyText"/>
      </w:pPr>
      <w:r>
        <w:rPr>
          <w:b/>
          <w:bCs/>
        </w:rPr>
        <w:t xml:space="preserve">Variation margin (VM).</w:t>
      </w:r>
      <w:r>
        <w:t xml:space="preserve"> </w:t>
      </w:r>
      <w:r>
        <w:t xml:space="preserve">Daily payments that track the current profit or loss.</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b/>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rPr>
  </w:style>
  <w:style w:customStyle="1" w:styleId="Heading8Char" w:type="character">
    <w:name w:val="Heading 8 Char"/>
    <w:basedOn w:val="DefaultParagraphFont"/>
    <w:link w:val="Heading8"/>
    <w:uiPriority w:val="9"/>
    <w:semiHidden/>
    <w:rsid w:val="00A10FD9"/>
    <w:rPr>
      <w:rFonts w:cstheme="majorBidi" w:eastAsiaTheme="majorEastAsia"/>
      <w:i/>
      <w:iCs/>
    </w:rPr>
  </w:style>
  <w:style w:customStyle="1" w:styleId="Heading9Char" w:type="character">
    <w:name w:val="Heading 9 Char"/>
    <w:basedOn w:val="DefaultParagraphFont"/>
    <w:link w:val="Heading9"/>
    <w:uiPriority w:val="9"/>
    <w:semiHidden/>
    <w:rsid w:val="00A10FD9"/>
    <w:rPr>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3" Type="http://schemas.openxmlformats.org/officeDocument/2006/relationships/image" Target="media/rId33.png"/><Relationship Id="rId20" Type="http://schemas.openxmlformats.org/officeDocument/2006/relationships/image" Target="media/rId20.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 and Collateral Optimization Engine</dc:title>
  <dc:creator>Deepak Chaudhary</dc:creator>
  <cp:keywords/>
  <dcterms:created xsi:type="dcterms:W3CDTF">2026-10-13T18:23:18Z</dcterms:created>
  <dcterms:modified xsi:type="dcterms:W3CDTF">2026-10-13T18:23:18Z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SIMM-style initial margin and a linear program that picks the cheapest collateral. A step-by-step guide for readers with no background.</vt:lpwstr>
  </property>
</Properties>
</file>