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Mortgage Delinquency and Prepayment Risk Model: Technical Documentation</w:t>
      </w:r>
    </w:p>
    <w:p>
      <w:pPr>
        <w:pStyle w:val="Author"/>
      </w:pPr>
      <w:r>
        <w:t xml:space="preserve">Deepak Chaudhary</w:t>
      </w:r>
    </w:p>
    <w:p>
      <w:pPr>
        <w:pStyle w:val="Date"/>
      </w:pPr>
      <w:r>
        <w:t xml:space="preserve">01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executive-summary-and-purpose"/>
    <w:p>
      <w:pPr>
        <w:pStyle w:val="Heading1"/>
      </w:pPr>
      <w:r>
        <w:rPr>
          <w:rStyle w:val="SectionNumber"/>
        </w:rPr>
        <w:t xml:space="preserve">1</w:t>
      </w:r>
      <w:r>
        <w:tab/>
      </w:r>
      <w:r>
        <w:t xml:space="preserve">Executive summary and purpose</w:t>
      </w:r>
    </w:p>
    <w:bookmarkStart w:id="9" w:name="what-this-project-is"/>
    <w:p>
      <w:pPr>
        <w:pStyle w:val="Heading2"/>
      </w:pPr>
      <w:r>
        <w:rPr>
          <w:rStyle w:val="SectionNumber"/>
        </w:rPr>
        <w:t xml:space="preserve">1.1</w:t>
      </w:r>
      <w:r>
        <w:tab/>
      </w:r>
      <w:r>
        <w:t xml:space="preserve">What this project is</w:t>
      </w:r>
    </w:p>
    <w:p>
      <w:pPr>
        <w:pStyle w:val="FirstParagraph"/>
      </w:pPr>
      <w:r>
        <w:t xml:space="preserve">This project builds, tests and documents two linked loan-level models for a pool of 30-year residential mortgages.</w:t>
      </w:r>
      <w:r>
        <w:t xml:space="preserve"> </w:t>
      </w:r>
      <w:r>
        <w:t xml:space="preserve">The first is a</w:t>
      </w:r>
      <w:r>
        <w:t xml:space="preserve"> </w:t>
      </w:r>
      <w:r>
        <w:rPr>
          <w:b/>
          <w:bCs/>
        </w:rPr>
        <w:t xml:space="preserve">12-month probability of default (PD)</w:t>
      </w:r>
      <w:r>
        <w:t xml:space="preserve"> </w:t>
      </w:r>
      <w:r>
        <w:t xml:space="preserve">model: given a loan that is current or 30 days past due today, what is the chance it reaches 90 or more days past due within the next twelve months?</w:t>
      </w:r>
      <w:r>
        <w:t xml:space="preserve"> </w:t>
      </w:r>
      <w:r>
        <w:t xml:space="preserve">The second is a</w:t>
      </w:r>
      <w:r>
        <w:t xml:space="preserve"> </w:t>
      </w:r>
      <w:r>
        <w:rPr>
          <w:b/>
          <w:bCs/>
        </w:rPr>
        <w:t xml:space="preserve">monthly prepayment (SMM) model</w:t>
      </w:r>
      <w:r>
        <w:t xml:space="preserve">: given a loan that is current this month, what is the chance the borrower pays it off in full next month?</w:t>
      </w:r>
      <w:r>
        <w:t xml:space="preserve"> </w:t>
      </w:r>
      <w:r>
        <w:t xml:space="preserve">Both are fitted twice, once as a transparent benchmark (an industry-style WoE scorecard for PD, a piecewise-linear logistic regression for prepayment) and once as gradient-boosted trees (XGBoost and LightGBM) with monotone constraints and probability calibration.</w:t>
      </w:r>
      <w:r>
        <w:t xml:space="preserve"> </w:t>
      </w:r>
      <w:r>
        <w:t xml:space="preserve">The models are explained with SHAP, stress-tested on six macro scenarios, and the resulting prepayment and default curves are exported in the format of a separate securitization waterfall project.</w:t>
      </w:r>
      <w:r>
        <w:t xml:space="preserve"> </w:t>
      </w:r>
      <w:r>
        <w:t xml:space="preserve">An Excel workbook re-implements the scorecard with live formulas and is reconciled to the Python code.</w:t>
      </w:r>
    </w:p>
    <w:bookmarkEnd w:id="9"/>
    <w:bookmarkStart w:id="10" w:name="Xd8c2ff0c3482726e3e7a865feb5b8625c69f320"/>
    <w:p>
      <w:pPr>
        <w:pStyle w:val="Heading2"/>
      </w:pPr>
      <w:r>
        <w:rPr>
          <w:rStyle w:val="SectionNumber"/>
        </w:rPr>
        <w:t xml:space="preserve">1.2</w:t>
      </w:r>
      <w:r>
        <w:tab/>
      </w:r>
      <w:r>
        <w:t xml:space="preserve">Read this first: what the data are and what the results prove</w:t>
      </w:r>
    </w:p>
    <w:p>
      <w:pPr>
        <w:pStyle w:val="FirstParagraph"/>
      </w:pPr>
      <w:r>
        <w:rPr>
          <w:b/>
          <w:bCs/>
        </w:rPr>
        <w:t xml:space="preserve">All data in this document are SYNTHETIC.</w:t>
      </w:r>
      <w:r>
        <w:t xml:space="preserve"> </w:t>
      </w:r>
      <w:r>
        <w:t xml:space="preserve">They were produced by a simulator (</w:t>
      </w:r>
      <w:r>
        <w:rPr>
          <w:rStyle w:val="VerbatimChar"/>
        </w:rPr>
        <w:t xml:space="preserve">python/mortgage_risk/synthetic.py</w:t>
      </w:r>
      <w:r>
        <w:t xml:space="preserve">) from an explicit set of equations written down in section 4, with stylized macro paths. No real borrower, loan or Freddie Mac record was used for any number, table or chart here. Every result therefore reflects the documented data generating process (DGP), including the strengths and the blind spots of the models against it.</w:t>
      </w:r>
    </w:p>
    <w:p>
      <w:pPr>
        <w:pStyle w:val="BodyText"/>
      </w:pPr>
      <w:r>
        <w:t xml:space="preserve">The consequence is simple and should be said plainly in any interview. A model trained on data that a known formula generated should be able to recover that formula's structure, and this project checks that it does (section 9 and section 10). That is a</w:t>
      </w:r>
      <w:r>
        <w:t xml:space="preserve"> </w:t>
      </w:r>
      <w:r>
        <w:rPr>
          <w:b/>
          <w:bCs/>
        </w:rPr>
        <w:t xml:space="preserve">methodology check</w:t>
      </w:r>
      <w:r>
        <w:t xml:space="preserve">. It shows the pipeline is built correctly: the target definitions, the time split, the leakage guards, the calibration and the explanations all behave as designed. It is</w:t>
      </w:r>
      <w:r>
        <w:t xml:space="preserve"> </w:t>
      </w:r>
      <w:r>
        <w:rPr>
          <w:b/>
          <w:bCs/>
        </w:rPr>
        <w:t xml:space="preserve">not evidence that the model would predict real mortgage defaults or prepayments</w:t>
      </w:r>
      <w:r>
        <w:t xml:space="preserve">, and none of the headline numbers below should be quoted as real-world performance. The project is also</w:t>
      </w:r>
      <w:r>
        <w:t xml:space="preserve"> </w:t>
      </w:r>
      <w:r>
        <w:rPr>
          <w:b/>
          <w:bCs/>
        </w:rPr>
        <w:t xml:space="preserve">not a bank-approved or validated production model</w:t>
      </w:r>
      <w:r>
        <w:t xml:space="preserve">; the governance section (section 12) is written in the style of a model risk document to show how such a model would be described and monitored, not to claim approval.</w:t>
      </w:r>
    </w:p>
    <w:p>
      <w:pPr>
        <w:pStyle w:val="BodyText"/>
      </w:pPr>
      <w:r>
        <w:t xml:space="preserve">The pipeline reads real Freddie Mac loan-level files if they are placed in</w:t>
      </w:r>
      <w:r>
        <w:t xml:space="preserve"> </w:t>
      </w:r>
      <w:r>
        <w:rPr>
          <w:rStyle w:val="VerbatimChar"/>
        </w:rPr>
        <w:t xml:space="preserve">data/raw/</w:t>
      </w:r>
      <w:r>
        <w:t xml:space="preserve"> </w:t>
      </w:r>
      <w:r>
        <w:t xml:space="preserve">(section 13), and the same code path then runs unchanged. No real files were used for any number in this document.</w:t>
      </w:r>
    </w:p>
    <w:bookmarkEnd w:id="10"/>
    <w:bookmarkStart w:id="11" w:name="Xf6d783e79e4d8fa64bbb4593f785f97ec9dfe5e"/>
    <w:p>
      <w:pPr>
        <w:pStyle w:val="Heading2"/>
      </w:pPr>
      <w:r>
        <w:rPr>
          <w:rStyle w:val="SectionNumber"/>
        </w:rPr>
        <w:t xml:space="preserve">1.3</w:t>
      </w:r>
      <w:r>
        <w:tab/>
      </w:r>
      <w:r>
        <w:t xml:space="preserve">Headline results (out-of-time, synthetic data)</w:t>
      </w:r>
    </w:p>
    <w:p>
      <w:pPr>
        <w:pStyle w:val="FirstParagraph"/>
      </w:pPr>
      <w:r>
        <w:t xml:space="preserve">All figures below are measured on data that no model saw during fitting: PD snapshots from January 2020 to December 2023 (123,395 loan snapshots) and prepayment loan-months from January 2020 to December 2024 (210,134 loan-months).</w:t>
      </w:r>
    </w:p>
    <w:p>
      <w:pPr>
        <w:pStyle w:val="Compact"/>
        <w:numPr>
          <w:ilvl w:val="0"/>
          <w:numId w:val="1001"/>
        </w:numPr>
      </w:pPr>
      <w:r>
        <w:rPr>
          <w:b/>
          <w:bCs/>
        </w:rPr>
        <w:t xml:space="preserve">PD discrimination.</w:t>
      </w:r>
      <w:r>
        <w:t xml:space="preserve"> </w:t>
      </w:r>
      <w:r>
        <w:t xml:space="preserve">The scorecard logit reaches an out-of-time AUC of 0.790 (Gini 0.579, KS 0.438). XGBoost reaches 0.812 and LightGBM 0.808. The gain of the trees over the scorecard is small in size but statistically firm (DeLong test, XGBoost p = 2.9e-26).</w:t>
      </w:r>
    </w:p>
    <w:p>
      <w:pPr>
        <w:pStyle w:val="Compact"/>
        <w:numPr>
          <w:ilvl w:val="0"/>
          <w:numId w:val="1001"/>
        </w:numPr>
      </w:pPr>
      <w:r>
        <w:rPr>
          <w:b/>
          <w:bCs/>
        </w:rPr>
        <w:t xml:space="preserve">PD ranking in practice.</w:t>
      </w:r>
      <w:r>
        <w:t xml:space="preserve"> </w:t>
      </w:r>
      <w:r>
        <w:t xml:space="preserve">The riskiest decile of LightGBM scores holds 50% of all defaults with an observed 12-month default rate of 11.5%, which is 4.97 times the portfolio average.</w:t>
      </w:r>
    </w:p>
    <w:p>
      <w:pPr>
        <w:pStyle w:val="Compact"/>
        <w:numPr>
          <w:ilvl w:val="0"/>
          <w:numId w:val="1001"/>
        </w:numPr>
      </w:pPr>
      <w:r>
        <w:rPr>
          <w:b/>
          <w:bCs/>
        </w:rPr>
        <w:t xml:space="preserve">PD calibration is the main weakness.</w:t>
      </w:r>
      <w:r>
        <w:t xml:space="preserve"> </w:t>
      </w:r>
      <w:r>
        <w:t xml:space="preserve">Overall, the out-of-time observed default rate is 2.32% against a mean LightGBM prediction of 1.90%, so the models</w:t>
      </w:r>
      <w:r>
        <w:t xml:space="preserve"> </w:t>
      </w:r>
      <w:r>
        <w:rPr>
          <w:b/>
          <w:bCs/>
        </w:rPr>
        <w:t xml:space="preserve">under-predict level by roughly a fifth</w:t>
      </w:r>
      <w:r>
        <w:t xml:space="preserve"> </w:t>
      </w:r>
      <w:r>
        <w:t xml:space="preserve">while ranking well (section 8.3 explains why).</w:t>
      </w:r>
    </w:p>
    <w:p>
      <w:pPr>
        <w:pStyle w:val="Compact"/>
        <w:numPr>
          <w:ilvl w:val="0"/>
          <w:numId w:val="1001"/>
        </w:numPr>
      </w:pPr>
      <w:r>
        <w:rPr>
          <w:b/>
          <w:bCs/>
        </w:rPr>
        <w:t xml:space="preserve">Prepayment.</w:t>
      </w:r>
      <w:r>
        <w:t xml:space="preserve"> </w:t>
      </w:r>
      <w:r>
        <w:t xml:space="preserve">Out-of-time AUC is 0.727 for the hinge logit and 0.731 for LightGBM; the trees add little because the simulated prepayment process is smooth. Predicted monthly CPR tracks actual CPR with a root-mean-square error of 4.99 percentage points (LightGBM).</w:t>
      </w:r>
    </w:p>
    <w:p>
      <w:pPr>
        <w:pStyle w:val="Compact"/>
        <w:numPr>
          <w:ilvl w:val="0"/>
          <w:numId w:val="1001"/>
        </w:numPr>
      </w:pPr>
      <w:r>
        <w:rPr>
          <w:b/>
          <w:bCs/>
        </w:rPr>
        <w:t xml:space="preserve">Explainability.</w:t>
      </w:r>
      <w:r>
        <w:t xml:space="preserve"> </w:t>
      </w:r>
      <w:r>
        <w:t xml:space="preserve">SHAP rankings and signs agree with the data generating process in 13 of 13 checks (section 9.2).</w:t>
      </w:r>
    </w:p>
    <w:p>
      <w:pPr>
        <w:pStyle w:val="Compact"/>
        <w:numPr>
          <w:ilvl w:val="0"/>
          <w:numId w:val="1001"/>
        </w:numPr>
      </w:pPr>
      <w:r>
        <w:rPr>
          <w:b/>
          <w:bCs/>
        </w:rPr>
        <w:t xml:space="preserve">Scenarios.</w:t>
      </w:r>
      <w:r>
        <w:t xml:space="preserve"> </w:t>
      </w:r>
      <w:r>
        <w:t xml:space="preserve">On the end-2023 pool, an adverse combined scenario (rates +200bp, house prices -20%, unemployment +4 points) raises the model's 12-month default rate from 1.09% to 1.56% of balance, but the simulation truth rises to 3.26%. The model</w:t>
      </w:r>
      <w:r>
        <w:t xml:space="preserve"> </w:t>
      </w:r>
      <w:r>
        <w:rPr>
          <w:b/>
          <w:bCs/>
        </w:rPr>
        <w:t xml:space="preserve">under-reacts to stress</w:t>
      </w:r>
      <w:r>
        <w:t xml:space="preserve"> </w:t>
      </w:r>
      <w:r>
        <w:t xml:space="preserve">because it never saw such conditions in training (section 10.4). Rate shocks do not move prepayments on this pool because it is far out of the money (section 10.3).</w:t>
      </w:r>
    </w:p>
    <w:bookmarkEnd w:id="11"/>
    <w:bookmarkStart w:id="12" w:name="how-to-read-this-document"/>
    <w:p>
      <w:pPr>
        <w:pStyle w:val="Heading2"/>
      </w:pPr>
      <w:r>
        <w:rPr>
          <w:rStyle w:val="SectionNumber"/>
        </w:rPr>
        <w:t xml:space="preserve">1.4</w:t>
      </w:r>
      <w:r>
        <w:tab/>
      </w:r>
      <w:r>
        <w:t xml:space="preserve">How to read this document</w:t>
      </w:r>
    </w:p>
    <w:p>
      <w:pPr>
        <w:pStyle w:val="FirstParagraph"/>
      </w:pPr>
      <w:r>
        <w:t xml:space="preserve">Each topic follows the same order: the business intuition first, then the mathematics, then the module and function in this repository that implements it, then the actual numbers. Worked numeric examples (a scorecard walk-through for one real loan from the sample, a six-point KS and AUC calculation, a PSI calculation and a two-feature Shapley calculation) are placed next to the theory so that each formula can be reproduced by hand. A glossary (section 14) defines the terms.</w:t>
      </w:r>
    </w:p>
    <w:bookmarkEnd w:id="12"/>
    <w:bookmarkEnd w:id="13"/>
    <w:bookmarkStart w:id="18" w:name="business-problem"/>
    <w:p>
      <w:pPr>
        <w:pStyle w:val="Heading1"/>
      </w:pPr>
      <w:r>
        <w:rPr>
          <w:rStyle w:val="SectionNumber"/>
        </w:rPr>
        <w:t xml:space="preserve">2</w:t>
      </w:r>
      <w:r>
        <w:tab/>
      </w:r>
      <w:r>
        <w:t xml:space="preserve">Business problem</w:t>
      </w:r>
    </w:p>
    <w:bookmarkStart w:id="14" w:name="Xf6e073f2aa022d134d4abc837d31ff10c10cbdc"/>
    <w:p>
      <w:pPr>
        <w:pStyle w:val="Heading2"/>
      </w:pPr>
      <w:r>
        <w:rPr>
          <w:rStyle w:val="SectionNumber"/>
        </w:rPr>
        <w:t xml:space="preserve">2.1</w:t>
      </w:r>
      <w:r>
        <w:tab/>
      </w:r>
      <w:r>
        <w:t xml:space="preserve">Why mortgage credit and prepayment risk matter</w:t>
      </w:r>
    </w:p>
    <w:p>
      <w:pPr>
        <w:pStyle w:val="FirstParagraph"/>
      </w:pPr>
      <w:r>
        <w:t xml:space="preserve">A mortgage investor or servicer receives, for each loan, a stream of scheduled payments of interest and principal. Two things can change that stream.</w:t>
      </w:r>
    </w:p>
    <w:p>
      <w:pPr>
        <w:pStyle w:val="BodyText"/>
      </w:pPr>
      <w:r>
        <w:rPr>
          <w:b/>
          <w:bCs/>
        </w:rPr>
        <w:t xml:space="preserve">Credit risk.</w:t>
      </w:r>
      <w:r>
        <w:t xml:space="preserve"> </w:t>
      </w:r>
      <w:r>
        <w:t xml:space="preserve">The borrower stops paying. A loan that misses payments moves through delinquency states: current, 30 days past due (30DPD), 60DPD, and 90 or more days past due (90+DPD). In this project the default event is the first month a loan reaches 90+DPD, because that is the usual practical definition used in performance analysis and the point at which losses become likely. If the loan defaults, the investor receives the sale proceeds of the property rather than the contractual payments, and bears a loss equal to the loss severity times the balance.</w:t>
      </w:r>
    </w:p>
    <w:p>
      <w:pPr>
        <w:pStyle w:val="BodyText"/>
      </w:pPr>
      <w:r>
        <w:rPr>
          <w:b/>
          <w:bCs/>
        </w:rPr>
        <w:t xml:space="preserve">Prepayment risk.</w:t>
      </w:r>
      <w:r>
        <w:t xml:space="preserve"> </w:t>
      </w:r>
      <w:r>
        <w:t xml:space="preserve">The borrower repays early, typically because rates fell and refinancing is attractive, or because the house was sold. Early repayment returns principal at par sooner than scheduled, which shortens the life of the security and reduces the interest earned. Prepayment speed is quoted as the</w:t>
      </w:r>
      <w:r>
        <w:t xml:space="preserve"> </w:t>
      </w:r>
      <w:r>
        <w:rPr>
          <w:b/>
          <w:bCs/>
        </w:rPr>
        <w:t xml:space="preserve">single monthly mortality (SMM)</w:t>
      </w:r>
      <w:r>
        <w:t xml:space="preserve">, the fraction of the balance prepaid in a month, or annualized as the</w:t>
      </w:r>
      <w:r>
        <w:t xml:space="preserve"> </w:t>
      </w:r>
      <w:r>
        <w:rPr>
          <w:b/>
          <w:bCs/>
        </w:rPr>
        <w:t xml:space="preserve">conditional prepayment rate (CPR)</w:t>
      </w:r>
      <w:r>
        <w:t xml:space="preserve">:</w:t>
      </w:r>
    </w:p>
    <w:p>
      <w:pPr>
        <w:pStyle w:val="BodyText"/>
      </w:pPr>
      <m:oMathPara>
        <m:oMathParaPr>
          <m:jc m:val="center"/>
        </m:oMathParaPr>
        <m:oMath>
          <m:r>
            <m:rPr>
              <m:nor/>
              <m:sty m:val="p"/>
            </m:rPr>
            <m:t>CPR</m:t>
          </m:r>
          <m:r>
            <m:rPr>
              <m:sty m:val="p"/>
            </m:rPr>
            <m:t>=</m:t>
          </m:r>
          <m:r>
            <m:t>1</m:t>
          </m:r>
          <m:r>
            <m:rPr>
              <m:sty m:val="p"/>
            </m:rPr>
            <m:t>−</m:t>
          </m:r>
          <m:r>
            <m:rPr>
              <m:sty m:val="p"/>
            </m:rPr>
            <m:t>(</m:t>
          </m:r>
          <m:r>
            <m:t>1</m:t>
          </m:r>
          <m:r>
            <m:rPr>
              <m:sty m:val="p"/>
            </m:rPr>
            <m:t>−</m:t>
          </m:r>
          <m:r>
            <m:rPr>
              <m:nor/>
              <m:sty m:val="p"/>
            </m:rPr>
            <m:t>SMM</m:t>
          </m:r>
          <m:sSup>
            <m:e>
              <m:r>
                <m:rPr>
                  <m:sty m:val="p"/>
                </m:rPr>
                <m:t>)</m:t>
              </m:r>
            </m:e>
            <m:sup>
              <m:r>
                <m:t>12</m:t>
              </m:r>
            </m:sup>
          </m:sSup>
          <m:r>
            <m:rPr>
              <m:sty m:val="p"/>
            </m:rPr>
            <m:t>,</m:t>
          </m:r>
          <m:r>
            <m:t>  </m:t>
          </m:r>
          <m:r>
            <m:rPr>
              <m:nor/>
              <m:sty m:val="p"/>
            </m:rPr>
            <m:t>SMM</m:t>
          </m:r>
          <m:r>
            <m:rPr>
              <m:sty m:val="p"/>
            </m:rPr>
            <m:t>=</m:t>
          </m:r>
          <m:r>
            <m:t>1</m:t>
          </m:r>
          <m:r>
            <m:rPr>
              <m:sty m:val="p"/>
            </m:rPr>
            <m:t>−</m:t>
          </m:r>
          <m:r>
            <m:rPr>
              <m:sty m:val="p"/>
            </m:rPr>
            <m:t>(</m:t>
          </m:r>
          <m:r>
            <m:t>1</m:t>
          </m:r>
          <m:r>
            <m:rPr>
              <m:sty m:val="p"/>
            </m:rPr>
            <m:t>−</m:t>
          </m:r>
          <m:r>
            <m:rPr>
              <m:nor/>
              <m:sty m:val="p"/>
            </m:rPr>
            <m:t>CPR</m:t>
          </m:r>
          <m:sSup>
            <m:e>
              <m:r>
                <m:rPr>
                  <m:sty m:val="p"/>
                </m:rPr>
                <m:t>)</m:t>
              </m:r>
            </m:e>
            <m:sup>
              <m:r>
                <m:t>1</m:t>
              </m:r>
              <m:r>
                <m:rPr>
                  <m:sty m:val="p"/>
                </m:rPr>
                <m:t>/</m:t>
              </m:r>
              <m:r>
                <m:t>12</m:t>
              </m:r>
            </m:sup>
          </m:sSup>
          <m:r>
            <m:rPr>
              <m:sty m:val="p"/>
            </m:rPr>
            <m:t>.</m:t>
          </m:r>
        </m:oMath>
      </m:oMathPara>
    </w:p>
    <w:p>
      <w:pPr>
        <w:pStyle w:val="FirstParagraph"/>
      </w:pPr>
      <w:r>
        <w:t xml:space="preserve">Both risks interact. A borrower who can refinance has also usually kept a good credit profile, so refinancing removes the healthiest loans first (adverse selection, called burnout), and the remaining pool becomes slower to prepay and riskier.</w:t>
      </w:r>
    </w:p>
    <w:bookmarkEnd w:id="14"/>
    <w:bookmarkStart w:id="15" w:name="why-a-loan-level-model"/>
    <w:p>
      <w:pPr>
        <w:pStyle w:val="Heading2"/>
      </w:pPr>
      <w:r>
        <w:rPr>
          <w:rStyle w:val="SectionNumber"/>
        </w:rPr>
        <w:t xml:space="preserve">2.2</w:t>
      </w:r>
      <w:r>
        <w:tab/>
      </w:r>
      <w:r>
        <w:t xml:space="preserve">Why a loan-level model</w:t>
      </w:r>
    </w:p>
    <w:p>
      <w:pPr>
        <w:pStyle w:val="FirstParagraph"/>
      </w:pPr>
      <w:r>
        <w:t xml:space="preserve">Pool-level averages hide the drivers. Two pools with the same average FICO score can behave differently if one has a fat tail of low-FICO, high-LTV loans, and a pool's prepayment speed depends on how many individual loans are in the money and for how long. A loan-level model scores each loan on its own attributes (credit score, leverage, debt-to-income, age, local unemployment, house price change, rate incentive) and aggregates the results. This also lets the same fitted model answer new questions: change the macro path and re-score every loan each month.</w:t>
      </w:r>
    </w:p>
    <w:bookmarkEnd w:id="15"/>
    <w:bookmarkStart w:id="16" w:name="what-is-deliberately-out-of-scope"/>
    <w:p>
      <w:pPr>
        <w:pStyle w:val="Heading2"/>
      </w:pPr>
      <w:r>
        <w:rPr>
          <w:rStyle w:val="SectionNumber"/>
        </w:rPr>
        <w:t xml:space="preserve">2.3</w:t>
      </w:r>
      <w:r>
        <w:tab/>
      </w:r>
      <w:r>
        <w:t xml:space="preserve">What is deliberately out of scope</w:t>
      </w:r>
    </w:p>
    <w:p>
      <w:pPr>
        <w:pStyle w:val="FirstParagraph"/>
      </w:pPr>
      <w:r>
        <w:t xml:space="preserve">The project models the</w:t>
      </w:r>
      <w:r>
        <w:t xml:space="preserve"> </w:t>
      </w:r>
      <w:r>
        <w:rPr>
          <w:b/>
          <w:bCs/>
        </w:rPr>
        <w:t xml:space="preserve">probability</w:t>
      </w:r>
      <w:r>
        <w:t xml:space="preserve"> </w:t>
      </w:r>
      <w:r>
        <w:t xml:space="preserve">of default and prepayment. It does not model loss severity (a fixed 35% is used when exporting to the waterfall), loan modifications, forbearance, servicer advances, mortgage insurance claims, or the full economics of a tranche. These would be needed for a production loss forecast and are listed as limitations in section 12.</w:t>
      </w:r>
    </w:p>
    <w:bookmarkEnd w:id="16"/>
    <w:bookmarkStart w:id="17" w:name="X4ecd29c6b9b746cdc7c1ad2c4dbdd8bcc1190f9"/>
    <w:p>
      <w:pPr>
        <w:pStyle w:val="Heading2"/>
      </w:pPr>
      <w:r>
        <w:rPr>
          <w:rStyle w:val="SectionNumber"/>
        </w:rPr>
        <w:t xml:space="preserve">2.4</w:t>
      </w:r>
      <w:r>
        <w:tab/>
      </w:r>
      <w:r>
        <w:t xml:space="preserve">Link to the securitization waterfall project</w:t>
      </w:r>
    </w:p>
    <w:p>
      <w:pPr>
        <w:pStyle w:val="FirstParagraph"/>
      </w:pPr>
      <w:r>
        <w:t xml:space="preserve">The sibling project</w:t>
      </w:r>
      <w:r>
        <w:t xml:space="preserve"> </w:t>
      </w:r>
      <w:r>
        <w:rPr>
          <w:rStyle w:val="VerbatimChar"/>
        </w:rPr>
        <w:t xml:space="preserve">Portfolio_Projects/Securitization_Waterfall_Model</w:t>
      </w:r>
      <w:r>
        <w:t xml:space="preserve"> </w:t>
      </w:r>
      <w:r>
        <w:t xml:space="preserve">runs a pool of loans through a note structure (senior and subordinate classes, overcollateralization and interest coverage tests, a reserve account) given scalar assumptions for CPR, CDR (annualized default rate), severity, lag and an index shift. This project supplies the</w:t>
      </w:r>
      <w:r>
        <w:t xml:space="preserve"> </w:t>
      </w:r>
      <w:r>
        <w:rPr>
          <w:i/>
          <w:iCs/>
        </w:rPr>
        <w:t xml:space="preserve">source</w:t>
      </w:r>
      <w:r>
        <w:t xml:space="preserve"> </w:t>
      </w:r>
      <w:r>
        <w:t xml:space="preserve">of such assumptions: instead of choosing CPR and CDR by judgement, the loan-level models produce them from macro scenarios. The module</w:t>
      </w:r>
      <w:r>
        <w:t xml:space="preserve"> </w:t>
      </w:r>
      <w:r>
        <w:rPr>
          <w:rStyle w:val="VerbatimChar"/>
        </w:rPr>
        <w:t xml:space="preserve">export_hook.py</w:t>
      </w:r>
      <w:r>
        <w:t xml:space="preserve"> </w:t>
      </w:r>
      <w:r>
        <w:t xml:space="preserve">writes month-by-month curves and scalar equivalents whose columns match the waterfall project's</w:t>
      </w:r>
      <w:r>
        <w:t xml:space="preserve"> </w:t>
      </w:r>
      <w:r>
        <w:rPr>
          <w:rStyle w:val="VerbatimChar"/>
        </w:rPr>
        <w:t xml:space="preserve">Scenario</w:t>
      </w:r>
      <w:r>
        <w:t xml:space="preserve"> </w:t>
      </w:r>
      <w:r>
        <w:t xml:space="preserve">fields (section 10.6). The two collateral pools are different (the waterfall pool is a synthetic short-term consumer-style pool), so the hook demonstrates the interface and units, not a like-for-like deal analysis.</w:t>
      </w:r>
    </w:p>
    <w:bookmarkEnd w:id="17"/>
    <w:bookmarkEnd w:id="18"/>
    <w:bookmarkStart w:id="23" w:name="data"/>
    <w:p>
      <w:pPr>
        <w:pStyle w:val="Heading1"/>
      </w:pPr>
      <w:r>
        <w:rPr>
          <w:rStyle w:val="SectionNumber"/>
        </w:rPr>
        <w:t xml:space="preserve">3</w:t>
      </w:r>
      <w:r>
        <w:tab/>
      </w:r>
      <w:r>
        <w:t xml:space="preserve">Data</w:t>
      </w:r>
    </w:p>
    <w:bookmarkStart w:id="19" w:name="the-freddie-mac-schema"/>
    <w:p>
      <w:pPr>
        <w:pStyle w:val="Heading2"/>
      </w:pPr>
      <w:r>
        <w:rPr>
          <w:rStyle w:val="SectionNumber"/>
        </w:rPr>
        <w:t xml:space="preserve">3.1</w:t>
      </w:r>
      <w:r>
        <w:tab/>
      </w:r>
      <w:r>
        <w:t xml:space="preserve">The Freddie Mac schema</w:t>
      </w:r>
    </w:p>
    <w:p>
      <w:pPr>
        <w:pStyle w:val="FirstParagraph"/>
      </w:pPr>
      <w:r>
        <w:t xml:space="preserve">The real-data path is built around the Freddie Mac Single-Family Loan-Level Dataset, which publishes two pipe-delimited files per vintage period (Freddie Mac, Single Family Loan-Level Dataset General User Guide). The</w:t>
      </w:r>
      <w:r>
        <w:t xml:space="preserve"> </w:t>
      </w:r>
      <w:r>
        <w:rPr>
          <w:b/>
          <w:bCs/>
        </w:rPr>
        <w:t xml:space="preserve">origination file</w:t>
      </w:r>
      <w:r>
        <w:t xml:space="preserve"> </w:t>
      </w:r>
      <w:r>
        <w:t xml:space="preserve">has one row per loan with the characteristics fixed at closing. The</w:t>
      </w:r>
      <w:r>
        <w:t xml:space="preserve"> </w:t>
      </w:r>
      <w:r>
        <w:rPr>
          <w:b/>
          <w:bCs/>
        </w:rPr>
        <w:t xml:space="preserve">monthly performance file</w:t>
      </w:r>
      <w:r>
        <w:t xml:space="preserve"> </w:t>
      </w:r>
      <w:r>
        <w:t xml:space="preserve">has one row per loan per reporting month with the current balance, delinquency status, loan age, current interest rate and, in the last row, a zero-balance code explaining why the loan left the pool.</w:t>
      </w:r>
    </w:p>
    <w:p>
      <w:pPr>
        <w:pStyle w:val="BodyText"/>
      </w:pPr>
      <w:r>
        <w:rPr>
          <w:rStyle w:val="VerbatimChar"/>
        </w:rPr>
        <w:t xml:space="preserve">freddie.py</w:t>
      </w:r>
      <w:r>
        <w:t xml:space="preserve"> </w:t>
      </w:r>
      <w:r>
        <w:t xml:space="preserve">maps these files into the project's internal schema (defined once in</w:t>
      </w:r>
      <w:r>
        <w:t xml:space="preserve"> </w:t>
      </w:r>
      <w:r>
        <w:rPr>
          <w:rStyle w:val="VerbatimChar"/>
        </w:rPr>
        <w:t xml:space="preserve">columns.py</w:t>
      </w:r>
      <w:r>
        <w:t xml:space="preserve"> </w:t>
      </w:r>
      <w:r>
        <w:t xml:space="preserve">so that no other module uses string-literal column names):</w:t>
      </w:r>
    </w:p>
    <w:p>
      <w:pPr>
        <w:pStyle w:val="TableCaption"/>
      </w:pPr>
      <w:r>
        <w:t xml:space="preserve">Mapping from the Freddie Mac layout to the internal schema.</w:t>
      </w:r>
    </w:p>
    <w:tbl>
      <w:tblPr>
        <w:tblStyle w:val="Table"/>
        <w:tblW w:type="pct" w:w="5000"/>
        <w:tblLayout w:type="fixed"/>
        <w:tblLook w:firstRow="1" w:lastRow="0" w:firstColumn="0" w:lastColumn="0" w:noHBand="0" w:noVBand="0" w:val="0020"/>
        <w:tblCaption w:val="Mapping from the Freddie Mac layout to the internal schem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Internal column</w:t>
            </w:r>
          </w:p>
        </w:tc>
        <w:tc>
          <w:tcPr/>
          <w:p>
            <w:pPr>
              <w:pStyle w:val="Compact"/>
              <w:jc w:val="left"/>
            </w:pPr>
            <w:r>
              <w:rPr>
                <w:sz w:val="17"/>
              </w:rPr>
              <w:t xml:space="preserve">Freddie field</w:t>
            </w:r>
          </w:p>
        </w:tc>
        <w:tc>
          <w:tcPr/>
          <w:p>
            <w:pPr>
              <w:pStyle w:val="Compact"/>
              <w:jc w:val="left"/>
            </w:pPr>
            <w:r>
              <w:rPr>
                <w:sz w:val="17"/>
              </w:rPr>
              <w:t xml:space="preserve">Handling in</w:t>
            </w:r>
            <w:r>
              <w:rPr>
                <w:sz w:val="17"/>
              </w:rPr>
              <w:t xml:space="preserve"> </w:t>
            </w:r>
            <w:r>
              <w:rPr>
                <w:rStyle w:val="VerbatimChar"/>
                <w:sz w:val="17"/>
              </w:rPr>
              <w:t xml:space="preserve">freddie.py</w:t>
            </w:r>
          </w:p>
        </w:tc>
      </w:tr>
      <w:tr>
        <w:tc>
          <w:tcPr/>
          <w:p>
            <w:pPr>
              <w:pStyle w:val="Compact"/>
              <w:jc w:val="left"/>
            </w:pPr>
            <w:r>
              <w:rPr>
                <w:rStyle w:val="VerbatimChar"/>
                <w:sz w:val="17"/>
              </w:rPr>
              <w:t xml:space="preserve">fico</w:t>
            </w:r>
          </w:p>
        </w:tc>
        <w:tc>
          <w:tcPr/>
          <w:p>
            <w:pPr>
              <w:pStyle w:val="Compact"/>
              <w:jc w:val="left"/>
            </w:pPr>
            <w:r>
              <w:rPr>
                <w:sz w:val="17"/>
              </w:rPr>
              <w:t xml:space="preserve">credit_score</w:t>
            </w:r>
          </w:p>
        </w:tc>
        <w:tc>
          <w:tcPr/>
          <w:p>
            <w:pPr>
              <w:pStyle w:val="Compact"/>
              <w:jc w:val="left"/>
            </w:pPr>
            <w:r>
              <w:rPr>
                <w:sz w:val="17"/>
              </w:rPr>
              <w:t xml:space="preserve">sentinel 9999 set to missing, then median-imputed</w:t>
            </w:r>
          </w:p>
        </w:tc>
      </w:tr>
      <w:tr>
        <w:tc>
          <w:tcPr/>
          <w:p>
            <w:pPr>
              <w:pStyle w:val="Compact"/>
              <w:jc w:val="left"/>
            </w:pPr>
            <w:r>
              <w:rPr>
                <w:rStyle w:val="VerbatimChar"/>
                <w:sz w:val="17"/>
              </w:rPr>
              <w:t xml:space="preserve">orig_ltv</w:t>
            </w:r>
            <w:r>
              <w:rPr>
                <w:sz w:val="17"/>
              </w:rPr>
              <w:t xml:space="preserve">,</w:t>
            </w:r>
            <w:r>
              <w:rPr>
                <w:sz w:val="17"/>
              </w:rPr>
              <w:t xml:space="preserve"> </w:t>
            </w:r>
            <w:r>
              <w:rPr>
                <w:rStyle w:val="VerbatimChar"/>
                <w:sz w:val="17"/>
              </w:rPr>
              <w:t xml:space="preserve">orig_cltv</w:t>
            </w:r>
          </w:p>
        </w:tc>
        <w:tc>
          <w:tcPr/>
          <w:p>
            <w:pPr>
              <w:pStyle w:val="Compact"/>
              <w:jc w:val="left"/>
            </w:pPr>
            <w:r>
              <w:rPr>
                <w:sz w:val="17"/>
              </w:rPr>
              <w:t xml:space="preserve">ltv, cltv</w:t>
            </w:r>
          </w:p>
        </w:tc>
        <w:tc>
          <w:tcPr/>
          <w:p>
            <w:pPr>
              <w:pStyle w:val="Compact"/>
              <w:jc w:val="left"/>
            </w:pPr>
            <w:r>
              <w:rPr>
                <w:sz w:val="17"/>
              </w:rPr>
              <w:t xml:space="preserve">sentinel 999 set to missing; each fills the other, then median</w:t>
            </w:r>
          </w:p>
        </w:tc>
      </w:tr>
      <w:tr>
        <w:tc>
          <w:tcPr/>
          <w:p>
            <w:pPr>
              <w:pStyle w:val="Compact"/>
              <w:jc w:val="left"/>
            </w:pPr>
            <w:r>
              <w:rPr>
                <w:rStyle w:val="VerbatimChar"/>
                <w:sz w:val="17"/>
              </w:rPr>
              <w:t xml:space="preserve">dti</w:t>
            </w:r>
          </w:p>
        </w:tc>
        <w:tc>
          <w:tcPr/>
          <w:p>
            <w:pPr>
              <w:pStyle w:val="Compact"/>
              <w:jc w:val="left"/>
            </w:pPr>
            <w:r>
              <w:rPr>
                <w:sz w:val="17"/>
              </w:rPr>
              <w:t xml:space="preserve">dti</w:t>
            </w:r>
          </w:p>
        </w:tc>
        <w:tc>
          <w:tcPr/>
          <w:p>
            <w:pPr>
              <w:pStyle w:val="Compact"/>
              <w:jc w:val="left"/>
            </w:pPr>
            <w:r>
              <w:rPr>
                <w:sz w:val="17"/>
              </w:rPr>
              <w:t xml:space="preserve">sentinel 999 set to missing, then median</w:t>
            </w:r>
          </w:p>
        </w:tc>
      </w:tr>
      <w:tr>
        <w:tc>
          <w:tcPr/>
          <w:p>
            <w:pPr>
              <w:pStyle w:val="Compact"/>
              <w:jc w:val="left"/>
            </w:pPr>
            <w:r>
              <w:rPr>
                <w:rStyle w:val="VerbatimChar"/>
                <w:sz w:val="17"/>
              </w:rPr>
              <w:t xml:space="preserve">orig_rate</w:t>
            </w:r>
            <w:r>
              <w:rPr>
                <w:sz w:val="17"/>
              </w:rPr>
              <w:t xml:space="preserve">,</w:t>
            </w:r>
            <w:r>
              <w:rPr>
                <w:sz w:val="17"/>
              </w:rPr>
              <w:t xml:space="preserve"> </w:t>
            </w:r>
            <w:r>
              <w:rPr>
                <w:rStyle w:val="VerbatimChar"/>
                <w:sz w:val="17"/>
              </w:rPr>
              <w:t xml:space="preserve">orig_upb</w:t>
            </w:r>
            <w:r>
              <w:rPr>
                <w:sz w:val="17"/>
              </w:rPr>
              <w:t xml:space="preserve">,</w:t>
            </w:r>
            <w:r>
              <w:rPr>
                <w:sz w:val="17"/>
              </w:rPr>
              <w:t xml:space="preserve"> </w:t>
            </w:r>
            <w:r>
              <w:rPr>
                <w:rStyle w:val="VerbatimChar"/>
                <w:sz w:val="17"/>
              </w:rPr>
              <w:t xml:space="preserve">orig_term</w:t>
            </w:r>
          </w:p>
        </w:tc>
        <w:tc>
          <w:tcPr/>
          <w:p>
            <w:pPr>
              <w:pStyle w:val="Compact"/>
              <w:jc w:val="left"/>
            </w:pPr>
            <w:r>
              <w:rPr>
                <w:sz w:val="17"/>
              </w:rPr>
              <w:t xml:space="preserve">orig_rate, orig_upb, orig_term</w:t>
            </w:r>
          </w:p>
        </w:tc>
        <w:tc>
          <w:tcPr/>
          <w:p>
            <w:pPr>
              <w:pStyle w:val="Compact"/>
              <w:jc w:val="left"/>
            </w:pPr>
            <w:r>
              <w:rPr>
                <w:sz w:val="17"/>
              </w:rPr>
              <w:t xml:space="preserve">used as given (term defaults to 360)</w:t>
            </w:r>
          </w:p>
        </w:tc>
      </w:tr>
      <w:tr>
        <w:tc>
          <w:tcPr/>
          <w:p>
            <w:pPr>
              <w:pStyle w:val="Compact"/>
              <w:jc w:val="left"/>
            </w:pPr>
            <w:r>
              <w:rPr>
                <w:rStyle w:val="VerbatimChar"/>
                <w:sz w:val="17"/>
              </w:rPr>
              <w:t xml:space="preserve">state</w:t>
            </w:r>
            <w:r>
              <w:rPr>
                <w:sz w:val="17"/>
              </w:rPr>
              <w:t xml:space="preserve">,</w:t>
            </w:r>
            <w:r>
              <w:rPr>
                <w:sz w:val="17"/>
              </w:rPr>
              <w:t xml:space="preserve"> </w:t>
            </w:r>
            <w:r>
              <w:rPr>
                <w:rStyle w:val="VerbatimChar"/>
                <w:sz w:val="17"/>
              </w:rPr>
              <w:t xml:space="preserve">purpose</w:t>
            </w:r>
            <w:r>
              <w:rPr>
                <w:sz w:val="17"/>
              </w:rPr>
              <w:t xml:space="preserve">,</w:t>
            </w:r>
            <w:r>
              <w:rPr>
                <w:sz w:val="17"/>
              </w:rPr>
              <w:t xml:space="preserve"> </w:t>
            </w:r>
            <w:r>
              <w:rPr>
                <w:rStyle w:val="VerbatimChar"/>
                <w:sz w:val="17"/>
              </w:rPr>
              <w:t xml:space="preserve">occupancy</w:t>
            </w:r>
          </w:p>
        </w:tc>
        <w:tc>
          <w:tcPr/>
          <w:p>
            <w:pPr>
              <w:pStyle w:val="Compact"/>
              <w:jc w:val="left"/>
            </w:pPr>
            <w:r>
              <w:rPr>
                <w:sz w:val="17"/>
              </w:rPr>
              <w:t xml:space="preserve">property_state, loan_purpose, occupancy</w:t>
            </w:r>
          </w:p>
        </w:tc>
        <w:tc>
          <w:tcPr/>
          <w:p>
            <w:pPr>
              <w:pStyle w:val="Compact"/>
              <w:jc w:val="left"/>
            </w:pPr>
            <w:r>
              <w:rPr>
                <w:sz w:val="17"/>
              </w:rPr>
              <w:t xml:space="preserve">owner-occupied code P mapped to O</w:t>
            </w:r>
          </w:p>
        </w:tc>
      </w:tr>
      <w:tr>
        <w:tc>
          <w:tcPr/>
          <w:p>
            <w:pPr>
              <w:pStyle w:val="Compact"/>
              <w:jc w:val="left"/>
            </w:pPr>
            <w:r>
              <w:rPr>
                <w:rStyle w:val="VerbatimChar"/>
                <w:sz w:val="17"/>
              </w:rPr>
              <w:t xml:space="preserve">cur_upb</w:t>
            </w:r>
            <w:r>
              <w:rPr>
                <w:sz w:val="17"/>
              </w:rPr>
              <w:t xml:space="preserve">,</w:t>
            </w:r>
            <w:r>
              <w:rPr>
                <w:sz w:val="17"/>
              </w:rPr>
              <w:t xml:space="preserve"> </w:t>
            </w:r>
            <w:r>
              <w:rPr>
                <w:rStyle w:val="VerbatimChar"/>
                <w:sz w:val="17"/>
              </w:rPr>
              <w:t xml:space="preserve">cur_rate</w:t>
            </w:r>
            <w:r>
              <w:rPr>
                <w:sz w:val="17"/>
              </w:rPr>
              <w:t xml:space="preserve">,</w:t>
            </w:r>
            <w:r>
              <w:rPr>
                <w:sz w:val="17"/>
              </w:rPr>
              <w:t xml:space="preserve"> </w:t>
            </w:r>
            <w:r>
              <w:rPr>
                <w:rStyle w:val="VerbatimChar"/>
                <w:sz w:val="17"/>
              </w:rPr>
              <w:t xml:space="preserve">age</w:t>
            </w:r>
          </w:p>
        </w:tc>
        <w:tc>
          <w:tcPr/>
          <w:p>
            <w:pPr>
              <w:pStyle w:val="Compact"/>
              <w:jc w:val="left"/>
            </w:pPr>
            <w:r>
              <w:rPr>
                <w:sz w:val="17"/>
              </w:rPr>
              <w:t xml:space="preserve">current_upb, current_rate, loan_age</w:t>
            </w:r>
          </w:p>
        </w:tc>
        <w:tc>
          <w:tcPr/>
          <w:p>
            <w:pPr>
              <w:pStyle w:val="Compact"/>
              <w:jc w:val="left"/>
            </w:pPr>
            <w:r>
              <w:rPr>
                <w:sz w:val="17"/>
              </w:rPr>
              <w:t xml:space="preserve">final-row balance carried from the prior month</w:t>
            </w:r>
          </w:p>
        </w:tc>
      </w:tr>
      <w:tr>
        <w:tc>
          <w:tcPr/>
          <w:p>
            <w:pPr>
              <w:pStyle w:val="Compact"/>
              <w:jc w:val="left"/>
            </w:pPr>
            <w:r>
              <w:rPr>
                <w:rStyle w:val="VerbatimChar"/>
                <w:sz w:val="17"/>
              </w:rPr>
              <w:t xml:space="preserve">dlq_status</w:t>
            </w:r>
          </w:p>
        </w:tc>
        <w:tc>
          <w:tcPr/>
          <w:p>
            <w:pPr>
              <w:pStyle w:val="Compact"/>
              <w:jc w:val="left"/>
            </w:pPr>
            <w:r>
              <w:rPr>
                <w:sz w:val="17"/>
              </w:rPr>
              <w:t xml:space="preserve">delinquency_status</w:t>
            </w:r>
          </w:p>
        </w:tc>
        <w:tc>
          <w:tcPr/>
          <w:p>
            <w:pPr>
              <w:pStyle w:val="Compact"/>
              <w:jc w:val="left"/>
            </w:pPr>
            <w:r>
              <w:rPr>
                <w:sz w:val="17"/>
              </w:rPr>
              <w:t xml:space="preserve">integer months past due capped at 3; code RA treated as 3</w:t>
            </w:r>
          </w:p>
        </w:tc>
      </w:tr>
      <w:tr>
        <w:tc>
          <w:tcPr/>
          <w:p>
            <w:pPr>
              <w:pStyle w:val="Compact"/>
              <w:jc w:val="left"/>
            </w:pPr>
            <w:r>
              <w:rPr>
                <w:rStyle w:val="VerbatimChar"/>
                <w:sz w:val="17"/>
              </w:rPr>
              <w:t xml:space="preserve">prepay_flag</w:t>
            </w:r>
          </w:p>
        </w:tc>
        <w:tc>
          <w:tcPr/>
          <w:p>
            <w:pPr>
              <w:pStyle w:val="Compact"/>
              <w:jc w:val="left"/>
            </w:pPr>
            <w:r>
              <w:rPr>
                <w:sz w:val="17"/>
              </w:rPr>
              <w:t xml:space="preserve">zero_balance_code = 01</w:t>
            </w:r>
          </w:p>
        </w:tc>
        <w:tc>
          <w:tcPr/>
          <w:p>
            <w:pPr>
              <w:pStyle w:val="Compact"/>
              <w:jc w:val="left"/>
            </w:pPr>
            <w:r>
              <w:rPr>
                <w:sz w:val="17"/>
              </w:rPr>
              <w:t xml:space="preserve">1 only in the payoff month</w:t>
            </w:r>
          </w:p>
        </w:tc>
      </w:tr>
      <w:tr>
        <w:tc>
          <w:tcPr/>
          <w:p>
            <w:pPr>
              <w:pStyle w:val="Compact"/>
              <w:jc w:val="left"/>
            </w:pPr>
            <w:r>
              <w:rPr>
                <w:rStyle w:val="VerbatimChar"/>
                <w:sz w:val="17"/>
              </w:rPr>
              <w:t xml:space="preserve">default_flag</w:t>
            </w:r>
          </w:p>
        </w:tc>
        <w:tc>
          <w:tcPr/>
          <w:p>
            <w:pPr>
              <w:pStyle w:val="Compact"/>
              <w:jc w:val="left"/>
            </w:pPr>
            <w:r>
              <w:rPr>
                <w:sz w:val="17"/>
              </w:rPr>
              <w:t xml:space="preserve">status 3 or zero_balance_code in 02, 03, 09, 15, 96</w:t>
            </w:r>
          </w:p>
        </w:tc>
        <w:tc>
          <w:tcPr/>
          <w:p>
            <w:pPr>
              <w:pStyle w:val="Compact"/>
              <w:jc w:val="left"/>
            </w:pPr>
            <w:r>
              <w:rPr>
                <w:sz w:val="17"/>
              </w:rPr>
              <w:t xml:space="preserve">1 only in the first such month; the loan then stops</w:t>
            </w:r>
          </w:p>
        </w:tc>
      </w:tr>
    </w:tbl>
    <w:p>
      <w:pPr>
        <w:pStyle w:val="BodyText"/>
      </w:pPr>
      <w:r>
        <w:t xml:space="preserve">Two design choices follow from the table. First, a loan is cut off at its first default event, so the panel never contains post-default rows that would otherwise leak the outcome into features. Second, imputing missing values with the median is simple and documented but crude; a production build would model missingness explicitly.</w:t>
      </w:r>
    </w:p>
    <w:bookmarkEnd w:id="19"/>
    <w:bookmarkStart w:id="20" w:name="X3ee0403b86436303c14e3e4548d52234da3376a"/>
    <w:p>
      <w:pPr>
        <w:pStyle w:val="Heading2"/>
      </w:pPr>
      <w:r>
        <w:rPr>
          <w:rStyle w:val="SectionNumber"/>
        </w:rPr>
        <w:t xml:space="preserve">3.2</w:t>
      </w:r>
      <w:r>
        <w:tab/>
      </w:r>
      <w:r>
        <w:t xml:space="preserve">The synthetic mode (used for every result here)</w:t>
      </w:r>
    </w:p>
    <w:p>
      <w:pPr>
        <w:pStyle w:val="FirstParagraph"/>
      </w:pPr>
      <w:r>
        <w:t xml:space="preserve">Freddie data require registration and are large, so the project ships a</w:t>
      </w:r>
      <w:r>
        <w:t xml:space="preserve"> </w:t>
      </w:r>
      <w:r>
        <w:rPr>
          <w:b/>
          <w:bCs/>
        </w:rPr>
        <w:t xml:space="preserve">simulator</w:t>
      </w:r>
      <w:r>
        <w:t xml:space="preserve"> </w:t>
      </w:r>
      <w:r>
        <w:t xml:space="preserve">in</w:t>
      </w:r>
      <w:r>
        <w:t xml:space="preserve"> </w:t>
      </w:r>
      <w:r>
        <w:rPr>
          <w:rStyle w:val="VerbatimChar"/>
        </w:rPr>
        <w:t xml:space="preserve">synthetic.py</w:t>
      </w:r>
      <w:r>
        <w:t xml:space="preserve"> </w:t>
      </w:r>
      <w:r>
        <w:t xml:space="preserve">that produces a panel with the same internal schema, plus the true hazards used to generate each row (</w:t>
      </w:r>
      <w:r>
        <w:rPr>
          <w:rStyle w:val="VerbatimChar"/>
        </w:rPr>
        <w:t xml:space="preserve">true_hp</w:t>
      </w:r>
      <w:r>
        <w:t xml:space="preserve">,</w:t>
      </w:r>
      <w:r>
        <w:t xml:space="preserve"> </w:t>
      </w:r>
      <w:r>
        <w:rPr>
          <w:rStyle w:val="VerbatimChar"/>
        </w:rPr>
        <w:t xml:space="preserve">true_hd</w:t>
      </w:r>
      <w:r>
        <w:t xml:space="preserve">) which are kept out of every feature set. The simulated population is 60,000 loans originated between January 2012 and December 2021 (monthly, uniformly across the 120 origination months) and observed until December 2024. The panel has 2,185,353 loan-month rows. By the end of observation 74.9% of loans had prepaid, 7.9% had reached 90+DPD, and 17.2% were still active or had matured. The fixed random seed is 20261001, so the data are reproducible.</w:t>
      </w:r>
    </w:p>
    <w:p>
      <w:pPr>
        <w:pStyle w:val="BodyText"/>
      </w:pPr>
      <w:r>
        <w:t xml:space="preserve">Each loan is drawn with the following origination attributes (constants are in the CONFIG block of</w:t>
      </w:r>
      <w:r>
        <w:t xml:space="preserve"> </w:t>
      </w:r>
      <w:r>
        <w:rPr>
          <w:rStyle w:val="VerbatimChar"/>
        </w:rPr>
        <w:t xml:space="preserve">synthetic.py</w:t>
      </w:r>
      <w:r>
        <w:t xml:space="preserve">):</w:t>
      </w:r>
    </w:p>
    <w:p>
      <w:pPr>
        <w:pStyle w:val="Compact"/>
        <w:numPr>
          <w:ilvl w:val="0"/>
          <w:numId w:val="1002"/>
        </w:numPr>
      </w:pPr>
      <w:r>
        <w:t xml:space="preserve">FICO score normal with mean 745 and standard deviation 45, clipped to 600 to 830.</w:t>
      </w:r>
    </w:p>
    <w:p>
      <w:pPr>
        <w:pStyle w:val="Compact"/>
        <w:numPr>
          <w:ilvl w:val="0"/>
          <w:numId w:val="1002"/>
        </w:numPr>
      </w:pPr>
      <w:r>
        <w:t xml:space="preserve">LTV: 45% of loans exactly 80, 30% uniform between 60 and 80, and the rest uniform between 80 and 97.</w:t>
      </w:r>
    </w:p>
    <w:p>
      <w:pPr>
        <w:pStyle w:val="Compact"/>
        <w:numPr>
          <w:ilvl w:val="0"/>
          <w:numId w:val="1002"/>
        </w:numPr>
      </w:pPr>
      <w:r>
        <w:t xml:space="preserve">DTI normal with mean 34 and standard deviation 9, clipped to 10 to 50.</w:t>
      </w:r>
    </w:p>
    <w:p>
      <w:pPr>
        <w:pStyle w:val="Compact"/>
        <w:numPr>
          <w:ilvl w:val="0"/>
          <w:numId w:val="1002"/>
        </w:numPr>
      </w:pPr>
      <w:r>
        <w:t xml:space="preserve">Balance lognormal with median 230,000 and sigma 0.45, clipped to 40,000 to 766,550.</w:t>
      </w:r>
    </w:p>
    <w:p>
      <w:pPr>
        <w:pStyle w:val="Compact"/>
        <w:numPr>
          <w:ilvl w:val="0"/>
          <w:numId w:val="1002"/>
        </w:numPr>
      </w:pPr>
      <w:r>
        <w:t xml:space="preserve">Note rate equal to the market rate at origination plus a spread of 0.25 points, plus 0.05 points for each 10 FICO points below 740, plus noise with standard deviation 0.15.</w:t>
      </w:r>
    </w:p>
    <w:p>
      <w:pPr>
        <w:pStyle w:val="Compact"/>
        <w:numPr>
          <w:ilvl w:val="0"/>
          <w:numId w:val="1002"/>
        </w:numPr>
      </w:pPr>
      <w:r>
        <w:t xml:space="preserve">State from ten states (CA, TX, FL, NY, IL, PA, OH, GA, AZ, NV) with fixed weights; purpose (purchase, cash-out, no-cash refinance), occupancy, property type, number of borrowers and channel from fixed probability tables.</w:t>
      </w:r>
    </w:p>
    <w:p>
      <w:pPr>
        <w:pStyle w:val="FirstParagraph"/>
      </w:pPr>
      <w:r>
        <w:t xml:space="preserve">Each month, every loan that is still alive is moved forward by the process described in section 4. The simulation loops over calendar months and updates all alive loans at once (vectorized over loans), which is why 60,000 loans over about 12 years generate in well under a minute.</w:t>
      </w:r>
    </w:p>
    <w:bookmarkEnd w:id="20"/>
    <w:bookmarkStart w:id="21" w:name="macro-environment"/>
    <w:p>
      <w:pPr>
        <w:pStyle w:val="Heading2"/>
      </w:pPr>
      <w:r>
        <w:rPr>
          <w:rStyle w:val="SectionNumber"/>
        </w:rPr>
        <w:t xml:space="preserve">3.3</w:t>
      </w:r>
      <w:r>
        <w:tab/>
      </w:r>
      <w:r>
        <w:t xml:space="preserve">Macro environment</w:t>
      </w:r>
    </w:p>
    <w:p>
      <w:pPr>
        <w:pStyle w:val="FirstParagraph"/>
      </w:pPr>
      <w:r>
        <w:t xml:space="preserve">Real mortgage behaviour depends on interest rates, house prices and unemployment, so the simulator and the real-data path share a stylized macro environment from</w:t>
      </w:r>
      <w:r>
        <w:t xml:space="preserve"> </w:t>
      </w:r>
      <w:r>
        <w:rPr>
          <w:rStyle w:val="VerbatimChar"/>
        </w:rPr>
        <w:t xml:space="preserve">macro.py</w:t>
      </w:r>
      <w:r>
        <w:t xml:space="preserve">, built as a state-by-month table with three series.</w:t>
      </w:r>
    </w:p>
    <w:p>
      <w:pPr>
        <w:pStyle w:val="BodyText"/>
      </w:pPr>
      <w:r>
        <w:rPr>
          <w:b/>
          <w:bCs/>
        </w:rPr>
        <w:t xml:space="preserve">Market mortgage rate (national).</w:t>
      </w:r>
      <w:r>
        <w:t xml:space="preserve"> </w:t>
      </w:r>
      <w:r>
        <w:t xml:space="preserve">Before 2020 the rate is a gentle sine wiggle around 4.0%; from 2020 it is linearly interpolated between the anchor points below, imitating the low-rate period of 2020 and 2021 and the sharp rise of 2022.</w:t>
      </w:r>
    </w:p>
    <w:p>
      <w:pPr>
        <w:pStyle w:val="TableCaption"/>
      </w:pPr>
      <w:r>
        <w:t xml:space="preserve">Anchor points for the market rate path (percent).</w:t>
      </w:r>
    </w:p>
    <w:tbl>
      <w:tblPr>
        <w:tblStyle w:val="Table"/>
        <w:tblW w:type="auto" w:w="0"/>
        <w:tblLook w:firstRow="1" w:lastRow="0" w:firstColumn="0" w:lastColumn="0" w:noHBand="0" w:noVBand="0" w:val="0020"/>
        <w:tblCaption w:val="Anchor points for the market rate path (percen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jc w:val="left"/>
            </w:pPr>
            <w:r>
              <w:rPr>
                <w:sz w:val="17"/>
              </w:rPr>
              <w:t xml:space="preserve">Month end</w:t>
            </w:r>
          </w:p>
        </w:tc>
        <w:tc>
          <w:tcPr/>
          <w:p>
            <w:pPr>
              <w:pStyle w:val="Compact"/>
              <w:jc w:val="right"/>
            </w:pPr>
            <w:r>
              <w:rPr>
                <w:sz w:val="17"/>
              </w:rPr>
              <w:t xml:space="preserve">Market rate (%)</w:t>
            </w:r>
          </w:p>
        </w:tc>
      </w:tr>
      <w:tr>
        <w:tc>
          <w:tcPr/>
          <w:p>
            <w:pPr>
              <w:pStyle w:val="Compact"/>
              <w:jc w:val="left"/>
            </w:pPr>
            <w:r>
              <w:rPr>
                <w:sz w:val="17"/>
              </w:rPr>
              <w:t xml:space="preserve">2019-12-31</w:t>
            </w:r>
          </w:p>
        </w:tc>
        <w:tc>
          <w:tcPr/>
          <w:p>
            <w:pPr>
              <w:pStyle w:val="Compact"/>
              <w:jc w:val="right"/>
            </w:pPr>
            <w:r>
              <w:rPr>
                <w:sz w:val="17"/>
              </w:rPr>
              <w:t xml:space="preserve">4.0</w:t>
            </w:r>
          </w:p>
        </w:tc>
      </w:tr>
      <w:tr>
        <w:tc>
          <w:tcPr/>
          <w:p>
            <w:pPr>
              <w:pStyle w:val="Compact"/>
              <w:jc w:val="left"/>
            </w:pPr>
            <w:r>
              <w:rPr>
                <w:sz w:val="17"/>
              </w:rPr>
              <w:t xml:space="preserve">2020-06-30</w:t>
            </w:r>
          </w:p>
        </w:tc>
        <w:tc>
          <w:tcPr/>
          <w:p>
            <w:pPr>
              <w:pStyle w:val="Compact"/>
              <w:jc w:val="right"/>
            </w:pPr>
            <w:r>
              <w:rPr>
                <w:sz w:val="17"/>
              </w:rPr>
              <w:t xml:space="preserve">3.3</w:t>
            </w:r>
          </w:p>
        </w:tc>
      </w:tr>
      <w:tr>
        <w:tc>
          <w:tcPr/>
          <w:p>
            <w:pPr>
              <w:pStyle w:val="Compact"/>
              <w:jc w:val="left"/>
            </w:pPr>
            <w:r>
              <w:rPr>
                <w:sz w:val="17"/>
              </w:rPr>
              <w:t xml:space="preserve">2020-12-31</w:t>
            </w:r>
          </w:p>
        </w:tc>
        <w:tc>
          <w:tcPr/>
          <w:p>
            <w:pPr>
              <w:pStyle w:val="Compact"/>
              <w:jc w:val="right"/>
            </w:pPr>
            <w:r>
              <w:rPr>
                <w:sz w:val="17"/>
              </w:rPr>
              <w:t xml:space="preserve">2.9</w:t>
            </w:r>
          </w:p>
        </w:tc>
      </w:tr>
      <w:tr>
        <w:tc>
          <w:tcPr/>
          <w:p>
            <w:pPr>
              <w:pStyle w:val="Compact"/>
              <w:jc w:val="left"/>
            </w:pPr>
            <w:r>
              <w:rPr>
                <w:sz w:val="17"/>
              </w:rPr>
              <w:t xml:space="preserve">2021-12-31</w:t>
            </w:r>
          </w:p>
        </w:tc>
        <w:tc>
          <w:tcPr/>
          <w:p>
            <w:pPr>
              <w:pStyle w:val="Compact"/>
              <w:jc w:val="right"/>
            </w:pPr>
            <w:r>
              <w:rPr>
                <w:sz w:val="17"/>
              </w:rPr>
              <w:t xml:space="preserve">3.1</w:t>
            </w:r>
          </w:p>
        </w:tc>
      </w:tr>
      <w:tr>
        <w:tc>
          <w:tcPr/>
          <w:p>
            <w:pPr>
              <w:pStyle w:val="Compact"/>
              <w:jc w:val="left"/>
            </w:pPr>
            <w:r>
              <w:rPr>
                <w:sz w:val="17"/>
              </w:rPr>
              <w:t xml:space="preserve">2022-06-30</w:t>
            </w:r>
          </w:p>
        </w:tc>
        <w:tc>
          <w:tcPr/>
          <w:p>
            <w:pPr>
              <w:pStyle w:val="Compact"/>
              <w:jc w:val="right"/>
            </w:pPr>
            <w:r>
              <w:rPr>
                <w:sz w:val="17"/>
              </w:rPr>
              <w:t xml:space="preserve">5.6</w:t>
            </w:r>
          </w:p>
        </w:tc>
      </w:tr>
      <w:tr>
        <w:tc>
          <w:tcPr/>
          <w:p>
            <w:pPr>
              <w:pStyle w:val="Compact"/>
              <w:jc w:val="left"/>
            </w:pPr>
            <w:r>
              <w:rPr>
                <w:sz w:val="17"/>
              </w:rPr>
              <w:t xml:space="preserve">2022-12-31</w:t>
            </w:r>
          </w:p>
        </w:tc>
        <w:tc>
          <w:tcPr/>
          <w:p>
            <w:pPr>
              <w:pStyle w:val="Compact"/>
              <w:jc w:val="right"/>
            </w:pPr>
            <w:r>
              <w:rPr>
                <w:sz w:val="17"/>
              </w:rPr>
              <w:t xml:space="preserve">6.4</w:t>
            </w:r>
          </w:p>
        </w:tc>
      </w:tr>
      <w:tr>
        <w:tc>
          <w:tcPr/>
          <w:p>
            <w:pPr>
              <w:pStyle w:val="Compact"/>
              <w:jc w:val="left"/>
            </w:pPr>
            <w:r>
              <w:rPr>
                <w:sz w:val="17"/>
              </w:rPr>
              <w:t xml:space="preserve">2023-12-31</w:t>
            </w:r>
          </w:p>
        </w:tc>
        <w:tc>
          <w:tcPr/>
          <w:p>
            <w:pPr>
              <w:pStyle w:val="Compact"/>
              <w:jc w:val="right"/>
            </w:pPr>
            <w:r>
              <w:rPr>
                <w:sz w:val="17"/>
              </w:rPr>
              <w:t xml:space="preserve">6.8</w:t>
            </w:r>
          </w:p>
        </w:tc>
      </w:tr>
      <w:tr>
        <w:tc>
          <w:tcPr/>
          <w:p>
            <w:pPr>
              <w:pStyle w:val="Compact"/>
              <w:jc w:val="left"/>
            </w:pPr>
            <w:r>
              <w:rPr>
                <w:sz w:val="17"/>
              </w:rPr>
              <w:t xml:space="preserve">2024-12-31</w:t>
            </w:r>
          </w:p>
        </w:tc>
        <w:tc>
          <w:tcPr/>
          <w:p>
            <w:pPr>
              <w:pStyle w:val="Compact"/>
              <w:jc w:val="right"/>
            </w:pPr>
            <w:r>
              <w:rPr>
                <w:sz w:val="17"/>
              </w:rPr>
              <w:t xml:space="preserve">6.5</w:t>
            </w:r>
          </w:p>
        </w:tc>
      </w:tr>
    </w:tbl>
    <w:p>
      <w:pPr>
        <w:pStyle w:val="BodyText"/>
      </w:pPr>
      <w:r>
        <w:rPr>
          <w:b/>
          <w:bCs/>
        </w:rPr>
        <w:t xml:space="preserve">House price index (state).</w:t>
      </w:r>
      <w:r>
        <w:t xml:space="preserve"> </w:t>
      </w:r>
      <w:r>
        <w:t xml:space="preserve">National log growth is 5% a year, set to zero in 2020, and each state scales that growth by a state-specific beta (from 0.70 for OH to 1.45 for NV), so Sunbelt states appreciate faster. The index is 100 in January 2012. In the training window house prices only rise; that fact matters for the stress results.</w:t>
      </w:r>
    </w:p>
    <w:p>
      <w:pPr>
        <w:pStyle w:val="BodyText"/>
      </w:pPr>
      <w:r>
        <w:rPr>
          <w:b/>
          <w:bCs/>
        </w:rPr>
        <w:t xml:space="preserve">Unemployment rate (state).</w:t>
      </w:r>
      <w:r>
        <w:t xml:space="preserve"> </w:t>
      </w:r>
      <w:r>
        <w:t xml:space="preserve">A national path interpolated between the anchors below (including a stylized pandemic spike to 11.0% in May 2020), plus a fixed state offset between -0.3 and +1.2 points, floored at 2.0%.</w:t>
      </w:r>
    </w:p>
    <w:p>
      <w:pPr>
        <w:pStyle w:val="TableCaption"/>
      </w:pPr>
      <w:r>
        <w:t xml:space="preserve">Anchor points for the national unemployment path (percent, before state offsets).</w:t>
      </w:r>
    </w:p>
    <w:tbl>
      <w:tblPr>
        <w:tblStyle w:val="Table"/>
        <w:tblW w:type="auto" w:w="0"/>
        <w:tblLook w:firstRow="1" w:lastRow="0" w:firstColumn="0" w:lastColumn="0" w:noHBand="0" w:noVBand="0" w:val="0020"/>
        <w:tblCaption w:val="Anchor points for the national unemployment path (percent, before state offset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jc w:val="left"/>
            </w:pPr>
            <w:r>
              <w:rPr>
                <w:sz w:val="17"/>
              </w:rPr>
              <w:t xml:space="preserve">Month end</w:t>
            </w:r>
          </w:p>
        </w:tc>
        <w:tc>
          <w:tcPr/>
          <w:p>
            <w:pPr>
              <w:pStyle w:val="Compact"/>
              <w:jc w:val="right"/>
            </w:pPr>
            <w:r>
              <w:rPr>
                <w:sz w:val="17"/>
              </w:rPr>
              <w:t xml:space="preserve">National unemployment (%)</w:t>
            </w:r>
          </w:p>
        </w:tc>
      </w:tr>
      <w:tr>
        <w:tc>
          <w:tcPr/>
          <w:p>
            <w:pPr>
              <w:pStyle w:val="Compact"/>
              <w:jc w:val="left"/>
            </w:pPr>
            <w:r>
              <w:rPr>
                <w:sz w:val="17"/>
              </w:rPr>
              <w:t xml:space="preserve">2012-01-31</w:t>
            </w:r>
          </w:p>
        </w:tc>
        <w:tc>
          <w:tcPr/>
          <w:p>
            <w:pPr>
              <w:pStyle w:val="Compact"/>
              <w:jc w:val="right"/>
            </w:pPr>
            <w:r>
              <w:rPr>
                <w:sz w:val="17"/>
              </w:rPr>
              <w:t xml:space="preserve">8.2</w:t>
            </w:r>
          </w:p>
        </w:tc>
      </w:tr>
      <w:tr>
        <w:tc>
          <w:tcPr/>
          <w:p>
            <w:pPr>
              <w:pStyle w:val="Compact"/>
              <w:jc w:val="left"/>
            </w:pPr>
            <w:r>
              <w:rPr>
                <w:sz w:val="17"/>
              </w:rPr>
              <w:t xml:space="preserve">2015-01-31</w:t>
            </w:r>
          </w:p>
        </w:tc>
        <w:tc>
          <w:tcPr/>
          <w:p>
            <w:pPr>
              <w:pStyle w:val="Compact"/>
              <w:jc w:val="right"/>
            </w:pPr>
            <w:r>
              <w:rPr>
                <w:sz w:val="17"/>
              </w:rPr>
              <w:t xml:space="preserve">5.8</w:t>
            </w:r>
          </w:p>
        </w:tc>
      </w:tr>
      <w:tr>
        <w:tc>
          <w:tcPr/>
          <w:p>
            <w:pPr>
              <w:pStyle w:val="Compact"/>
              <w:jc w:val="left"/>
            </w:pPr>
            <w:r>
              <w:rPr>
                <w:sz w:val="17"/>
              </w:rPr>
              <w:t xml:space="preserve">2017-01-31</w:t>
            </w:r>
          </w:p>
        </w:tc>
        <w:tc>
          <w:tcPr/>
          <w:p>
            <w:pPr>
              <w:pStyle w:val="Compact"/>
              <w:jc w:val="right"/>
            </w:pPr>
            <w:r>
              <w:rPr>
                <w:sz w:val="17"/>
              </w:rPr>
              <w:t xml:space="preserve">4.7</w:t>
            </w:r>
          </w:p>
        </w:tc>
      </w:tr>
      <w:tr>
        <w:tc>
          <w:tcPr/>
          <w:p>
            <w:pPr>
              <w:pStyle w:val="Compact"/>
              <w:jc w:val="left"/>
            </w:pPr>
            <w:r>
              <w:rPr>
                <w:sz w:val="17"/>
              </w:rPr>
              <w:t xml:space="preserve">2019-01-31</w:t>
            </w:r>
          </w:p>
        </w:tc>
        <w:tc>
          <w:tcPr/>
          <w:p>
            <w:pPr>
              <w:pStyle w:val="Compact"/>
              <w:jc w:val="right"/>
            </w:pPr>
            <w:r>
              <w:rPr>
                <w:sz w:val="17"/>
              </w:rPr>
              <w:t xml:space="preserve">3.9</w:t>
            </w:r>
          </w:p>
        </w:tc>
      </w:tr>
      <w:tr>
        <w:tc>
          <w:tcPr/>
          <w:p>
            <w:pPr>
              <w:pStyle w:val="Compact"/>
              <w:jc w:val="left"/>
            </w:pPr>
            <w:r>
              <w:rPr>
                <w:sz w:val="17"/>
              </w:rPr>
              <w:t xml:space="preserve">2020-02-29</w:t>
            </w:r>
          </w:p>
        </w:tc>
        <w:tc>
          <w:tcPr/>
          <w:p>
            <w:pPr>
              <w:pStyle w:val="Compact"/>
              <w:jc w:val="right"/>
            </w:pPr>
            <w:r>
              <w:rPr>
                <w:sz w:val="17"/>
              </w:rPr>
              <w:t xml:space="preserve">3.6</w:t>
            </w:r>
          </w:p>
        </w:tc>
      </w:tr>
      <w:tr>
        <w:tc>
          <w:tcPr/>
          <w:p>
            <w:pPr>
              <w:pStyle w:val="Compact"/>
              <w:jc w:val="left"/>
            </w:pPr>
            <w:r>
              <w:rPr>
                <w:sz w:val="17"/>
              </w:rPr>
              <w:t xml:space="preserve">2020-03-31</w:t>
            </w:r>
          </w:p>
        </w:tc>
        <w:tc>
          <w:tcPr/>
          <w:p>
            <w:pPr>
              <w:pStyle w:val="Compact"/>
              <w:jc w:val="right"/>
            </w:pPr>
            <w:r>
              <w:rPr>
                <w:sz w:val="17"/>
              </w:rPr>
              <w:t xml:space="preserve">4.4</w:t>
            </w:r>
          </w:p>
        </w:tc>
      </w:tr>
      <w:tr>
        <w:tc>
          <w:tcPr/>
          <w:p>
            <w:pPr>
              <w:pStyle w:val="Compact"/>
              <w:jc w:val="left"/>
            </w:pPr>
            <w:r>
              <w:rPr>
                <w:sz w:val="17"/>
              </w:rPr>
              <w:t xml:space="preserve">2020-04-30</w:t>
            </w:r>
          </w:p>
        </w:tc>
        <w:tc>
          <w:tcPr/>
          <w:p>
            <w:pPr>
              <w:pStyle w:val="Compact"/>
              <w:jc w:val="right"/>
            </w:pPr>
            <w:r>
              <w:rPr>
                <w:sz w:val="17"/>
              </w:rPr>
              <w:t xml:space="preserve">10.5</w:t>
            </w:r>
          </w:p>
        </w:tc>
      </w:tr>
      <w:tr>
        <w:tc>
          <w:tcPr/>
          <w:p>
            <w:pPr>
              <w:pStyle w:val="Compact"/>
              <w:jc w:val="left"/>
            </w:pPr>
            <w:r>
              <w:rPr>
                <w:sz w:val="17"/>
              </w:rPr>
              <w:t xml:space="preserve">2020-05-31</w:t>
            </w:r>
          </w:p>
        </w:tc>
        <w:tc>
          <w:tcPr/>
          <w:p>
            <w:pPr>
              <w:pStyle w:val="Compact"/>
              <w:jc w:val="right"/>
            </w:pPr>
            <w:r>
              <w:rPr>
                <w:sz w:val="17"/>
              </w:rPr>
              <w:t xml:space="preserve">11.0</w:t>
            </w:r>
          </w:p>
        </w:tc>
      </w:tr>
      <w:tr>
        <w:tc>
          <w:tcPr/>
          <w:p>
            <w:pPr>
              <w:pStyle w:val="Compact"/>
              <w:jc w:val="left"/>
            </w:pPr>
            <w:r>
              <w:rPr>
                <w:sz w:val="17"/>
              </w:rPr>
              <w:t xml:space="preserve">2020-06-30</w:t>
            </w:r>
          </w:p>
        </w:tc>
        <w:tc>
          <w:tcPr/>
          <w:p>
            <w:pPr>
              <w:pStyle w:val="Compact"/>
              <w:jc w:val="right"/>
            </w:pPr>
            <w:r>
              <w:rPr>
                <w:sz w:val="17"/>
              </w:rPr>
              <w:t xml:space="preserve">9.5</w:t>
            </w:r>
          </w:p>
        </w:tc>
      </w:tr>
      <w:tr>
        <w:tc>
          <w:tcPr/>
          <w:p>
            <w:pPr>
              <w:pStyle w:val="Compact"/>
              <w:jc w:val="left"/>
            </w:pPr>
            <w:r>
              <w:rPr>
                <w:sz w:val="17"/>
              </w:rPr>
              <w:t xml:space="preserve">2020-09-30</w:t>
            </w:r>
          </w:p>
        </w:tc>
        <w:tc>
          <w:tcPr/>
          <w:p>
            <w:pPr>
              <w:pStyle w:val="Compact"/>
              <w:jc w:val="right"/>
            </w:pPr>
            <w:r>
              <w:rPr>
                <w:sz w:val="17"/>
              </w:rPr>
              <w:t xml:space="preserve">7.5</w:t>
            </w:r>
          </w:p>
        </w:tc>
      </w:tr>
      <w:tr>
        <w:tc>
          <w:tcPr/>
          <w:p>
            <w:pPr>
              <w:pStyle w:val="Compact"/>
              <w:jc w:val="left"/>
            </w:pPr>
            <w:r>
              <w:rPr>
                <w:sz w:val="17"/>
              </w:rPr>
              <w:t xml:space="preserve">2020-12-31</w:t>
            </w:r>
          </w:p>
        </w:tc>
        <w:tc>
          <w:tcPr/>
          <w:p>
            <w:pPr>
              <w:pStyle w:val="Compact"/>
              <w:jc w:val="right"/>
            </w:pPr>
            <w:r>
              <w:rPr>
                <w:sz w:val="17"/>
              </w:rPr>
              <w:t xml:space="preserve">6.5</w:t>
            </w:r>
          </w:p>
        </w:tc>
      </w:tr>
      <w:tr>
        <w:tc>
          <w:tcPr/>
          <w:p>
            <w:pPr>
              <w:pStyle w:val="Compact"/>
              <w:jc w:val="left"/>
            </w:pPr>
            <w:r>
              <w:rPr>
                <w:sz w:val="17"/>
              </w:rPr>
              <w:t xml:space="preserve">2021-06-30</w:t>
            </w:r>
          </w:p>
        </w:tc>
        <w:tc>
          <w:tcPr/>
          <w:p>
            <w:pPr>
              <w:pStyle w:val="Compact"/>
              <w:jc w:val="right"/>
            </w:pPr>
            <w:r>
              <w:rPr>
                <w:sz w:val="17"/>
              </w:rPr>
              <w:t xml:space="preserve">5.5</w:t>
            </w:r>
          </w:p>
        </w:tc>
      </w:tr>
      <w:tr>
        <w:tc>
          <w:tcPr/>
          <w:p>
            <w:pPr>
              <w:pStyle w:val="Compact"/>
              <w:jc w:val="left"/>
            </w:pPr>
            <w:r>
              <w:rPr>
                <w:sz w:val="17"/>
              </w:rPr>
              <w:t xml:space="preserve">2021-12-31</w:t>
            </w:r>
          </w:p>
        </w:tc>
        <w:tc>
          <w:tcPr/>
          <w:p>
            <w:pPr>
              <w:pStyle w:val="Compact"/>
              <w:jc w:val="right"/>
            </w:pPr>
            <w:r>
              <w:rPr>
                <w:sz w:val="17"/>
              </w:rPr>
              <w:t xml:space="preserve">4.5</w:t>
            </w:r>
          </w:p>
        </w:tc>
      </w:tr>
      <w:tr>
        <w:tc>
          <w:tcPr/>
          <w:p>
            <w:pPr>
              <w:pStyle w:val="Compact"/>
              <w:jc w:val="left"/>
            </w:pPr>
            <w:r>
              <w:rPr>
                <w:sz w:val="17"/>
              </w:rPr>
              <w:t xml:space="preserve">2022-12-31</w:t>
            </w:r>
          </w:p>
        </w:tc>
        <w:tc>
          <w:tcPr/>
          <w:p>
            <w:pPr>
              <w:pStyle w:val="Compact"/>
              <w:jc w:val="right"/>
            </w:pPr>
            <w:r>
              <w:rPr>
                <w:sz w:val="17"/>
              </w:rPr>
              <w:t xml:space="preserve">4.0</w:t>
            </w:r>
          </w:p>
        </w:tc>
      </w:tr>
      <w:tr>
        <w:tc>
          <w:tcPr/>
          <w:p>
            <w:pPr>
              <w:pStyle w:val="Compact"/>
              <w:jc w:val="left"/>
            </w:pPr>
            <w:r>
              <w:rPr>
                <w:sz w:val="17"/>
              </w:rPr>
              <w:t xml:space="preserve">2024-12-31</w:t>
            </w:r>
          </w:p>
        </w:tc>
        <w:tc>
          <w:tcPr/>
          <w:p>
            <w:pPr>
              <w:pStyle w:val="Compact"/>
              <w:jc w:val="right"/>
            </w:pPr>
            <w:r>
              <w:rPr>
                <w:sz w:val="17"/>
              </w:rPr>
              <w:t xml:space="preserve">4.0</w:t>
            </w:r>
          </w:p>
        </w:tc>
      </w:tr>
    </w:tbl>
    <w:p>
      <w:pPr>
        <w:pStyle w:val="BodyText"/>
      </w:pPr>
      <w:r>
        <w:t xml:space="preserve">These are stylized paths,</w:t>
      </w:r>
      <w:r>
        <w:t xml:space="preserve"> </w:t>
      </w:r>
      <w:r>
        <w:rPr>
          <w:b/>
          <w:bCs/>
        </w:rPr>
        <w:t xml:space="preserve">not</w:t>
      </w:r>
      <w:r>
        <w:t xml:space="preserve"> </w:t>
      </w:r>
      <w:r>
        <w:t xml:space="preserve">real macro data. For real loans, place real series in</w:t>
      </w:r>
      <w:r>
        <w:t xml:space="preserve"> </w:t>
      </w:r>
      <w:r>
        <w:rPr>
          <w:rStyle w:val="VerbatimChar"/>
        </w:rPr>
        <w:t xml:space="preserve">data/raw/macro/</w:t>
      </w:r>
      <w:r>
        <w:t xml:space="preserve"> </w:t>
      </w:r>
      <w:r>
        <w:t xml:space="preserve">(section 13); otherwise the loader falls back to the synthetic macro with a logged warning, which would make the macro features meaningless for real loans.</w:t>
      </w:r>
    </w:p>
    <w:bookmarkEnd w:id="21"/>
    <w:bookmarkStart w:id="22" w:name="from-loan-month-panel-to-model-datasets"/>
    <w:p>
      <w:pPr>
        <w:pStyle w:val="Heading2"/>
      </w:pPr>
      <w:r>
        <w:rPr>
          <w:rStyle w:val="SectionNumber"/>
        </w:rPr>
        <w:t xml:space="preserve">3.4</w:t>
      </w:r>
      <w:r>
        <w:tab/>
      </w:r>
      <w:r>
        <w:t xml:space="preserve">From loan-month panel to model datasets</w:t>
      </w:r>
    </w:p>
    <w:p>
      <w:pPr>
        <w:pStyle w:val="FirstParagraph"/>
      </w:pPr>
      <w:r>
        <w:t xml:space="preserve">The panel is a long table with one row per loan per month. Two datasets are cut from it, because the two models answer different questions.</w:t>
      </w:r>
    </w:p>
    <w:p>
      <w:pPr>
        <w:pStyle w:val="TableCaption"/>
      </w:pPr>
      <w:r>
        <w:t xml:space="preserve">The two modelling datasets (counts from</w:t>
      </w:r>
      <w:r>
        <w:t xml:space="preserve"> </w:t>
      </w:r>
      <w:r>
        <w:rPr>
          <w:rStyle w:val="VerbatimChar"/>
        </w:rPr>
        <w:t xml:space="preserve">data_summary.json</w:t>
      </w:r>
      <w:r>
        <w:t xml:space="preserve">).</w:t>
      </w:r>
    </w:p>
    <w:tbl>
      <w:tblPr>
        <w:tblStyle w:val="Table"/>
        <w:tblW w:type="pct" w:w="5000"/>
        <w:tblLayout w:type="fixed"/>
        <w:tblLook w:firstRow="1" w:lastRow="0" w:firstColumn="0" w:lastColumn="0" w:noHBand="0" w:noVBand="0" w:val="0020"/>
        <w:tblCaption w:val="The two modelling datasets (counts from data_summary.jso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jc w:val="left"/>
            </w:pPr>
            <w:r>
              <w:rPr>
                <w:sz w:val="17"/>
              </w:rPr>
              <w:t xml:space="preserve">Dataset</w:t>
            </w:r>
          </w:p>
        </w:tc>
        <w:tc>
          <w:tcPr/>
          <w:p>
            <w:pPr>
              <w:pStyle w:val="Compact"/>
              <w:jc w:val="left"/>
            </w:pPr>
            <w:r>
              <w:rPr>
                <w:sz w:val="17"/>
              </w:rPr>
              <w:t xml:space="preserve">Unit of observation</w:t>
            </w:r>
          </w:p>
        </w:tc>
        <w:tc>
          <w:tcPr/>
          <w:p>
            <w:pPr>
              <w:pStyle w:val="Compact"/>
              <w:jc w:val="right"/>
            </w:pPr>
            <w:r>
              <w:rPr>
                <w:sz w:val="17"/>
              </w:rPr>
              <w:t xml:space="preserve">Rows here</w:t>
            </w:r>
          </w:p>
        </w:tc>
        <w:tc>
          <w:tcPr/>
          <w:p>
            <w:pPr>
              <w:pStyle w:val="Compact"/>
              <w:jc w:val="left"/>
            </w:pPr>
            <w:r>
              <w:rPr>
                <w:sz w:val="17"/>
              </w:rPr>
              <w:t xml:space="preserve">Built by</w:t>
            </w:r>
          </w:p>
        </w:tc>
      </w:tr>
      <w:tr>
        <w:tc>
          <w:tcPr/>
          <w:p>
            <w:pPr>
              <w:pStyle w:val="Compact"/>
              <w:jc w:val="left"/>
            </w:pPr>
            <w:r>
              <w:rPr>
                <w:sz w:val="17"/>
              </w:rPr>
              <w:t xml:space="preserve">PD snapshots</w:t>
            </w:r>
          </w:p>
        </w:tc>
        <w:tc>
          <w:tcPr/>
          <w:p>
            <w:pPr>
              <w:pStyle w:val="Compact"/>
              <w:jc w:val="left"/>
            </w:pPr>
            <w:r>
              <w:rPr>
                <w:sz w:val="17"/>
              </w:rPr>
              <w:t xml:space="preserve">one row per loan per snapshot month (January and July), loan active and current or 30DPD</w:t>
            </w:r>
          </w:p>
        </w:tc>
        <w:tc>
          <w:tcPr/>
          <w:p>
            <w:pPr>
              <w:pStyle w:val="Compact"/>
              <w:jc w:val="right"/>
            </w:pPr>
            <w:r>
              <w:rPr>
                <w:sz w:val="17"/>
              </w:rPr>
              <w:t xml:space="preserve">327,559</w:t>
            </w:r>
          </w:p>
        </w:tc>
        <w:tc>
          <w:tcPr/>
          <w:p>
            <w:pPr>
              <w:pStyle w:val="Compact"/>
              <w:jc w:val="left"/>
            </w:pPr>
            <w:r>
              <w:rPr>
                <w:rStyle w:val="VerbatimChar"/>
                <w:sz w:val="17"/>
              </w:rPr>
              <w:t xml:space="preserve">targets.build_snapshots</w:t>
            </w:r>
          </w:p>
        </w:tc>
      </w:tr>
      <w:tr>
        <w:tc>
          <w:tcPr/>
          <w:p>
            <w:pPr>
              <w:pStyle w:val="Compact"/>
              <w:jc w:val="left"/>
            </w:pPr>
            <w:r>
              <w:rPr>
                <w:sz w:val="17"/>
              </w:rPr>
              <w:t xml:space="preserve">Prepayment hazard rows</w:t>
            </w:r>
          </w:p>
        </w:tc>
        <w:tc>
          <w:tcPr/>
          <w:p>
            <w:pPr>
              <w:pStyle w:val="Compact"/>
              <w:jc w:val="left"/>
            </w:pPr>
            <w:r>
              <w:rPr>
                <w:sz w:val="17"/>
              </w:rPr>
              <w:t xml:space="preserve">one row per loan per month at risk, a 25% random sample of loans</w:t>
            </w:r>
          </w:p>
        </w:tc>
        <w:tc>
          <w:tcPr/>
          <w:p>
            <w:pPr>
              <w:pStyle w:val="Compact"/>
              <w:jc w:val="right"/>
            </w:pPr>
            <w:r>
              <w:rPr>
                <w:sz w:val="17"/>
              </w:rPr>
              <w:t xml:space="preserve">523,201</w:t>
            </w:r>
          </w:p>
        </w:tc>
        <w:tc>
          <w:tcPr/>
          <w:p>
            <w:pPr>
              <w:pStyle w:val="Compact"/>
              <w:jc w:val="left"/>
            </w:pPr>
            <w:r>
              <w:rPr>
                <w:rStyle w:val="VerbatimChar"/>
                <w:sz w:val="17"/>
              </w:rPr>
              <w:t xml:space="preserve">targets.build_hazard_rows</w:t>
            </w:r>
          </w:p>
        </w:tc>
      </w:tr>
    </w:tbl>
    <w:p>
      <w:pPr>
        <w:pStyle w:val="BodyText"/>
      </w:pPr>
      <w:r>
        <w:t xml:space="preserve">Using only January and July snapshots keeps the PD dataset at a manageable size and limits the overlap between consecutive snapshots of the same loan (a loan appearing in January 2021 and July 2021 shares eleven of twelve outcome months between rows, which is why the validation bootstrap resamples whole loans rather than rows). The prepayment dataset uses every month because the event is rare in any single month and the model needs the month-to-month variation in rate incentive; a random 25% of loans is used to bound memory.</w:t>
      </w:r>
    </w:p>
    <w:p>
      <w:pPr>
        <w:pStyle w:val="BodyText"/>
      </w:pPr>
      <w:r>
        <w:t xml:space="preserve">Panel access is handled by</w:t>
      </w:r>
      <w:r>
        <w:t xml:space="preserve"> </w:t>
      </w:r>
      <w:r>
        <w:rPr>
          <w:rStyle w:val="VerbatimChar"/>
        </w:rPr>
        <w:t xml:space="preserve">data.get_panel</w:t>
      </w:r>
      <w:r>
        <w:t xml:space="preserve">, which chooses real data when files exist, otherwise runs the simulator, and caches the result as parquet in</w:t>
      </w:r>
      <w:r>
        <w:t xml:space="preserve"> </w:t>
      </w:r>
      <w:r>
        <w:rPr>
          <w:rStyle w:val="VerbatimChar"/>
        </w:rPr>
        <w:t xml:space="preserve">data/interim/</w:t>
      </w:r>
      <w:r>
        <w:t xml:space="preserve"> </w:t>
      </w:r>
      <w:r>
        <w:t xml:space="preserve">so repeated runs are fast.</w:t>
      </w:r>
    </w:p>
    <w:bookmarkEnd w:id="22"/>
    <w:bookmarkEnd w:id="23"/>
    <w:bookmarkStart w:id="30" w:name="the-data-generating-process"/>
    <w:p>
      <w:pPr>
        <w:pStyle w:val="Heading1"/>
      </w:pPr>
      <w:r>
        <w:rPr>
          <w:rStyle w:val="SectionNumber"/>
        </w:rPr>
        <w:t xml:space="preserve">4</w:t>
      </w:r>
      <w:r>
        <w:tab/>
      </w:r>
      <w:r>
        <w:t xml:space="preserve">The data generating process</w:t>
      </w:r>
    </w:p>
    <w:bookmarkStart w:id="24" w:name="why-write-the-truth-down"/>
    <w:p>
      <w:pPr>
        <w:pStyle w:val="Heading2"/>
      </w:pPr>
      <w:r>
        <w:rPr>
          <w:rStyle w:val="SectionNumber"/>
        </w:rPr>
        <w:t xml:space="preserve">4.1</w:t>
      </w:r>
      <w:r>
        <w:tab/>
      </w:r>
      <w:r>
        <w:t xml:space="preserve">Why write the truth down</w:t>
      </w:r>
    </w:p>
    <w:p>
      <w:pPr>
        <w:pStyle w:val="FirstParagraph"/>
      </w:pPr>
      <w:r>
        <w:t xml:space="preserve">If the data came from a real world, we could never know whether a model had learned the right relationships. A simulator with an explicit formula lets us ask a cleaner question: given enough data, does the pipeline recover the structure we put in? This is the same logic as a</w:t>
      </w:r>
      <w:r>
        <w:t xml:space="preserve"> </w:t>
      </w:r>
      <w:r>
        <w:rPr>
          <w:b/>
          <w:bCs/>
        </w:rPr>
        <w:t xml:space="preserve">parameter recovery test</w:t>
      </w:r>
      <w:r>
        <w:t xml:space="preserve"> </w:t>
      </w:r>
      <w:r>
        <w:t xml:space="preserve">in statistics. The formulas below are the "truth"; they are intentionally ordinary (logistic hazards with plausible signs), so the exercise tests the machinery rather than any discovery about mortgages.</w:t>
      </w:r>
    </w:p>
    <w:bookmarkEnd w:id="24"/>
    <w:bookmarkStart w:id="25" w:name="notation"/>
    <w:p>
      <w:pPr>
        <w:pStyle w:val="Heading2"/>
      </w:pPr>
      <w:r>
        <w:rPr>
          <w:rStyle w:val="SectionNumber"/>
        </w:rPr>
        <w:t xml:space="preserve">4.2</w:t>
      </w:r>
      <w:r>
        <w:tab/>
      </w:r>
      <w:r>
        <w:t xml:space="preserve">Notation</w:t>
      </w:r>
    </w:p>
    <w:p>
      <w:pPr>
        <w:pStyle w:val="FirstParagraph"/>
      </w:pPr>
      <w:r>
        <w:t xml:space="preserve">For a loan</w:t>
      </w:r>
      <w:r>
        <w:t xml:space="preserve"> </w:t>
      </w:r>
      <m:oMath>
        <m:r>
          <m:t>i</m:t>
        </m:r>
      </m:oMath>
      <w:r>
        <w:t xml:space="preserve"> </w:t>
      </w:r>
      <w:r>
        <w:t xml:space="preserve">in month</w:t>
      </w:r>
      <w:r>
        <w:t xml:space="preserve"> </w:t>
      </w:r>
      <m:oMath>
        <m:r>
          <m:t>t</m:t>
        </m:r>
      </m:oMath>
      <w:r>
        <w:t xml:space="preserve">:</w:t>
      </w:r>
      <w:r>
        <w:t xml:space="preserve"> </w:t>
      </w:r>
      <m:oMath>
        <m:r>
          <m:rPr>
            <m:nor/>
            <m:sty m:val="p"/>
          </m:rPr>
          <m:t>age</m:t>
        </m:r>
      </m:oMath>
      <w:r>
        <w:t xml:space="preserve"> </w:t>
      </w:r>
      <w:r>
        <w:t xml:space="preserve">is months since origination;</w:t>
      </w:r>
      <w:r>
        <w:t xml:space="preserve"> </w:t>
      </w:r>
      <m:oMath>
        <m:sSub>
          <m:e>
            <m:r>
              <m:t>I</m:t>
            </m:r>
          </m:e>
          <m:sub>
            <m:r>
              <m:t>t</m:t>
            </m:r>
          </m:sub>
        </m:sSub>
        <m:r>
          <m:rPr>
            <m:sty m:val="p"/>
          </m:rPr>
          <m:t>=</m:t>
        </m:r>
        <m:r>
          <m:rPr>
            <m:nor/>
            <m:sty m:val="p"/>
          </m:rPr>
          <m:t>note rate</m:t>
        </m:r>
        <m:r>
          <m:rPr>
            <m:sty m:val="p"/>
          </m:rPr>
          <m:t>−</m:t>
        </m:r>
        <m:r>
          <m:rPr>
            <m:nor/>
            <m:sty m:val="p"/>
          </m:rPr>
          <m:t>market rate</m:t>
        </m:r>
      </m:oMath>
      <w:r>
        <w:t xml:space="preserve"> </w:t>
      </w:r>
      <w:r>
        <w:t xml:space="preserve">is the</w:t>
      </w:r>
      <w:r>
        <w:t xml:space="preserve"> </w:t>
      </w:r>
      <w:r>
        <w:rPr>
          <w:b/>
          <w:bCs/>
        </w:rPr>
        <w:t xml:space="preserve">rate incentive</w:t>
      </w:r>
      <w:r>
        <w:t xml:space="preserve"> </w:t>
      </w:r>
      <w:r>
        <w:t xml:space="preserve">in percentage points (positive when the borrower pays more than the current market, so refinancing saves money);</w:t>
      </w:r>
      <w:r>
        <w:t xml:space="preserve"> </w:t>
      </w:r>
      <m:oMath>
        <m:sSub>
          <m:e>
            <m:r>
              <m:t>B</m:t>
            </m:r>
          </m:e>
          <m:sub>
            <m:r>
              <m:t>t</m:t>
            </m:r>
          </m:sub>
        </m:sSub>
      </m:oMath>
      <w:r>
        <w:t xml:space="preserve"> </w:t>
      </w:r>
      <w:r>
        <w:t xml:space="preserve">is</w:t>
      </w:r>
      <w:r>
        <w:t xml:space="preserve"> </w:t>
      </w:r>
      <w:r>
        <w:rPr>
          <w:b/>
          <w:bCs/>
        </w:rPr>
        <w:t xml:space="preserve">burnout</w:t>
      </w:r>
      <w:r>
        <w:t xml:space="preserve">, the cumulative number of months up to</w:t>
      </w:r>
      <w:r>
        <w:t xml:space="preserve"> </w:t>
      </w:r>
      <m:oMath>
        <m:r>
          <m:t>t</m:t>
        </m:r>
      </m:oMath>
      <w:r>
        <w:t xml:space="preserve"> </w:t>
      </w:r>
      <w:r>
        <w:t xml:space="preserve">with</w:t>
      </w:r>
      <w:r>
        <w:t xml:space="preserve"> </w:t>
      </w:r>
      <m:oMath>
        <m:r>
          <m:t>I</m:t>
        </m:r>
        <m:r>
          <m:rPr>
            <m:sty m:val="p"/>
          </m:rPr>
          <m:t>&gt;</m:t>
        </m:r>
        <m:r>
          <m:t>0.5</m:t>
        </m:r>
      </m:oMath>
      <w:r>
        <w:t xml:space="preserve">;</w:t>
      </w:r>
      <w:r>
        <w:t xml:space="preserve"> </w:t>
      </w:r>
      <m:oMath>
        <m:sSub>
          <m:e>
            <m:r>
              <m:rPr>
                <m:nor/>
                <m:sty m:val="p"/>
              </m:rPr>
              <m:t>MTM</m:t>
            </m:r>
          </m:e>
          <m:sub>
            <m:r>
              <m:t>t</m:t>
            </m:r>
          </m:sub>
        </m:sSub>
      </m:oMath>
      <w:r>
        <w:t xml:space="preserve"> </w:t>
      </w:r>
      <w:r>
        <w:t xml:space="preserve">is the</w:t>
      </w:r>
      <w:r>
        <w:t xml:space="preserve"> </w:t>
      </w:r>
      <w:r>
        <w:rPr>
          <w:b/>
          <w:bCs/>
        </w:rPr>
        <w:t xml:space="preserve">mark-to-market LTV</w:t>
      </w:r>
      <w:r>
        <w:t xml:space="preserve">, current balance divided by the house value updated with the state house price index;</w:t>
      </w:r>
      <w:r>
        <w:t xml:space="preserve"> </w:t>
      </w:r>
      <m:oMath>
        <m:sSub>
          <m:e>
            <m:r>
              <m:t>U</m:t>
            </m:r>
          </m:e>
          <m:sub>
            <m:r>
              <m:t>t</m:t>
            </m:r>
          </m:sub>
        </m:sSub>
      </m:oMath>
      <w:r>
        <w:t xml:space="preserve"> </w:t>
      </w:r>
      <w:r>
        <w:t xml:space="preserve">is state unemployment in percent;</w:t>
      </w:r>
      <w:r>
        <w:t xml:space="preserve"> </w:t>
      </w:r>
      <m:oMath>
        <m:r>
          <m:rPr>
            <m:sty m:val="p"/>
          </m:rPr>
          <m:t>Δ</m:t>
        </m:r>
        <m:sSub>
          <m:e>
            <m:r>
              <m:t>H</m:t>
            </m:r>
          </m:e>
          <m:sub>
            <m:r>
              <m:t>t</m:t>
            </m:r>
          </m:sub>
        </m:sSub>
      </m:oMath>
      <w:r>
        <w:t xml:space="preserve"> </w:t>
      </w:r>
      <w:r>
        <w:t xml:space="preserve">is the 12-month percentage change in the state house price index; and</w:t>
      </w:r>
      <w:r>
        <w:t xml:space="preserve"> </w:t>
      </w:r>
      <m:oMath>
        <m:r>
          <m:t>σ</m:t>
        </m:r>
        <m:r>
          <m:rPr>
            <m:sty m:val="p"/>
          </m:rPr>
          <m:t>(</m:t>
        </m:r>
        <m:r>
          <m:t>x</m:t>
        </m:r>
        <m:r>
          <m:rPr>
            <m:sty m:val="p"/>
          </m:rPr>
          <m:t>)</m:t>
        </m:r>
        <m:r>
          <m:rPr>
            <m:sty m:val="p"/>
          </m:rPr>
          <m:t>=</m:t>
        </m:r>
        <m:r>
          <m:t>1</m:t>
        </m:r>
        <m:r>
          <m:rPr>
            <m:sty m:val="p"/>
          </m:rPr>
          <m:t>/</m:t>
        </m:r>
        <m:r>
          <m:rPr>
            <m:sty m:val="p"/>
          </m:rPr>
          <m:t>(</m:t>
        </m:r>
        <m:r>
          <m:t>1</m:t>
        </m:r>
        <m:r>
          <m:rPr>
            <m:sty m:val="p"/>
          </m:rPr>
          <m:t>+</m:t>
        </m:r>
        <m:sSup>
          <m:e>
            <m:r>
              <m:t>e</m:t>
            </m:r>
          </m:e>
          <m:sup>
            <m:r>
              <m:rPr>
                <m:sty m:val="p"/>
              </m:rPr>
              <m:t>−</m:t>
            </m:r>
            <m:r>
              <m:t>x</m:t>
            </m:r>
          </m:sup>
        </m:sSup>
        <m:r>
          <m:rPr>
            <m:sty m:val="p"/>
          </m:rPr>
          <m:t>)</m:t>
        </m:r>
      </m:oMath>
      <w:r>
        <w:t xml:space="preserve"> </w:t>
      </w:r>
      <w:r>
        <w:t xml:space="preserve">is the logistic function.</w:t>
      </w:r>
    </w:p>
    <w:bookmarkEnd w:id="25"/>
    <w:bookmarkStart w:id="26" w:name="the-prepayment-hazard"/>
    <w:p>
      <w:pPr>
        <w:pStyle w:val="Heading2"/>
      </w:pPr>
      <w:r>
        <w:rPr>
          <w:rStyle w:val="SectionNumber"/>
        </w:rPr>
        <w:t xml:space="preserve">4.3</w:t>
      </w:r>
      <w:r>
        <w:tab/>
      </w:r>
      <w:r>
        <w:t xml:space="preserve">The prepayment hazard</w:t>
      </w:r>
    </w:p>
    <w:p>
      <w:pPr>
        <w:pStyle w:val="FirstParagraph"/>
      </w:pPr>
      <w:r>
        <w:t xml:space="preserve">The monthly probability that a current loan prepays is</w:t>
      </w:r>
    </w:p>
    <w:p>
      <w:pPr>
        <w:pStyle w:val="BodyText"/>
      </w:pPr>
      <m:oMathPara>
        <m:oMathParaPr>
          <m:jc m:val="center"/>
        </m:oMathParaPr>
        <m:oMath>
          <m:sSubSup>
            <m:e>
              <m:r>
                <m:t>h</m:t>
              </m:r>
            </m:e>
            <m:sub>
              <m:r>
                <m:t>t</m:t>
              </m:r>
            </m:sub>
            <m:sup>
              <m:r>
                <m:t>P</m:t>
              </m:r>
            </m:sup>
          </m:sSubSup>
          <m:r>
            <m:rPr>
              <m:sty m:val="p"/>
            </m:rPr>
            <m:t>=</m:t>
          </m:r>
          <m:r>
            <m:t>σ</m:t>
          </m:r>
          <m:r>
            <m:t>​</m:t>
          </m:r>
          <m:d>
            <m:dPr>
              <m:begChr m:val="("/>
              <m:sepChr m:val=""/>
              <m:endChr m:val=")"/>
              <m:grow/>
            </m:dPr>
            <m:e>
              <m:sSub>
                <m:e>
                  <m:r>
                    <m:t>a</m:t>
                  </m:r>
                </m:e>
                <m:sub>
                  <m:r>
                    <m:t>0</m:t>
                  </m:r>
                </m:sub>
              </m:sSub>
              <m:r>
                <m:rPr>
                  <m:sty m:val="p"/>
                </m:rPr>
                <m:t>+</m:t>
              </m:r>
              <m:sSub>
                <m:e>
                  <m:r>
                    <m:t>a</m:t>
                  </m:r>
                </m:e>
                <m:sub>
                  <m:r>
                    <m:rPr>
                      <m:nor/>
                      <m:sty m:val="p"/>
                    </m:rPr>
                    <m:t>ref</m:t>
                  </m:r>
                </m:sub>
              </m:sSub>
              <m:sSub>
                <m:e>
                  <m:r>
                    <m:t>R</m:t>
                  </m:r>
                </m:e>
                <m:sub>
                  <m:r>
                    <m:t>t</m:t>
                  </m:r>
                </m:sub>
              </m:sSub>
              <m:r>
                <m:rPr>
                  <m:sty m:val="p"/>
                </m:rPr>
                <m:t>+</m:t>
              </m:r>
              <m:sSub>
                <m:e>
                  <m:r>
                    <m:t>a</m:t>
                  </m:r>
                </m:e>
                <m:sub>
                  <m:r>
                    <m:rPr>
                      <m:nor/>
                      <m:sty m:val="p"/>
                    </m:rPr>
                    <m:t>seas</m:t>
                  </m:r>
                </m:sub>
              </m:sSub>
              <m:r>
                <m:rPr>
                  <m:sty m:val="p"/>
                </m:rPr>
                <m:t>min</m:t>
              </m:r>
              <m:r>
                <m:t>​</m:t>
              </m:r>
              <m:d>
                <m:dPr>
                  <m:begChr m:val="("/>
                  <m:sepChr m:val=""/>
                  <m:endChr m:val=")"/>
                  <m:grow/>
                </m:dPr>
                <m:e>
                  <m:f>
                    <m:fPr>
                      <m:type m:val="lin"/>
                    </m:fPr>
                    <m:num>
                      <m:r>
                        <m:rPr>
                          <m:nor/>
                          <m:sty m:val="p"/>
                        </m:rPr>
                        <m:t>age</m:t>
                      </m:r>
                    </m:num>
                    <m:den>
                      <m:r>
                        <m:t>30</m:t>
                      </m:r>
                    </m:den>
                  </m:f>
                  <m:r>
                    <m:rPr>
                      <m:sty m:val="p"/>
                    </m:rPr>
                    <m:t>,</m:t>
                  </m:r>
                  <m:r>
                    <m:t>1</m:t>
                  </m:r>
                </m:e>
              </m:d>
              <m:r>
                <m:rPr>
                  <m:sty m:val="p"/>
                </m:rPr>
                <m:t>+</m:t>
              </m:r>
              <m:sSub>
                <m:e>
                  <m:r>
                    <m:t>a</m:t>
                  </m:r>
                </m:e>
                <m:sub>
                  <m:r>
                    <m:rPr>
                      <m:nor/>
                      <m:sty m:val="p"/>
                    </m:rPr>
                    <m:t>fico</m:t>
                  </m:r>
                </m:sub>
              </m:sSub>
              <m:r>
                <m:t> </m:t>
              </m:r>
              <m:f>
                <m:fPr>
                  <m:type m:val="lin"/>
                </m:fPr>
                <m:num>
                  <m:r>
                    <m:rPr>
                      <m:nor/>
                      <m:sty m:val="p"/>
                    </m:rPr>
                    <m:t>FICO</m:t>
                  </m:r>
                  <m:r>
                    <m:rPr>
                      <m:sty m:val="p"/>
                    </m:rPr>
                    <m:t>−</m:t>
                  </m:r>
                  <m:r>
                    <m:t>740</m:t>
                  </m:r>
                </m:num>
                <m:den>
                  <m:r>
                    <m:t>40</m:t>
                  </m:r>
                </m:den>
              </m:f>
              <m:r>
                <m:rPr>
                  <m:sty m:val="p"/>
                </m:rPr>
                <m:t>+</m:t>
              </m:r>
              <m:sSub>
                <m:e>
                  <m:r>
                    <m:t>a</m:t>
                  </m:r>
                </m:e>
                <m:sub>
                  <m:r>
                    <m:rPr>
                      <m:nor/>
                      <m:sty m:val="p"/>
                    </m:rPr>
                    <m:t>size</m:t>
                  </m:r>
                </m:sub>
              </m:sSub>
              <m:r>
                <m:rPr>
                  <m:sty m:val="p"/>
                </m:rPr>
                <m:t>ln</m:t>
              </m:r>
              <m:f>
                <m:fPr>
                  <m:type m:val="lin"/>
                </m:fPr>
                <m:num>
                  <m:sSub>
                    <m:e>
                      <m:r>
                        <m:rPr>
                          <m:nor/>
                          <m:sty m:val="p"/>
                        </m:rPr>
                        <m:t>UPB</m:t>
                      </m:r>
                    </m:e>
                    <m:sub>
                      <m:r>
                        <m:t>t</m:t>
                      </m:r>
                    </m:sub>
                  </m:sSub>
                </m:num>
                <m:den>
                  <m:r>
                    <m:t>200</m:t>
                  </m:r>
                  <m:r>
                    <m:rPr>
                      <m:sty m:val="p"/>
                    </m:rPr>
                    <m:t>,</m:t>
                  </m:r>
                  <m:r>
                    <m:t>000</m:t>
                  </m:r>
                </m:den>
              </m:f>
              <m:r>
                <m:rPr>
                  <m:sty m:val="p"/>
                </m:rPr>
                <m:t>+</m:t>
              </m:r>
              <m:sSub>
                <m:e>
                  <m:r>
                    <m:t>a</m:t>
                  </m:r>
                </m:e>
                <m:sub>
                  <m:r>
                    <m:t>m</m:t>
                  </m:r>
                </m:sub>
              </m:sSub>
              <m:r>
                <m:rPr>
                  <m:sty m:val="p"/>
                </m:rPr>
                <m:t>cos</m:t>
              </m:r>
              <m:f>
                <m:fPr>
                  <m:type m:val="lin"/>
                </m:fPr>
                <m:num>
                  <m:r>
                    <m:t>2</m:t>
                  </m:r>
                  <m:r>
                    <m:t>π</m:t>
                  </m:r>
                  <m:r>
                    <m:rPr>
                      <m:sty m:val="p"/>
                    </m:rPr>
                    <m:t>(</m:t>
                  </m:r>
                  <m:sSub>
                    <m:e>
                      <m:r>
                        <m:t>m</m:t>
                      </m:r>
                    </m:e>
                    <m:sub>
                      <m:r>
                        <m:t>t</m:t>
                      </m:r>
                    </m:sub>
                  </m:sSub>
                  <m:r>
                    <m:rPr>
                      <m:sty m:val="p"/>
                    </m:rPr>
                    <m:t>−</m:t>
                  </m:r>
                  <m:r>
                    <m:t>6</m:t>
                  </m:r>
                  <m:r>
                    <m:rPr>
                      <m:sty m:val="p"/>
                    </m:rPr>
                    <m:t>)</m:t>
                  </m:r>
                </m:num>
                <m:den>
                  <m:r>
                    <m:t>12</m:t>
                  </m:r>
                </m:den>
              </m:f>
            </m:e>
          </m:d>
          <m:r>
            <m:rPr>
              <m:sty m:val="p"/>
            </m:rPr>
            <m:t>,</m:t>
          </m:r>
        </m:oMath>
      </m:oMathPara>
    </w:p>
    <w:p>
      <w:pPr>
        <w:pStyle w:val="FirstParagraph"/>
      </w:pPr>
      <w:r>
        <w:t xml:space="preserve">with the</w:t>
      </w:r>
      <w:r>
        <w:t xml:space="preserve"> </w:t>
      </w:r>
      <w:r>
        <w:rPr>
          <w:b/>
          <w:bCs/>
        </w:rPr>
        <w:t xml:space="preserve">refinance term</w:t>
      </w:r>
    </w:p>
    <w:p>
      <w:pPr>
        <w:pStyle w:val="BodyText"/>
      </w:pPr>
      <m:oMathPara>
        <m:oMathParaPr>
          <m:jc m:val="center"/>
        </m:oMathParaPr>
        <m:oMath>
          <m:sSub>
            <m:e>
              <m:r>
                <m:t>R</m:t>
              </m:r>
            </m:e>
            <m:sub>
              <m:r>
                <m:t>t</m:t>
              </m:r>
            </m:sub>
          </m:sSub>
          <m:r>
            <m:rPr>
              <m:sty m:val="p"/>
            </m:rPr>
            <m:t>=</m:t>
          </m:r>
          <m:r>
            <m:t>σ</m:t>
          </m:r>
          <m:r>
            <m:t>​</m:t>
          </m:r>
          <m:d>
            <m:dPr>
              <m:begChr m:val="("/>
              <m:sepChr m:val=""/>
              <m:endChr m:val=")"/>
              <m:grow/>
            </m:dPr>
            <m:e>
              <m:f>
                <m:fPr>
                  <m:type m:val="lin"/>
                </m:fPr>
                <m:num>
                  <m:sSub>
                    <m:e>
                      <m:r>
                        <m:t>I</m:t>
                      </m:r>
                    </m:e>
                    <m:sub>
                      <m:r>
                        <m:t>t</m:t>
                      </m:r>
                    </m:sub>
                  </m:sSub>
                  <m:r>
                    <m:rPr>
                      <m:sty m:val="p"/>
                    </m:rPr>
                    <m:t>−</m:t>
                  </m:r>
                  <m:r>
                    <m:t>0.5</m:t>
                  </m:r>
                </m:num>
                <m:den>
                  <m:r>
                    <m:t>0.25</m:t>
                  </m:r>
                </m:den>
              </m:f>
            </m:e>
          </m:d>
          <m:r>
            <m:t> </m:t>
          </m:r>
          <m:sSup>
            <m:e>
              <m:r>
                <m:t>e</m:t>
              </m:r>
            </m:e>
            <m:sup>
              <m:r>
                <m:rPr>
                  <m:sty m:val="p"/>
                </m:rPr>
                <m:t>−</m:t>
              </m:r>
              <m:sSub>
                <m:e>
                  <m:r>
                    <m:t>a</m:t>
                  </m:r>
                </m:e>
                <m:sub>
                  <m:r>
                    <m:rPr>
                      <m:nor/>
                      <m:sty m:val="p"/>
                    </m:rPr>
                    <m:t>burn</m:t>
                  </m:r>
                </m:sub>
              </m:sSub>
              <m:sSub>
                <m:e>
                  <m:r>
                    <m:t>B</m:t>
                  </m:r>
                </m:e>
                <m:sub>
                  <m:r>
                    <m:t>t</m:t>
                  </m:r>
                </m:sub>
              </m:sSub>
            </m:sup>
          </m:sSup>
          <m:r>
            <m:t> </m:t>
          </m:r>
          <m:r>
            <m:rPr>
              <m:sty m:val="b"/>
            </m:rPr>
            <m:t>1</m:t>
          </m:r>
          <m:d>
            <m:dPr>
              <m:begChr m:val="["/>
              <m:sepChr m:val=""/>
              <m:endChr m:val="]"/>
              <m:grow/>
            </m:dPr>
            <m:e>
              <m:sSub>
                <m:e>
                  <m:r>
                    <m:rPr>
                      <m:nor/>
                      <m:sty m:val="p"/>
                    </m:rPr>
                    <m:t>MTM</m:t>
                  </m:r>
                </m:e>
                <m:sub>
                  <m:r>
                    <m:t>t</m:t>
                  </m:r>
                </m:sub>
              </m:sSub>
              <m:r>
                <m:rPr>
                  <m:sty m:val="p"/>
                </m:rPr>
                <m:t>&lt;</m:t>
              </m:r>
              <m:r>
                <m:t>90</m:t>
              </m:r>
            </m:e>
          </m:d>
          <m:r>
            <m:rPr>
              <m:sty m:val="p"/>
            </m:rPr>
            <m:t>.</m:t>
          </m:r>
        </m:oMath>
      </m:oMathPara>
    </w:p>
    <w:p>
      <w:pPr>
        <w:pStyle w:val="FirstParagraph"/>
      </w:pPr>
      <w:r>
        <w:t xml:space="preserve">In words: the baseline is low; it rises as the loan seasons (new loans rarely prepay in the first months); better-credit and larger borrowers prepay a bit faster; there is a June peak in home sales; and the refinance term turns on as the incentive crosses about half a point, is damped for loans that have been in the money for a long time (burnout), and is switched off if the borrower has too little equity (MTM LTV at or above 90) to refinance.</w:t>
      </w:r>
    </w:p>
    <w:bookmarkEnd w:id="26"/>
    <w:bookmarkStart w:id="27" w:name="the-default-delinquency-entry-hazard"/>
    <w:p>
      <w:pPr>
        <w:pStyle w:val="Heading2"/>
      </w:pPr>
      <w:r>
        <w:rPr>
          <w:rStyle w:val="SectionNumber"/>
        </w:rPr>
        <w:t xml:space="preserve">4.4</w:t>
      </w:r>
      <w:r>
        <w:tab/>
      </w:r>
      <w:r>
        <w:t xml:space="preserve">The default (delinquency entry) hazard</w:t>
      </w:r>
    </w:p>
    <w:p>
      <w:pPr>
        <w:pStyle w:val="FirstParagraph"/>
      </w:pPr>
      <w:r>
        <w:t xml:space="preserve">The monthly probability that a current loan becomes 30 days late is</w:t>
      </w:r>
    </w:p>
    <w:p>
      <w:pPr>
        <w:pStyle w:val="BodyText"/>
      </w:pPr>
      <m:oMathPara>
        <m:oMathParaPr>
          <m:jc m:val="center"/>
        </m:oMathParaPr>
        <m:oMath>
          <m:sSubSup>
            <m:e>
              <m:r>
                <m:t>h</m:t>
              </m:r>
            </m:e>
            <m:sub>
              <m:r>
                <m:t>t</m:t>
              </m:r>
            </m:sub>
            <m:sup>
              <m:r>
                <m:t>D</m:t>
              </m:r>
            </m:sup>
          </m:sSubSup>
          <m:r>
            <m:rPr>
              <m:sty m:val="p"/>
            </m:rPr>
            <m:t>=</m:t>
          </m:r>
          <m:r>
            <m:t>σ</m:t>
          </m:r>
          <m:r>
            <m:t>​</m:t>
          </m:r>
          <m:d>
            <m:dPr>
              <m:begChr m:val="("/>
              <m:sepChr m:val=""/>
              <m:endChr m:val=")"/>
              <m:grow/>
            </m:dPr>
            <m:e>
              <m:sSub>
                <m:e>
                  <m:r>
                    <m:t>b</m:t>
                  </m:r>
                </m:e>
                <m:sub>
                  <m:r>
                    <m:t>0</m:t>
                  </m:r>
                </m:sub>
              </m:sSub>
              <m:r>
                <m:rPr>
                  <m:sty m:val="p"/>
                </m:rPr>
                <m:t>+</m:t>
              </m:r>
              <m:sSub>
                <m:e>
                  <m:r>
                    <m:t>b</m:t>
                  </m:r>
                </m:e>
                <m:sub>
                  <m:r>
                    <m:rPr>
                      <m:nor/>
                      <m:sty m:val="p"/>
                    </m:rPr>
                    <m:t>fico</m:t>
                  </m:r>
                </m:sub>
              </m:sSub>
              <m:f>
                <m:fPr>
                  <m:type m:val="lin"/>
                </m:fPr>
                <m:num>
                  <m:r>
                    <m:rPr>
                      <m:nor/>
                      <m:sty m:val="p"/>
                    </m:rPr>
                    <m:t>FICO</m:t>
                  </m:r>
                  <m:r>
                    <m:rPr>
                      <m:sty m:val="p"/>
                    </m:rPr>
                    <m:t>−</m:t>
                  </m:r>
                  <m:r>
                    <m:t>740</m:t>
                  </m:r>
                </m:num>
                <m:den>
                  <m:r>
                    <m:t>50</m:t>
                  </m:r>
                </m:den>
              </m:f>
              <m:r>
                <m:rPr>
                  <m:sty m:val="p"/>
                </m:rPr>
                <m:t>+</m:t>
              </m:r>
              <m:sSub>
                <m:e>
                  <m:r>
                    <m:t>b</m:t>
                  </m:r>
                </m:e>
                <m:sub>
                  <m:r>
                    <m:rPr>
                      <m:nor/>
                      <m:sty m:val="p"/>
                    </m:rPr>
                    <m:t>ltv</m:t>
                  </m:r>
                </m:sub>
              </m:sSub>
              <m:f>
                <m:fPr>
                  <m:type m:val="lin"/>
                </m:fPr>
                <m:num>
                  <m:r>
                    <m:rPr>
                      <m:sty m:val="p"/>
                    </m:rPr>
                    <m:t>max</m:t>
                  </m:r>
                  <m:r>
                    <m:rPr>
                      <m:sty m:val="p"/>
                    </m:rPr>
                    <m:t>(</m:t>
                  </m:r>
                  <m:sSub>
                    <m:e>
                      <m:r>
                        <m:rPr>
                          <m:nor/>
                          <m:sty m:val="p"/>
                        </m:rPr>
                        <m:t>MTM</m:t>
                      </m:r>
                    </m:e>
                    <m:sub>
                      <m:r>
                        <m:t>t</m:t>
                      </m:r>
                    </m:sub>
                  </m:sSub>
                  <m:r>
                    <m:rPr>
                      <m:sty m:val="p"/>
                    </m:rPr>
                    <m:t>−</m:t>
                  </m:r>
                  <m:r>
                    <m:t>80</m:t>
                  </m:r>
                  <m:r>
                    <m:rPr>
                      <m:sty m:val="p"/>
                    </m:rPr>
                    <m:t>,</m:t>
                  </m:r>
                  <m:r>
                    <m:t>0</m:t>
                  </m:r>
                  <m:r>
                    <m:rPr>
                      <m:sty m:val="p"/>
                    </m:rPr>
                    <m:t>)</m:t>
                  </m:r>
                </m:num>
                <m:den>
                  <m:r>
                    <m:t>10</m:t>
                  </m:r>
                </m:den>
              </m:f>
              <m:r>
                <m:rPr>
                  <m:sty m:val="p"/>
                </m:rPr>
                <m:t>+</m:t>
              </m:r>
              <m:sSub>
                <m:e>
                  <m:r>
                    <m:t>b</m:t>
                  </m:r>
                </m:e>
                <m:sub>
                  <m:r>
                    <m:rPr>
                      <m:nor/>
                      <m:sty m:val="p"/>
                    </m:rPr>
                    <m:t>dti</m:t>
                  </m:r>
                </m:sub>
              </m:sSub>
              <m:f>
                <m:fPr>
                  <m:type m:val="lin"/>
                </m:fPr>
                <m:num>
                  <m:r>
                    <m:rPr>
                      <m:nor/>
                      <m:sty m:val="p"/>
                    </m:rPr>
                    <m:t>DTI</m:t>
                  </m:r>
                  <m:r>
                    <m:rPr>
                      <m:sty m:val="p"/>
                    </m:rPr>
                    <m:t>−</m:t>
                  </m:r>
                  <m:r>
                    <m:t>36</m:t>
                  </m:r>
                </m:num>
                <m:den>
                  <m:r>
                    <m:t>10</m:t>
                  </m:r>
                </m:den>
              </m:f>
              <m:r>
                <m:rPr>
                  <m:sty m:val="p"/>
                </m:rPr>
                <m:t>+</m:t>
              </m:r>
              <m:sSub>
                <m:e>
                  <m:r>
                    <m:t>b</m:t>
                  </m:r>
                </m:e>
                <m:sub>
                  <m:r>
                    <m:t>u</m:t>
                  </m:r>
                </m:sub>
              </m:sSub>
              <m:r>
                <m:rPr>
                  <m:sty m:val="p"/>
                </m:rPr>
                <m:t>(</m:t>
              </m:r>
              <m:sSub>
                <m:e>
                  <m:r>
                    <m:t>U</m:t>
                  </m:r>
                </m:e>
                <m:sub>
                  <m:r>
                    <m:t>t</m:t>
                  </m:r>
                </m:sub>
              </m:sSub>
              <m:r>
                <m:rPr>
                  <m:sty m:val="p"/>
                </m:rPr>
                <m:t>−</m:t>
              </m:r>
              <m:r>
                <m:t>5</m:t>
              </m:r>
              <m:r>
                <m:rPr>
                  <m:sty m:val="p"/>
                </m:rPr>
                <m:t>)</m:t>
              </m:r>
              <m:r>
                <m:rPr>
                  <m:sty m:val="p"/>
                </m:rPr>
                <m:t>+</m:t>
              </m:r>
              <m:sSub>
                <m:e>
                  <m:r>
                    <m:t>b</m:t>
                  </m:r>
                </m:e>
                <m:sub>
                  <m:r>
                    <m:t>h</m:t>
                  </m:r>
                </m:sub>
              </m:sSub>
              <m:f>
                <m:fPr>
                  <m:type m:val="lin"/>
                </m:fPr>
                <m:num>
                  <m:r>
                    <m:rPr>
                      <m:sty m:val="p"/>
                    </m:rPr>
                    <m:t>min</m:t>
                  </m:r>
                  <m:r>
                    <m:rPr>
                      <m:sty m:val="p"/>
                    </m:rPr>
                    <m:t>(</m:t>
                  </m:r>
                  <m:r>
                    <m:rPr>
                      <m:sty m:val="p"/>
                    </m:rPr>
                    <m:t>Δ</m:t>
                  </m:r>
                  <m:sSub>
                    <m:e>
                      <m:r>
                        <m:t>H</m:t>
                      </m:r>
                    </m:e>
                    <m:sub>
                      <m:r>
                        <m:t>t</m:t>
                      </m:r>
                    </m:sub>
                  </m:sSub>
                  <m:r>
                    <m:rPr>
                      <m:sty m:val="p"/>
                    </m:rPr>
                    <m:t>,</m:t>
                  </m:r>
                  <m:r>
                    <m:t>0</m:t>
                  </m:r>
                  <m:r>
                    <m:rPr>
                      <m:sty m:val="p"/>
                    </m:rPr>
                    <m:t>)</m:t>
                  </m:r>
                </m:num>
                <m:den>
                  <m:r>
                    <m:t>10</m:t>
                  </m:r>
                </m:den>
              </m:f>
              <m:r>
                <m:rPr>
                  <m:sty m:val="p"/>
                </m:rPr>
                <m:t>+</m:t>
              </m:r>
              <m:sSub>
                <m:e>
                  <m:r>
                    <m:t>b</m:t>
                  </m:r>
                </m:e>
                <m:sub>
                  <m:r>
                    <m:rPr>
                      <m:nor/>
                      <m:sty m:val="p"/>
                    </m:rPr>
                    <m:t>age</m:t>
                  </m:r>
                </m:sub>
              </m:sSub>
              <m:r>
                <m:t> </m:t>
              </m:r>
              <m:r>
                <m:t>g</m:t>
              </m:r>
              <m:r>
                <m:rPr>
                  <m:sty m:val="p"/>
                </m:rPr>
                <m:t>(</m:t>
              </m:r>
              <m:r>
                <m:rPr>
                  <m:nor/>
                  <m:sty m:val="p"/>
                </m:rPr>
                <m:t>age</m:t>
              </m:r>
              <m:r>
                <m:rPr>
                  <m:sty m:val="p"/>
                </m:rPr>
                <m:t>)</m:t>
              </m:r>
            </m:e>
          </m:d>
          <m:r>
            <m:rPr>
              <m:sty m:val="p"/>
            </m:rPr>
            <m:t>,</m:t>
          </m:r>
        </m:oMath>
      </m:oMathPara>
    </w:p>
    <w:p>
      <w:pPr>
        <w:pStyle w:val="FirstParagraph"/>
      </w:pPr>
      <w:r>
        <w:t xml:space="preserve">where</w:t>
      </w:r>
      <w:r>
        <w:t xml:space="preserve"> </w:t>
      </w:r>
      <m:oMath>
        <m:r>
          <m:t>g</m:t>
        </m:r>
        <m:r>
          <m:rPr>
            <m:sty m:val="p"/>
          </m:rPr>
          <m:t>(</m:t>
        </m:r>
        <m:r>
          <m:rPr>
            <m:nor/>
            <m:sty m:val="p"/>
          </m:rPr>
          <m:t>age</m:t>
        </m:r>
        <m:r>
          <m:rPr>
            <m:sty m:val="p"/>
          </m:rPr>
          <m:t>)</m:t>
        </m:r>
        <m:r>
          <m:rPr>
            <m:sty m:val="p"/>
          </m:rPr>
          <m:t>=</m:t>
        </m:r>
        <m:r>
          <m:rPr>
            <m:sty m:val="p"/>
          </m:rPr>
          <m:t>exp</m:t>
        </m:r>
        <m:r>
          <m:t>​</m:t>
        </m:r>
        <m:r>
          <m:rPr>
            <m:sty m:val="p"/>
          </m:rPr>
          <m:t>(</m:t>
        </m:r>
        <m:r>
          <m:rPr>
            <m:sty m:val="p"/>
          </m:rPr>
          <m:t>−</m:t>
        </m:r>
        <m:d>
          <m:dPr>
            <m:begChr m:val="("/>
            <m:sepChr m:val=""/>
            <m:endChr m:val=")"/>
            <m:grow/>
          </m:dPr>
          <m:e>
            <m:f>
              <m:fPr>
                <m:type m:val="lin"/>
              </m:fPr>
              <m:num>
                <m:r>
                  <m:rPr>
                    <m:nor/>
                    <m:sty m:val="p"/>
                  </m:rPr>
                  <m:t>age</m:t>
                </m:r>
                <m:r>
                  <m:rPr>
                    <m:sty m:val="p"/>
                  </m:rPr>
                  <m:t>−</m:t>
                </m:r>
                <m:r>
                  <m:t>30</m:t>
                </m:r>
              </m:num>
              <m:den>
                <m:r>
                  <m:t>20</m:t>
                </m:r>
              </m:den>
            </m:f>
            <m:sSup>
              <m:e>
                <m:r>
                  <m:rPr>
                    <m:sty m:val="p"/>
                  </m:rPr>
                  <m:t>)</m:t>
                </m:r>
              </m:e>
              <m:sup>
                <m:r>
                  <m:t>2</m:t>
                </m:r>
              </m:sup>
            </m:sSup>
          </m:e>
        </m:d>
        <m:r>
          <m:rPr>
            <m:sty m:val="p"/>
          </m:rPr>
          <m:t>−</m:t>
        </m:r>
        <m:r>
          <m:t>0.3</m:t>
        </m:r>
      </m:oMath>
      <w:r>
        <w:t xml:space="preserve"> </w:t>
      </w:r>
      <w:r>
        <w:t xml:space="preserve">is a</w:t>
      </w:r>
      <w:r>
        <w:t xml:space="preserve"> </w:t>
      </w:r>
      <w:r>
        <w:rPr>
          <w:b/>
          <w:bCs/>
        </w:rPr>
        <w:t xml:space="preserve">seasoning hump</w:t>
      </w:r>
      <w:r>
        <w:t xml:space="preserve">: delinquency risk is lowest right after origination, peaks around month 30 and fades later. The house-price term acts only when prices are</w:t>
      </w:r>
      <w:r>
        <w:t xml:space="preserve"> </w:t>
      </w:r>
      <w:r>
        <w:rPr>
          <w:i/>
          <w:iCs/>
        </w:rPr>
        <w:t xml:space="preserve">falling</w:t>
      </w:r>
      <w:r>
        <w:t xml:space="preserve"> </w:t>
      </w:r>
      <w:r>
        <w:t xml:space="preserve">(</w:t>
      </w:r>
      <m:oMath>
        <m:r>
          <m:rPr>
            <m:sty m:val="p"/>
          </m:rPr>
          <m:t>min</m:t>
        </m:r>
        <m:r>
          <m:rPr>
            <m:sty m:val="p"/>
          </m:rPr>
          <m:t>(</m:t>
        </m:r>
        <m:r>
          <m:rPr>
            <m:sty m:val="p"/>
          </m:rPr>
          <m:t>Δ</m:t>
        </m:r>
        <m:r>
          <m:t>H</m:t>
        </m:r>
        <m:r>
          <m:rPr>
            <m:sty m:val="p"/>
          </m:rPr>
          <m:t>,</m:t>
        </m:r>
        <m:r>
          <m:t>0</m:t>
        </m:r>
        <m:r>
          <m:rPr>
            <m:sty m:val="p"/>
          </m:rPr>
          <m:t>)</m:t>
        </m:r>
      </m:oMath>
      <w:r>
        <w:t xml:space="preserve">), representing negative-equity-driven default.</w:t>
      </w:r>
    </w:p>
    <w:p>
      <w:pPr>
        <w:pStyle w:val="BodyText"/>
      </w:pPr>
      <w:r>
        <w:t xml:space="preserve">A loan that is 30DPD then</w:t>
      </w:r>
      <w:r>
        <w:t xml:space="preserve"> </w:t>
      </w:r>
      <w:r>
        <w:rPr>
          <w:b/>
          <w:bCs/>
        </w:rPr>
        <w:t xml:space="preserve">rolls</w:t>
      </w:r>
      <w:r>
        <w:t xml:space="preserve"> </w:t>
      </w:r>
      <w:r>
        <w:t xml:space="preserve">to 60DPD or cures back to current, and from 60DPD it rolls to 90+DPD (the default event) or cures:</w:t>
      </w:r>
    </w:p>
    <w:p>
      <w:pPr>
        <w:pStyle w:val="BodyText"/>
      </w:pPr>
      <m:oMathPara>
        <m:oMathParaPr>
          <m:jc m:val="center"/>
        </m:oMathParaPr>
        <m:oMath>
          <m:r>
            <m:t>P</m:t>
          </m:r>
          <m:r>
            <m:rPr>
              <m:sty m:val="p"/>
            </m:rPr>
            <m:t>(</m:t>
          </m:r>
          <m:r>
            <m:t>30</m:t>
          </m:r>
          <m:r>
            <m:rPr>
              <m:sty m:val="p"/>
            </m:rPr>
            <m:t>→</m:t>
          </m:r>
          <m:r>
            <m:t>60</m:t>
          </m:r>
          <m:r>
            <m:rPr>
              <m:sty m:val="p"/>
            </m:rPr>
            <m:t>)</m:t>
          </m:r>
          <m:r>
            <m:rPr>
              <m:sty m:val="p"/>
            </m:rPr>
            <m:t>=</m:t>
          </m:r>
          <m:r>
            <m:rPr>
              <m:sty m:val="p"/>
            </m:rPr>
            <m:t>min</m:t>
          </m:r>
          <m:r>
            <m:t>​</m:t>
          </m:r>
          <m:d>
            <m:dPr>
              <m:begChr m:val="("/>
              <m:sepChr m:val=""/>
              <m:endChr m:val=")"/>
              <m:grow/>
            </m:dPr>
            <m:e>
              <m:sSub>
                <m:e>
                  <m:r>
                    <m:t>c</m:t>
                  </m:r>
                </m:e>
                <m:sub>
                  <m:r>
                    <m:t>30</m:t>
                  </m:r>
                </m:sub>
              </m:sSub>
              <m:r>
                <m:t> </m:t>
              </m:r>
              <m:r>
                <m:t>τ</m:t>
              </m:r>
              <m:r>
                <m:rPr>
                  <m:sty m:val="p"/>
                </m:rPr>
                <m:t>,</m:t>
              </m:r>
              <m:r>
                <m:t> </m:t>
              </m:r>
              <m:r>
                <m:t>0.9</m:t>
              </m:r>
            </m:e>
          </m:d>
          <m:r>
            <m:rPr>
              <m:sty m:val="p"/>
            </m:rPr>
            <m:t>,</m:t>
          </m:r>
          <m:r>
            <m:t> </m:t>
          </m:r>
          <m:r>
            <m:t>P</m:t>
          </m:r>
          <m:r>
            <m:rPr>
              <m:sty m:val="p"/>
            </m:rPr>
            <m:t>(</m:t>
          </m:r>
          <m:r>
            <m:t>30</m:t>
          </m:r>
          <m:r>
            <m:rPr>
              <m:sty m:val="p"/>
            </m:rPr>
            <m:t>→</m:t>
          </m:r>
          <m:r>
            <m:t>0</m:t>
          </m:r>
          <m:r>
            <m:rPr>
              <m:sty m:val="p"/>
            </m:rPr>
            <m:t>)</m:t>
          </m:r>
          <m:r>
            <m:rPr>
              <m:sty m:val="p"/>
            </m:rPr>
            <m:t>=</m:t>
          </m:r>
          <m:r>
            <m:t>0.55</m:t>
          </m:r>
          <m:r>
            <m:rPr>
              <m:sty m:val="p"/>
            </m:rPr>
            <m:t>;</m:t>
          </m:r>
          <m:r>
            <m:t>  </m:t>
          </m:r>
          <m:r>
            <m:t>P</m:t>
          </m:r>
          <m:r>
            <m:rPr>
              <m:sty m:val="p"/>
            </m:rPr>
            <m:t>(</m:t>
          </m:r>
          <m:r>
            <m:t>60</m:t>
          </m:r>
          <m:r>
            <m:rPr>
              <m:sty m:val="p"/>
            </m:rPr>
            <m:t>→</m:t>
          </m:r>
          <m:r>
            <m:t>90</m:t>
          </m:r>
          <m:r>
            <m:rPr>
              <m:sty m:val="p"/>
            </m:rPr>
            <m:t>+</m:t>
          </m:r>
          <m:r>
            <m:rPr>
              <m:sty m:val="p"/>
            </m:rPr>
            <m:t>)</m:t>
          </m:r>
          <m:r>
            <m:rPr>
              <m:sty m:val="p"/>
            </m:rPr>
            <m:t>=</m:t>
          </m:r>
          <m:r>
            <m:rPr>
              <m:sty m:val="p"/>
            </m:rPr>
            <m:t>min</m:t>
          </m:r>
          <m:r>
            <m:t>​</m:t>
          </m:r>
          <m:d>
            <m:dPr>
              <m:begChr m:val="("/>
              <m:sepChr m:val=""/>
              <m:endChr m:val=")"/>
              <m:grow/>
            </m:dPr>
            <m:e>
              <m:sSub>
                <m:e>
                  <m:r>
                    <m:t>c</m:t>
                  </m:r>
                </m:e>
                <m:sub>
                  <m:r>
                    <m:t>60</m:t>
                  </m:r>
                </m:sub>
              </m:sSub>
              <m:r>
                <m:t> </m:t>
              </m:r>
              <m:r>
                <m:t>τ</m:t>
              </m:r>
              <m:r>
                <m:rPr>
                  <m:sty m:val="p"/>
                </m:rPr>
                <m:t>,</m:t>
              </m:r>
              <m:r>
                <m:t> </m:t>
              </m:r>
              <m:r>
                <m:t>0.9</m:t>
              </m:r>
            </m:e>
          </m:d>
          <m:r>
            <m:rPr>
              <m:sty m:val="p"/>
            </m:rPr>
            <m:t>,</m:t>
          </m:r>
          <m:r>
            <m:t> </m:t>
          </m:r>
          <m:r>
            <m:t>P</m:t>
          </m:r>
          <m:r>
            <m:rPr>
              <m:sty m:val="p"/>
            </m:rPr>
            <m:t>(</m:t>
          </m:r>
          <m:r>
            <m:t>60</m:t>
          </m:r>
          <m:r>
            <m:rPr>
              <m:sty m:val="p"/>
            </m:rPr>
            <m:t>→</m:t>
          </m:r>
          <m:r>
            <m:t>0</m:t>
          </m:r>
          <m:r>
            <m:rPr>
              <m:sty m:val="p"/>
            </m:rPr>
            <m:t>)</m:t>
          </m:r>
          <m:r>
            <m:rPr>
              <m:sty m:val="p"/>
            </m:rPr>
            <m:t>=</m:t>
          </m:r>
          <m:r>
            <m:t>0.20</m:t>
          </m:r>
          <m:r>
            <m:rPr>
              <m:sty m:val="p"/>
            </m:rPr>
            <m:t>,</m:t>
          </m:r>
        </m:oMath>
      </m:oMathPara>
    </w:p>
    <w:p>
      <w:pPr>
        <w:pStyle w:val="FirstParagraph"/>
      </w:pPr>
      <w:r>
        <w:t xml:space="preserve">with the tilt</w:t>
      </w:r>
      <w:r>
        <w:t xml:space="preserve"> </w:t>
      </w:r>
      <m:oMath>
        <m:r>
          <m:t>τ</m:t>
        </m:r>
        <m:r>
          <m:rPr>
            <m:sty m:val="p"/>
          </m:rPr>
          <m:t>=</m:t>
        </m:r>
        <m:r>
          <m:rPr>
            <m:sty m:val="p"/>
          </m:rPr>
          <m:t>exp</m:t>
        </m:r>
        <m:r>
          <m:t>​</m:t>
        </m:r>
        <m:d>
          <m:dPr>
            <m:begChr m:val="("/>
            <m:sepChr m:val=""/>
            <m:endChr m:val=")"/>
            <m:grow/>
          </m:dPr>
          <m:e>
            <m:sSub>
              <m:e>
                <m:r>
                  <m:t>k</m:t>
                </m:r>
              </m:e>
              <m:sub>
                <m:r>
                  <m:t>f</m:t>
                </m:r>
              </m:sub>
            </m:sSub>
            <m:f>
              <m:fPr>
                <m:type m:val="lin"/>
              </m:fPr>
              <m:num>
                <m:r>
                  <m:rPr>
                    <m:nor/>
                    <m:sty m:val="p"/>
                  </m:rPr>
                  <m:t>FICO</m:t>
                </m:r>
                <m:r>
                  <m:rPr>
                    <m:sty m:val="p"/>
                  </m:rPr>
                  <m:t>−</m:t>
                </m:r>
                <m:r>
                  <m:t>740</m:t>
                </m:r>
              </m:num>
              <m:den>
                <m:r>
                  <m:t>50</m:t>
                </m:r>
              </m:den>
            </m:f>
            <m:r>
              <m:rPr>
                <m:sty m:val="p"/>
              </m:rPr>
              <m:t>+</m:t>
            </m:r>
            <m:sSub>
              <m:e>
                <m:r>
                  <m:t>k</m:t>
                </m:r>
              </m:e>
              <m:sub>
                <m:r>
                  <m:t>l</m:t>
                </m:r>
              </m:sub>
            </m:sSub>
            <m:f>
              <m:fPr>
                <m:type m:val="lin"/>
              </m:fPr>
              <m:num>
                <m:r>
                  <m:rPr>
                    <m:sty m:val="p"/>
                  </m:rPr>
                  <m:t>max</m:t>
                </m:r>
                <m:r>
                  <m:rPr>
                    <m:sty m:val="p"/>
                  </m:rPr>
                  <m:t>(</m:t>
                </m:r>
                <m:r>
                  <m:rPr>
                    <m:nor/>
                    <m:sty m:val="p"/>
                  </m:rPr>
                  <m:t>MTM</m:t>
                </m:r>
                <m:r>
                  <m:rPr>
                    <m:sty m:val="p"/>
                  </m:rPr>
                  <m:t>−</m:t>
                </m:r>
                <m:r>
                  <m:t>80</m:t>
                </m:r>
                <m:r>
                  <m:rPr>
                    <m:sty m:val="p"/>
                  </m:rPr>
                  <m:t>,</m:t>
                </m:r>
                <m:r>
                  <m:t>0</m:t>
                </m:r>
                <m:r>
                  <m:rPr>
                    <m:sty m:val="p"/>
                  </m:rPr>
                  <m:t>)</m:t>
                </m:r>
              </m:num>
              <m:den>
                <m:r>
                  <m:t>10</m:t>
                </m:r>
              </m:den>
            </m:f>
          </m:e>
        </m:d>
      </m:oMath>
      <w:r>
        <w:t xml:space="preserve"> </w:t>
      </w:r>
      <w:r>
        <w:t xml:space="preserve">making weaker borrowers roll faster and cure less. In each month one uniform random number decides among prepay, entering 30DPD or staying current, which makes prepayment and delinquency</w:t>
      </w:r>
      <w:r>
        <w:t xml:space="preserve"> </w:t>
      </w:r>
      <w:r>
        <w:rPr>
          <w:b/>
          <w:bCs/>
        </w:rPr>
        <w:t xml:space="preserve">competing risks</w:t>
      </w:r>
      <w:r>
        <w:t xml:space="preserve">: a loan that prepays cannot default and vice versa.</w:t>
      </w:r>
    </w:p>
    <w:bookmarkEnd w:id="27"/>
    <w:bookmarkStart w:id="28" w:name="coefficients"/>
    <w:p>
      <w:pPr>
        <w:pStyle w:val="Heading2"/>
      </w:pPr>
      <w:r>
        <w:rPr>
          <w:rStyle w:val="SectionNumber"/>
        </w:rPr>
        <w:t xml:space="preserve">4.5</w:t>
      </w:r>
      <w:r>
        <w:tab/>
      </w:r>
      <w:r>
        <w:t xml:space="preserve">Coefficients</w:t>
      </w:r>
    </w:p>
    <w:p>
      <w:pPr>
        <w:pStyle w:val="TableCaption"/>
      </w:pPr>
      <w:r>
        <w:t xml:space="preserve">True data generating process parameters (</w:t>
      </w:r>
      <w:r>
        <w:rPr>
          <w:rStyle w:val="VerbatimChar"/>
        </w:rPr>
        <w:t xml:space="preserve">config.TRUE_DGP</w:t>
      </w:r>
      <w:r>
        <w:t xml:space="preserve">).</w:t>
      </w:r>
    </w:p>
    <w:tbl>
      <w:tblPr>
        <w:tblStyle w:val="Table"/>
        <w:tblW w:type="pct" w:w="5000"/>
        <w:tblLayout w:type="fixed"/>
        <w:tblLook w:firstRow="1" w:lastRow="0" w:firstColumn="0" w:lastColumn="0" w:noHBand="0" w:noVBand="0" w:val="0020"/>
        <w:tblCaption w:val="True data generating process parameters (config.TRUE_DGP)."/>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28"/>
        <w:gridCol w:w="1448"/>
        <w:gridCol w:w="579"/>
        <w:gridCol w:w="3863"/>
      </w:tblGrid>
      <w:tr>
        <w:trPr>
          <w:tblHeader w:val="on"/>
        </w:trPr>
        <w:tc>
          <w:tcPr/>
          <w:p>
            <w:pPr>
              <w:pStyle w:val="Compact"/>
              <w:jc w:val="left"/>
            </w:pPr>
            <w:r>
              <w:rPr>
                <w:sz w:val="17"/>
              </w:rPr>
              <w:t xml:space="preserve">Block</w:t>
            </w:r>
          </w:p>
        </w:tc>
        <w:tc>
          <w:tcPr/>
          <w:p>
            <w:pPr>
              <w:pStyle w:val="Compact"/>
              <w:jc w:val="right"/>
            </w:pPr>
            <w:r>
              <w:rPr>
                <w:sz w:val="17"/>
              </w:rPr>
              <w:t xml:space="preserve">Parameter</w:t>
            </w:r>
          </w:p>
        </w:tc>
        <w:tc>
          <w:tcPr/>
          <w:p>
            <w:pPr>
              <w:pStyle w:val="Compact"/>
              <w:jc w:val="right"/>
            </w:pPr>
            <w:r>
              <w:rPr>
                <w:sz w:val="17"/>
              </w:rPr>
              <w:t xml:space="preserve">Value</w:t>
            </w:r>
          </w:p>
        </w:tc>
        <w:tc>
          <w:tcPr/>
          <w:p>
            <w:pPr>
              <w:pStyle w:val="Compact"/>
              <w:jc w:val="right"/>
            </w:pPr>
            <w:r>
              <w:rPr>
                <w:sz w:val="17"/>
              </w:rPr>
              <w:t xml:space="preserve">Role</w:t>
            </w:r>
          </w:p>
        </w:tc>
      </w:tr>
      <w:tr>
        <w:tc>
          <w:tcPr/>
          <w:p>
            <w:pPr>
              <w:pStyle w:val="Compact"/>
              <w:jc w:val="left"/>
            </w:pPr>
            <w:r>
              <w:rPr>
                <w:sz w:val="17"/>
              </w:rPr>
              <w:t xml:space="preserve">Prepay hazard</w:t>
            </w:r>
          </w:p>
        </w:tc>
        <w:tc>
          <w:tcPr/>
          <w:p>
            <w:pPr>
              <w:pStyle w:val="Compact"/>
              <w:jc w:val="right"/>
            </w:pPr>
            <w:r>
              <w:rPr>
                <w:sz w:val="17"/>
              </w:rPr>
              <w:t xml:space="preserve">a0</w:t>
            </w:r>
          </w:p>
        </w:tc>
        <w:tc>
          <w:tcPr/>
          <w:p>
            <w:pPr>
              <w:pStyle w:val="Compact"/>
              <w:jc w:val="right"/>
            </w:pPr>
            <w:r>
              <w:rPr>
                <w:sz w:val="17"/>
              </w:rPr>
              <w:t xml:space="preserve">-5.600</w:t>
            </w:r>
          </w:p>
        </w:tc>
        <w:tc>
          <w:tcPr/>
          <w:p>
            <w:pPr>
              <w:pStyle w:val="Compact"/>
              <w:jc w:val="right"/>
            </w:pPr>
            <w:r>
              <w:rPr>
                <w:sz w:val="17"/>
              </w:rPr>
              <w:t xml:space="preserve">intercept of the monthly prepay hazard (log-odds)</w:t>
            </w:r>
          </w:p>
        </w:tc>
      </w:tr>
      <w:tr>
        <w:tc>
          <w:tcPr/>
          <w:p>
            <w:pPr>
              <w:pStyle w:val="Compact"/>
              <w:jc w:val="left"/>
            </w:pPr>
            <w:r>
              <w:rPr>
                <w:sz w:val="17"/>
              </w:rPr>
              <w:t xml:space="preserve">Prepay hazard</w:t>
            </w:r>
          </w:p>
        </w:tc>
        <w:tc>
          <w:tcPr/>
          <w:p>
            <w:pPr>
              <w:pStyle w:val="Compact"/>
              <w:jc w:val="right"/>
            </w:pPr>
            <w:r>
              <w:rPr>
                <w:sz w:val="17"/>
              </w:rPr>
              <w:t xml:space="preserve">a_ref</w:t>
            </w:r>
          </w:p>
        </w:tc>
        <w:tc>
          <w:tcPr/>
          <w:p>
            <w:pPr>
              <w:pStyle w:val="Compact"/>
              <w:jc w:val="right"/>
            </w:pPr>
            <w:r>
              <w:rPr>
                <w:sz w:val="17"/>
              </w:rPr>
              <w:t xml:space="preserve">3.400</w:t>
            </w:r>
          </w:p>
        </w:tc>
        <w:tc>
          <w:tcPr/>
          <w:p>
            <w:pPr>
              <w:pStyle w:val="Compact"/>
              <w:jc w:val="right"/>
            </w:pPr>
            <w:r>
              <w:rPr>
                <w:sz w:val="17"/>
              </w:rPr>
              <w:t xml:space="preserve">weight on the refinance incentive term R</w:t>
            </w:r>
          </w:p>
        </w:tc>
      </w:tr>
      <w:tr>
        <w:tc>
          <w:tcPr/>
          <w:p>
            <w:pPr>
              <w:pStyle w:val="Compact"/>
              <w:jc w:val="left"/>
            </w:pPr>
            <w:r>
              <w:rPr>
                <w:sz w:val="17"/>
              </w:rPr>
              <w:t xml:space="preserve">Prepay hazard</w:t>
            </w:r>
          </w:p>
        </w:tc>
        <w:tc>
          <w:tcPr/>
          <w:p>
            <w:pPr>
              <w:pStyle w:val="Compact"/>
              <w:jc w:val="right"/>
            </w:pPr>
            <w:r>
              <w:rPr>
                <w:sz w:val="17"/>
              </w:rPr>
              <w:t xml:space="preserve">a_burn</w:t>
            </w:r>
          </w:p>
        </w:tc>
        <w:tc>
          <w:tcPr/>
          <w:p>
            <w:pPr>
              <w:pStyle w:val="Compact"/>
              <w:jc w:val="right"/>
            </w:pPr>
            <w:r>
              <w:rPr>
                <w:sz w:val="17"/>
              </w:rPr>
              <w:t xml:space="preserve">0.030</w:t>
            </w:r>
          </w:p>
        </w:tc>
        <w:tc>
          <w:tcPr/>
          <w:p>
            <w:pPr>
              <w:pStyle w:val="Compact"/>
              <w:jc w:val="right"/>
            </w:pPr>
            <w:r>
              <w:rPr>
                <w:sz w:val="17"/>
              </w:rPr>
              <w:t xml:space="preserve">burnout decay per month spent in the money</w:t>
            </w:r>
          </w:p>
        </w:tc>
      </w:tr>
      <w:tr>
        <w:tc>
          <w:tcPr/>
          <w:p>
            <w:pPr>
              <w:pStyle w:val="Compact"/>
              <w:jc w:val="left"/>
            </w:pPr>
            <w:r>
              <w:rPr>
                <w:sz w:val="17"/>
              </w:rPr>
              <w:t xml:space="preserve">Prepay hazard</w:t>
            </w:r>
          </w:p>
        </w:tc>
        <w:tc>
          <w:tcPr/>
          <w:p>
            <w:pPr>
              <w:pStyle w:val="Compact"/>
              <w:jc w:val="right"/>
            </w:pPr>
            <w:r>
              <w:rPr>
                <w:sz w:val="17"/>
              </w:rPr>
              <w:t xml:space="preserve">a_seas</w:t>
            </w:r>
          </w:p>
        </w:tc>
        <w:tc>
          <w:tcPr/>
          <w:p>
            <w:pPr>
              <w:pStyle w:val="Compact"/>
              <w:jc w:val="right"/>
            </w:pPr>
            <w:r>
              <w:rPr>
                <w:sz w:val="17"/>
              </w:rPr>
              <w:t xml:space="preserve">1.000</w:t>
            </w:r>
          </w:p>
        </w:tc>
        <w:tc>
          <w:tcPr/>
          <w:p>
            <w:pPr>
              <w:pStyle w:val="Compact"/>
              <w:jc w:val="right"/>
            </w:pPr>
            <w:r>
              <w:rPr>
                <w:sz w:val="17"/>
              </w:rPr>
              <w:t xml:space="preserve">seasoning ramp (0 to 1 over 30 months)</w:t>
            </w:r>
          </w:p>
        </w:tc>
      </w:tr>
      <w:tr>
        <w:tc>
          <w:tcPr/>
          <w:p>
            <w:pPr>
              <w:pStyle w:val="Compact"/>
              <w:jc w:val="left"/>
            </w:pPr>
            <w:r>
              <w:rPr>
                <w:sz w:val="17"/>
              </w:rPr>
              <w:t xml:space="preserve">Prepay hazard</w:t>
            </w:r>
          </w:p>
        </w:tc>
        <w:tc>
          <w:tcPr/>
          <w:p>
            <w:pPr>
              <w:pStyle w:val="Compact"/>
              <w:jc w:val="right"/>
            </w:pPr>
            <w:r>
              <w:rPr>
                <w:sz w:val="17"/>
              </w:rPr>
              <w:t xml:space="preserve">a_fico</w:t>
            </w:r>
          </w:p>
        </w:tc>
        <w:tc>
          <w:tcPr/>
          <w:p>
            <w:pPr>
              <w:pStyle w:val="Compact"/>
              <w:jc w:val="right"/>
            </w:pPr>
            <w:r>
              <w:rPr>
                <w:sz w:val="17"/>
              </w:rPr>
              <w:t xml:space="preserve">0.150</w:t>
            </w:r>
          </w:p>
        </w:tc>
        <w:tc>
          <w:tcPr/>
          <w:p>
            <w:pPr>
              <w:pStyle w:val="Compact"/>
              <w:jc w:val="right"/>
            </w:pPr>
            <w:r>
              <w:rPr>
                <w:sz w:val="17"/>
              </w:rPr>
              <w:t xml:space="preserve">FICO effect per 40 points above 740</w:t>
            </w:r>
          </w:p>
        </w:tc>
      </w:tr>
      <w:tr>
        <w:tc>
          <w:tcPr/>
          <w:p>
            <w:pPr>
              <w:pStyle w:val="Compact"/>
              <w:jc w:val="left"/>
            </w:pPr>
            <w:r>
              <w:rPr>
                <w:sz w:val="17"/>
              </w:rPr>
              <w:t xml:space="preserve">Prepay hazard</w:t>
            </w:r>
          </w:p>
        </w:tc>
        <w:tc>
          <w:tcPr/>
          <w:p>
            <w:pPr>
              <w:pStyle w:val="Compact"/>
              <w:jc w:val="right"/>
            </w:pPr>
            <w:r>
              <w:rPr>
                <w:sz w:val="17"/>
              </w:rPr>
              <w:t xml:space="preserve">a_size</w:t>
            </w:r>
          </w:p>
        </w:tc>
        <w:tc>
          <w:tcPr/>
          <w:p>
            <w:pPr>
              <w:pStyle w:val="Compact"/>
              <w:jc w:val="right"/>
            </w:pPr>
            <w:r>
              <w:rPr>
                <w:sz w:val="17"/>
              </w:rPr>
              <w:t xml:space="preserve">0.250</w:t>
            </w:r>
          </w:p>
        </w:tc>
        <w:tc>
          <w:tcPr/>
          <w:p>
            <w:pPr>
              <w:pStyle w:val="Compact"/>
              <w:jc w:val="right"/>
            </w:pPr>
            <w:r>
              <w:rPr>
                <w:sz w:val="17"/>
              </w:rPr>
              <w:t xml:space="preserve">log balance effect (relative to 200,000)</w:t>
            </w:r>
          </w:p>
        </w:tc>
      </w:tr>
      <w:tr>
        <w:tc>
          <w:tcPr/>
          <w:p>
            <w:pPr>
              <w:pStyle w:val="Compact"/>
              <w:jc w:val="left"/>
            </w:pPr>
            <w:r>
              <w:rPr>
                <w:sz w:val="17"/>
              </w:rPr>
              <w:t xml:space="preserve">Prepay hazard</w:t>
            </w:r>
          </w:p>
        </w:tc>
        <w:tc>
          <w:tcPr/>
          <w:p>
            <w:pPr>
              <w:pStyle w:val="Compact"/>
              <w:jc w:val="right"/>
            </w:pPr>
            <w:r>
              <w:rPr>
                <w:sz w:val="17"/>
              </w:rPr>
              <w:t xml:space="preserve">incentive_mid</w:t>
            </w:r>
          </w:p>
        </w:tc>
        <w:tc>
          <w:tcPr/>
          <w:p>
            <w:pPr>
              <w:pStyle w:val="Compact"/>
              <w:jc w:val="right"/>
            </w:pPr>
            <w:r>
              <w:rPr>
                <w:sz w:val="17"/>
              </w:rPr>
              <w:t xml:space="preserve">0.500</w:t>
            </w:r>
          </w:p>
        </w:tc>
        <w:tc>
          <w:tcPr/>
          <w:p>
            <w:pPr>
              <w:pStyle w:val="Compact"/>
              <w:jc w:val="right"/>
            </w:pPr>
            <w:r>
              <w:rPr>
                <w:sz w:val="17"/>
              </w:rPr>
              <w:t xml:space="preserve">incentive (pp) at which the refinance sigmoid is 50%</w:t>
            </w:r>
          </w:p>
        </w:tc>
      </w:tr>
      <w:tr>
        <w:tc>
          <w:tcPr/>
          <w:p>
            <w:pPr>
              <w:pStyle w:val="Compact"/>
              <w:jc w:val="left"/>
            </w:pPr>
            <w:r>
              <w:rPr>
                <w:sz w:val="17"/>
              </w:rPr>
              <w:t xml:space="preserve">Prepay hazard</w:t>
            </w:r>
          </w:p>
        </w:tc>
        <w:tc>
          <w:tcPr/>
          <w:p>
            <w:pPr>
              <w:pStyle w:val="Compact"/>
              <w:jc w:val="right"/>
            </w:pPr>
            <w:r>
              <w:rPr>
                <w:sz w:val="17"/>
              </w:rPr>
              <w:t xml:space="preserve">incentive_scale</w:t>
            </w:r>
          </w:p>
        </w:tc>
        <w:tc>
          <w:tcPr/>
          <w:p>
            <w:pPr>
              <w:pStyle w:val="Compact"/>
              <w:jc w:val="right"/>
            </w:pPr>
            <w:r>
              <w:rPr>
                <w:sz w:val="17"/>
              </w:rPr>
              <w:t xml:space="preserve">0.250</w:t>
            </w:r>
          </w:p>
        </w:tc>
        <w:tc>
          <w:tcPr/>
          <w:p>
            <w:pPr>
              <w:pStyle w:val="Compact"/>
              <w:jc w:val="right"/>
            </w:pPr>
            <w:r>
              <w:rPr>
                <w:sz w:val="17"/>
              </w:rPr>
              <w:t xml:space="preserve">width of the refinance sigmoid (pp)</w:t>
            </w:r>
          </w:p>
        </w:tc>
      </w:tr>
      <w:tr>
        <w:tc>
          <w:tcPr/>
          <w:p>
            <w:pPr>
              <w:pStyle w:val="Compact"/>
              <w:jc w:val="left"/>
            </w:pPr>
            <w:r>
              <w:rPr>
                <w:sz w:val="17"/>
              </w:rPr>
              <w:t xml:space="preserve">Prepay hazard</w:t>
            </w:r>
          </w:p>
        </w:tc>
        <w:tc>
          <w:tcPr/>
          <w:p>
            <w:pPr>
              <w:pStyle w:val="Compact"/>
              <w:jc w:val="right"/>
            </w:pPr>
            <w:r>
              <w:rPr>
                <w:sz w:val="17"/>
              </w:rPr>
              <w:t xml:space="preserve">ltv_cap</w:t>
            </w:r>
          </w:p>
        </w:tc>
        <w:tc>
          <w:tcPr/>
          <w:p>
            <w:pPr>
              <w:pStyle w:val="Compact"/>
              <w:jc w:val="right"/>
            </w:pPr>
            <w:r>
              <w:rPr>
                <w:sz w:val="17"/>
              </w:rPr>
              <w:t xml:space="preserve">90.000</w:t>
            </w:r>
          </w:p>
        </w:tc>
        <w:tc>
          <w:tcPr/>
          <w:p>
            <w:pPr>
              <w:pStyle w:val="Compact"/>
              <w:jc w:val="right"/>
            </w:pPr>
            <w:r>
              <w:rPr>
                <w:sz w:val="17"/>
              </w:rPr>
              <w:t xml:space="preserve">refinance blocked when mark-to-market LTV is at or above this</w:t>
            </w:r>
          </w:p>
        </w:tc>
      </w:tr>
      <w:tr>
        <w:tc>
          <w:tcPr/>
          <w:p>
            <w:pPr>
              <w:pStyle w:val="Compact"/>
              <w:jc w:val="left"/>
            </w:pPr>
            <w:r>
              <w:rPr>
                <w:sz w:val="17"/>
              </w:rPr>
              <w:t xml:space="preserve">Prepay hazard</w:t>
            </w:r>
          </w:p>
        </w:tc>
        <w:tc>
          <w:tcPr/>
          <w:p>
            <w:pPr>
              <w:pStyle w:val="Compact"/>
              <w:jc w:val="right"/>
            </w:pPr>
            <w:r>
              <w:rPr>
                <w:sz w:val="17"/>
              </w:rPr>
              <w:t xml:space="preserve">month_amp</w:t>
            </w:r>
          </w:p>
        </w:tc>
        <w:tc>
          <w:tcPr/>
          <w:p>
            <w:pPr>
              <w:pStyle w:val="Compact"/>
              <w:jc w:val="right"/>
            </w:pPr>
            <w:r>
              <w:rPr>
                <w:sz w:val="17"/>
              </w:rPr>
              <w:t xml:space="preserve">0.120</w:t>
            </w:r>
          </w:p>
        </w:tc>
        <w:tc>
          <w:tcPr/>
          <w:p>
            <w:pPr>
              <w:pStyle w:val="Compact"/>
              <w:jc w:val="right"/>
            </w:pPr>
            <w:r>
              <w:rPr>
                <w:sz w:val="17"/>
              </w:rPr>
              <w:t xml:space="preserve">seasonal amplitude (cosine peaking in June)</w:t>
            </w:r>
          </w:p>
        </w:tc>
      </w:tr>
      <w:tr>
        <w:tc>
          <w:tcPr/>
          <w:p>
            <w:pPr>
              <w:pStyle w:val="Compact"/>
              <w:jc w:val="left"/>
            </w:pPr>
            <w:r>
              <w:rPr>
                <w:sz w:val="17"/>
              </w:rPr>
              <w:t xml:space="preserve">Entry to 30DPD hazard</w:t>
            </w:r>
          </w:p>
        </w:tc>
        <w:tc>
          <w:tcPr/>
          <w:p>
            <w:pPr>
              <w:pStyle w:val="Compact"/>
              <w:jc w:val="right"/>
            </w:pPr>
            <w:r>
              <w:rPr>
                <w:sz w:val="17"/>
              </w:rPr>
              <w:t xml:space="preserve">b0</w:t>
            </w:r>
          </w:p>
        </w:tc>
        <w:tc>
          <w:tcPr/>
          <w:p>
            <w:pPr>
              <w:pStyle w:val="Compact"/>
              <w:jc w:val="right"/>
            </w:pPr>
            <w:r>
              <w:rPr>
                <w:sz w:val="17"/>
              </w:rPr>
              <w:t xml:space="preserve">-5.600</w:t>
            </w:r>
          </w:p>
        </w:tc>
        <w:tc>
          <w:tcPr/>
          <w:p>
            <w:pPr>
              <w:pStyle w:val="Compact"/>
              <w:jc w:val="right"/>
            </w:pPr>
            <w:r>
              <w:rPr>
                <w:sz w:val="17"/>
              </w:rPr>
              <w:t xml:space="preserve">intercept of the monthly current-to-30DPD hazard (log-odds)</w:t>
            </w:r>
          </w:p>
        </w:tc>
      </w:tr>
      <w:tr>
        <w:tc>
          <w:tcPr/>
          <w:p>
            <w:pPr>
              <w:pStyle w:val="Compact"/>
              <w:jc w:val="left"/>
            </w:pPr>
            <w:r>
              <w:rPr>
                <w:sz w:val="17"/>
              </w:rPr>
              <w:t xml:space="preserve">Entry to 30DPD hazard</w:t>
            </w:r>
          </w:p>
        </w:tc>
        <w:tc>
          <w:tcPr/>
          <w:p>
            <w:pPr>
              <w:pStyle w:val="Compact"/>
              <w:jc w:val="right"/>
            </w:pPr>
            <w:r>
              <w:rPr>
                <w:sz w:val="17"/>
              </w:rPr>
              <w:t xml:space="preserve">b_fico</w:t>
            </w:r>
          </w:p>
        </w:tc>
        <w:tc>
          <w:tcPr/>
          <w:p>
            <w:pPr>
              <w:pStyle w:val="Compact"/>
              <w:jc w:val="right"/>
            </w:pPr>
            <w:r>
              <w:rPr>
                <w:sz w:val="17"/>
              </w:rPr>
              <w:t xml:space="preserve">-0.990</w:t>
            </w:r>
          </w:p>
        </w:tc>
        <w:tc>
          <w:tcPr/>
          <w:p>
            <w:pPr>
              <w:pStyle w:val="Compact"/>
              <w:jc w:val="right"/>
            </w:pPr>
            <w:r>
              <w:rPr>
                <w:sz w:val="17"/>
              </w:rPr>
              <w:t xml:space="preserve">FICO effect per 50 points above 740</w:t>
            </w:r>
          </w:p>
        </w:tc>
      </w:tr>
      <w:tr>
        <w:tc>
          <w:tcPr/>
          <w:p>
            <w:pPr>
              <w:pStyle w:val="Compact"/>
              <w:jc w:val="left"/>
            </w:pPr>
            <w:r>
              <w:rPr>
                <w:sz w:val="17"/>
              </w:rPr>
              <w:t xml:space="preserve">Entry to 30DPD hazard</w:t>
            </w:r>
          </w:p>
        </w:tc>
        <w:tc>
          <w:tcPr/>
          <w:p>
            <w:pPr>
              <w:pStyle w:val="Compact"/>
              <w:jc w:val="right"/>
            </w:pPr>
            <w:r>
              <w:rPr>
                <w:sz w:val="17"/>
              </w:rPr>
              <w:t xml:space="preserve">b_ltv</w:t>
            </w:r>
          </w:p>
        </w:tc>
        <w:tc>
          <w:tcPr/>
          <w:p>
            <w:pPr>
              <w:pStyle w:val="Compact"/>
              <w:jc w:val="right"/>
            </w:pPr>
            <w:r>
              <w:rPr>
                <w:sz w:val="17"/>
              </w:rPr>
              <w:t xml:space="preserve">0.810</w:t>
            </w:r>
          </w:p>
        </w:tc>
        <w:tc>
          <w:tcPr/>
          <w:p>
            <w:pPr>
              <w:pStyle w:val="Compact"/>
              <w:jc w:val="right"/>
            </w:pPr>
            <w:r>
              <w:rPr>
                <w:sz w:val="17"/>
              </w:rPr>
              <w:t xml:space="preserve">effect per 10 points of mark-to-market LTV above 80</w:t>
            </w:r>
          </w:p>
        </w:tc>
      </w:tr>
      <w:tr>
        <w:tc>
          <w:tcPr/>
          <w:p>
            <w:pPr>
              <w:pStyle w:val="Compact"/>
              <w:jc w:val="left"/>
            </w:pPr>
            <w:r>
              <w:rPr>
                <w:sz w:val="17"/>
              </w:rPr>
              <w:t xml:space="preserve">Entry to 30DPD hazard</w:t>
            </w:r>
          </w:p>
        </w:tc>
        <w:tc>
          <w:tcPr/>
          <w:p>
            <w:pPr>
              <w:pStyle w:val="Compact"/>
              <w:jc w:val="right"/>
            </w:pPr>
            <w:r>
              <w:rPr>
                <w:sz w:val="17"/>
              </w:rPr>
              <w:t xml:space="preserve">b_dti</w:t>
            </w:r>
          </w:p>
        </w:tc>
        <w:tc>
          <w:tcPr/>
          <w:p>
            <w:pPr>
              <w:pStyle w:val="Compact"/>
              <w:jc w:val="right"/>
            </w:pPr>
            <w:r>
              <w:rPr>
                <w:sz w:val="17"/>
              </w:rPr>
              <w:t xml:space="preserve">0.360</w:t>
            </w:r>
          </w:p>
        </w:tc>
        <w:tc>
          <w:tcPr/>
          <w:p>
            <w:pPr>
              <w:pStyle w:val="Compact"/>
              <w:jc w:val="right"/>
            </w:pPr>
            <w:r>
              <w:rPr>
                <w:sz w:val="17"/>
              </w:rPr>
              <w:t xml:space="preserve">effect per 10 points of DTI above 36</w:t>
            </w:r>
          </w:p>
        </w:tc>
      </w:tr>
      <w:tr>
        <w:tc>
          <w:tcPr/>
          <w:p>
            <w:pPr>
              <w:pStyle w:val="Compact"/>
              <w:jc w:val="left"/>
            </w:pPr>
            <w:r>
              <w:rPr>
                <w:sz w:val="17"/>
              </w:rPr>
              <w:t xml:space="preserve">Entry to 30DPD hazard</w:t>
            </w:r>
          </w:p>
        </w:tc>
        <w:tc>
          <w:tcPr/>
          <w:p>
            <w:pPr>
              <w:pStyle w:val="Compact"/>
              <w:jc w:val="right"/>
            </w:pPr>
            <w:r>
              <w:rPr>
                <w:sz w:val="17"/>
              </w:rPr>
              <w:t xml:space="preserve">b_unemp</w:t>
            </w:r>
          </w:p>
        </w:tc>
        <w:tc>
          <w:tcPr/>
          <w:p>
            <w:pPr>
              <w:pStyle w:val="Compact"/>
              <w:jc w:val="right"/>
            </w:pPr>
            <w:r>
              <w:rPr>
                <w:sz w:val="17"/>
              </w:rPr>
              <w:t xml:space="preserve">0.324</w:t>
            </w:r>
          </w:p>
        </w:tc>
        <w:tc>
          <w:tcPr/>
          <w:p>
            <w:pPr>
              <w:pStyle w:val="Compact"/>
              <w:jc w:val="right"/>
            </w:pPr>
            <w:r>
              <w:rPr>
                <w:sz w:val="17"/>
              </w:rPr>
              <w:t xml:space="preserve">effect per point of state unemployment above 5</w:t>
            </w:r>
          </w:p>
        </w:tc>
      </w:tr>
      <w:tr>
        <w:tc>
          <w:tcPr/>
          <w:p>
            <w:pPr>
              <w:pStyle w:val="Compact"/>
              <w:jc w:val="left"/>
            </w:pPr>
            <w:r>
              <w:rPr>
                <w:sz w:val="17"/>
              </w:rPr>
              <w:t xml:space="preserve">Entry to 30DPD hazard</w:t>
            </w:r>
          </w:p>
        </w:tc>
        <w:tc>
          <w:tcPr/>
          <w:p>
            <w:pPr>
              <w:pStyle w:val="Compact"/>
              <w:jc w:val="right"/>
            </w:pPr>
            <w:r>
              <w:rPr>
                <w:sz w:val="17"/>
              </w:rPr>
              <w:t xml:space="preserve">b_hpi</w:t>
            </w:r>
          </w:p>
        </w:tc>
        <w:tc>
          <w:tcPr/>
          <w:p>
            <w:pPr>
              <w:pStyle w:val="Compact"/>
              <w:jc w:val="right"/>
            </w:pPr>
            <w:r>
              <w:rPr>
                <w:sz w:val="17"/>
              </w:rPr>
              <w:t xml:space="preserve">-0.540</w:t>
            </w:r>
          </w:p>
        </w:tc>
        <w:tc>
          <w:tcPr/>
          <w:p>
            <w:pPr>
              <w:pStyle w:val="Compact"/>
              <w:jc w:val="right"/>
            </w:pPr>
            <w:r>
              <w:rPr>
                <w:sz w:val="17"/>
              </w:rPr>
              <w:t xml:space="preserve">effect per 10 points of 12m house-price decline (only when negative)</w:t>
            </w:r>
          </w:p>
        </w:tc>
      </w:tr>
      <w:tr>
        <w:tc>
          <w:tcPr/>
          <w:p>
            <w:pPr>
              <w:pStyle w:val="Compact"/>
              <w:jc w:val="left"/>
            </w:pPr>
            <w:r>
              <w:rPr>
                <w:sz w:val="17"/>
              </w:rPr>
              <w:t xml:space="preserve">Entry to 30DPD hazard</w:t>
            </w:r>
          </w:p>
        </w:tc>
        <w:tc>
          <w:tcPr/>
          <w:p>
            <w:pPr>
              <w:pStyle w:val="Compact"/>
              <w:jc w:val="right"/>
            </w:pPr>
            <w:r>
              <w:rPr>
                <w:sz w:val="17"/>
              </w:rPr>
              <w:t xml:space="preserve">b_age</w:t>
            </w:r>
          </w:p>
        </w:tc>
        <w:tc>
          <w:tcPr/>
          <w:p>
            <w:pPr>
              <w:pStyle w:val="Compact"/>
              <w:jc w:val="right"/>
            </w:pPr>
            <w:r>
              <w:rPr>
                <w:sz w:val="17"/>
              </w:rPr>
              <w:t xml:space="preserve">0.630</w:t>
            </w:r>
          </w:p>
        </w:tc>
        <w:tc>
          <w:tcPr/>
          <w:p>
            <w:pPr>
              <w:pStyle w:val="Compact"/>
              <w:jc w:val="right"/>
            </w:pPr>
            <w:r>
              <w:rPr>
                <w:sz w:val="17"/>
              </w:rPr>
              <w:t xml:space="preserve">effect of the seasoning hump g(age)</w:t>
            </w:r>
          </w:p>
        </w:tc>
      </w:tr>
      <w:tr>
        <w:tc>
          <w:tcPr/>
          <w:p>
            <w:pPr>
              <w:pStyle w:val="Compact"/>
              <w:jc w:val="left"/>
            </w:pPr>
            <w:r>
              <w:rPr>
                <w:sz w:val="17"/>
              </w:rPr>
              <w:t xml:space="preserve">Roll from 30DPD</w:t>
            </w:r>
          </w:p>
        </w:tc>
        <w:tc>
          <w:tcPr/>
          <w:p>
            <w:pPr>
              <w:pStyle w:val="Compact"/>
              <w:jc w:val="right"/>
            </w:pPr>
            <w:r>
              <w:rPr>
                <w:sz w:val="17"/>
              </w:rPr>
              <w:t xml:space="preserve">base</w:t>
            </w:r>
          </w:p>
        </w:tc>
        <w:tc>
          <w:tcPr/>
          <w:p>
            <w:pPr>
              <w:pStyle w:val="Compact"/>
              <w:jc w:val="right"/>
            </w:pPr>
            <w:r>
              <w:rPr>
                <w:sz w:val="17"/>
              </w:rPr>
              <w:t xml:space="preserve">0.300</w:t>
            </w:r>
          </w:p>
        </w:tc>
        <w:tc>
          <w:tcPr/>
          <w:p>
            <w:pPr>
              <w:pStyle w:val="Compact"/>
              <w:jc w:val="right"/>
            </w:pPr>
            <w:r>
              <w:rPr>
                <w:sz w:val="17"/>
              </w:rPr>
              <w:t xml:space="preserve">base roll probability</w:t>
            </w:r>
          </w:p>
        </w:tc>
      </w:tr>
      <w:tr>
        <w:tc>
          <w:tcPr/>
          <w:p>
            <w:pPr>
              <w:pStyle w:val="Compact"/>
              <w:jc w:val="left"/>
            </w:pPr>
            <w:r>
              <w:rPr>
                <w:sz w:val="17"/>
              </w:rPr>
              <w:t xml:space="preserve">Roll from 30DPD</w:t>
            </w:r>
          </w:p>
        </w:tc>
        <w:tc>
          <w:tcPr/>
          <w:p>
            <w:pPr>
              <w:pStyle w:val="Compact"/>
              <w:jc w:val="right"/>
            </w:pPr>
            <w:r>
              <w:rPr>
                <w:sz w:val="17"/>
              </w:rPr>
              <w:t xml:space="preserve">cure</w:t>
            </w:r>
          </w:p>
        </w:tc>
        <w:tc>
          <w:tcPr/>
          <w:p>
            <w:pPr>
              <w:pStyle w:val="Compact"/>
              <w:jc w:val="right"/>
            </w:pPr>
            <w:r>
              <w:rPr>
                <w:sz w:val="17"/>
              </w:rPr>
              <w:t xml:space="preserve">0.550</w:t>
            </w:r>
          </w:p>
        </w:tc>
        <w:tc>
          <w:tcPr/>
          <w:p>
            <w:pPr>
              <w:pStyle w:val="Compact"/>
              <w:jc w:val="right"/>
            </w:pPr>
            <w:r>
              <w:rPr>
                <w:sz w:val="17"/>
              </w:rPr>
              <w:t xml:space="preserve">cure probability</w:t>
            </w:r>
          </w:p>
        </w:tc>
      </w:tr>
      <w:tr>
        <w:tc>
          <w:tcPr/>
          <w:p>
            <w:pPr>
              <w:pStyle w:val="Compact"/>
              <w:jc w:val="left"/>
            </w:pPr>
            <w:r>
              <w:rPr>
                <w:sz w:val="17"/>
              </w:rPr>
              <w:t xml:space="preserve">Roll from 30DPD</w:t>
            </w:r>
          </w:p>
        </w:tc>
        <w:tc>
          <w:tcPr/>
          <w:p>
            <w:pPr>
              <w:pStyle w:val="Compact"/>
              <w:jc w:val="right"/>
            </w:pPr>
            <w:r>
              <w:rPr>
                <w:sz w:val="17"/>
              </w:rPr>
              <w:t xml:space="preserve">fico_k</w:t>
            </w:r>
          </w:p>
        </w:tc>
        <w:tc>
          <w:tcPr/>
          <w:p>
            <w:pPr>
              <w:pStyle w:val="Compact"/>
              <w:jc w:val="right"/>
            </w:pPr>
            <w:r>
              <w:rPr>
                <w:sz w:val="17"/>
              </w:rPr>
              <w:t xml:space="preserve">-0.360</w:t>
            </w:r>
          </w:p>
        </w:tc>
        <w:tc>
          <w:tcPr/>
          <w:p>
            <w:pPr>
              <w:pStyle w:val="Compact"/>
              <w:jc w:val="right"/>
            </w:pPr>
            <w:r>
              <w:rPr>
                <w:sz w:val="17"/>
              </w:rPr>
              <w:t xml:space="preserve">FICO tilt in the roll probability (per 50 points)</w:t>
            </w:r>
          </w:p>
        </w:tc>
      </w:tr>
      <w:tr>
        <w:tc>
          <w:tcPr/>
          <w:p>
            <w:pPr>
              <w:pStyle w:val="Compact"/>
              <w:jc w:val="left"/>
            </w:pPr>
            <w:r>
              <w:rPr>
                <w:sz w:val="17"/>
              </w:rPr>
              <w:t xml:space="preserve">Roll from 30DPD</w:t>
            </w:r>
          </w:p>
        </w:tc>
        <w:tc>
          <w:tcPr/>
          <w:p>
            <w:pPr>
              <w:pStyle w:val="Compact"/>
              <w:jc w:val="right"/>
            </w:pPr>
            <w:r>
              <w:rPr>
                <w:sz w:val="17"/>
              </w:rPr>
              <w:t xml:space="preserve">ltv_k</w:t>
            </w:r>
          </w:p>
        </w:tc>
        <w:tc>
          <w:tcPr/>
          <w:p>
            <w:pPr>
              <w:pStyle w:val="Compact"/>
              <w:jc w:val="right"/>
            </w:pPr>
            <w:r>
              <w:rPr>
                <w:sz w:val="17"/>
              </w:rPr>
              <w:t xml:space="preserve">0.270</w:t>
            </w:r>
          </w:p>
        </w:tc>
        <w:tc>
          <w:tcPr/>
          <w:p>
            <w:pPr>
              <w:pStyle w:val="Compact"/>
              <w:jc w:val="right"/>
            </w:pPr>
            <w:r>
              <w:rPr>
                <w:sz w:val="17"/>
              </w:rPr>
              <w:t xml:space="preserve">LTV tilt in the roll probability (per 10 points above 80)</w:t>
            </w:r>
          </w:p>
        </w:tc>
      </w:tr>
      <w:tr>
        <w:tc>
          <w:tcPr/>
          <w:p>
            <w:pPr>
              <w:pStyle w:val="Compact"/>
              <w:jc w:val="left"/>
            </w:pPr>
            <w:r>
              <w:rPr>
                <w:sz w:val="17"/>
              </w:rPr>
              <w:t xml:space="preserve">Roll from 60DPD</w:t>
            </w:r>
          </w:p>
        </w:tc>
        <w:tc>
          <w:tcPr/>
          <w:p>
            <w:pPr>
              <w:pStyle w:val="Compact"/>
              <w:jc w:val="right"/>
            </w:pPr>
            <w:r>
              <w:rPr>
                <w:sz w:val="17"/>
              </w:rPr>
              <w:t xml:space="preserve">base</w:t>
            </w:r>
          </w:p>
        </w:tc>
        <w:tc>
          <w:tcPr/>
          <w:p>
            <w:pPr>
              <w:pStyle w:val="Compact"/>
              <w:jc w:val="right"/>
            </w:pPr>
            <w:r>
              <w:rPr>
                <w:sz w:val="17"/>
              </w:rPr>
              <w:t xml:space="preserve">0.500</w:t>
            </w:r>
          </w:p>
        </w:tc>
        <w:tc>
          <w:tcPr/>
          <w:p>
            <w:pPr>
              <w:pStyle w:val="Compact"/>
              <w:jc w:val="right"/>
            </w:pPr>
            <w:r>
              <w:rPr>
                <w:sz w:val="17"/>
              </w:rPr>
              <w:t xml:space="preserve">base roll probability</w:t>
            </w:r>
          </w:p>
        </w:tc>
      </w:tr>
      <w:tr>
        <w:tc>
          <w:tcPr/>
          <w:p>
            <w:pPr>
              <w:pStyle w:val="Compact"/>
              <w:jc w:val="left"/>
            </w:pPr>
            <w:r>
              <w:rPr>
                <w:sz w:val="17"/>
              </w:rPr>
              <w:t xml:space="preserve">Roll from 60DPD</w:t>
            </w:r>
          </w:p>
        </w:tc>
        <w:tc>
          <w:tcPr/>
          <w:p>
            <w:pPr>
              <w:pStyle w:val="Compact"/>
              <w:jc w:val="right"/>
            </w:pPr>
            <w:r>
              <w:rPr>
                <w:sz w:val="17"/>
              </w:rPr>
              <w:t xml:space="preserve">cure</w:t>
            </w:r>
          </w:p>
        </w:tc>
        <w:tc>
          <w:tcPr/>
          <w:p>
            <w:pPr>
              <w:pStyle w:val="Compact"/>
              <w:jc w:val="right"/>
            </w:pPr>
            <w:r>
              <w:rPr>
                <w:sz w:val="17"/>
              </w:rPr>
              <w:t xml:space="preserve">0.200</w:t>
            </w:r>
          </w:p>
        </w:tc>
        <w:tc>
          <w:tcPr/>
          <w:p>
            <w:pPr>
              <w:pStyle w:val="Compact"/>
              <w:jc w:val="right"/>
            </w:pPr>
            <w:r>
              <w:rPr>
                <w:sz w:val="17"/>
              </w:rPr>
              <w:t xml:space="preserve">cure probability</w:t>
            </w:r>
          </w:p>
        </w:tc>
      </w:tr>
    </w:tbl>
    <w:p>
      <w:pPr>
        <w:pStyle w:val="BodyText"/>
      </w:pPr>
      <w:r>
        <w:t xml:space="preserve">Reading the table: a borrower 40 FICO points above 740 has</w:t>
      </w:r>
      <w:r>
        <w:t xml:space="preserve"> </w:t>
      </w:r>
      <m:oMath>
        <m:sSub>
          <m:e>
            <m:r>
              <m:t>a</m:t>
            </m:r>
          </m:e>
          <m:sub>
            <m:r>
              <m:rPr>
                <m:nor/>
                <m:sty m:val="p"/>
              </m:rPr>
              <m:t>fico</m:t>
            </m:r>
          </m:sub>
        </m:sSub>
        <m:r>
          <m:rPr>
            <m:sty m:val="p"/>
          </m:rPr>
          <m:t>=</m:t>
        </m:r>
        <m:r>
          <m:t>0.15</m:t>
        </m:r>
      </m:oMath>
      <w:r>
        <w:t xml:space="preserve"> </w:t>
      </w:r>
      <w:r>
        <w:t xml:space="preserve">added to the prepay log-odds, and each extra point of state unemployment above 5 adds</w:t>
      </w:r>
      <w:r>
        <w:t xml:space="preserve"> </w:t>
      </w:r>
      <m:oMath>
        <m:sSub>
          <m:e>
            <m:r>
              <m:t>b</m:t>
            </m:r>
          </m:e>
          <m:sub>
            <m:r>
              <m:t>u</m:t>
            </m:r>
          </m:sub>
        </m:sSub>
        <m:r>
          <m:rPr>
            <m:sty m:val="p"/>
          </m:rPr>
          <m:t>=</m:t>
        </m:r>
        <m:r>
          <m:t>0.324</m:t>
        </m:r>
      </m:oMath>
      <w:r>
        <w:t xml:space="preserve"> </w:t>
      </w:r>
      <w:r>
        <w:t xml:space="preserve">to the default log-odds. Because the model sees only features and outcomes, success means its estimated effects have these signs and rough relative sizes.</w:t>
      </w:r>
    </w:p>
    <w:bookmarkEnd w:id="28"/>
    <w:bookmarkStart w:id="29" w:name="calibration-of-the-simulator"/>
    <w:p>
      <w:pPr>
        <w:pStyle w:val="Heading2"/>
      </w:pPr>
      <w:r>
        <w:rPr>
          <w:rStyle w:val="SectionNumber"/>
        </w:rPr>
        <w:t xml:space="preserve">4.6</w:t>
      </w:r>
      <w:r>
        <w:tab/>
      </w:r>
      <w:r>
        <w:t xml:space="preserve">Calibration of the simulator</w:t>
      </w:r>
    </w:p>
    <w:p>
      <w:pPr>
        <w:pStyle w:val="FirstParagraph"/>
      </w:pPr>
      <w:r>
        <w:t xml:space="preserve">The coefficients were tuned so that overall behaviour sits in realistic ranges before any model was fitted. The check is run by</w:t>
      </w:r>
      <w:r>
        <w:t xml:space="preserve"> </w:t>
      </w:r>
      <w:r>
        <w:rPr>
          <w:rStyle w:val="VerbatimChar"/>
        </w:rPr>
        <w:t xml:space="preserve">synthetic.calibration_report</w:t>
      </w:r>
      <w:r>
        <w:t xml:space="preserve"> </w:t>
      </w:r>
      <w:r>
        <w:t xml:space="preserve">and is reproduced from the cached panel:</w:t>
      </w:r>
    </w:p>
    <w:p>
      <w:pPr>
        <w:pStyle w:val="TableCaption"/>
      </w:pPr>
      <w:r>
        <w:t xml:space="preserve">Simulator calibration targets (</w:t>
      </w:r>
      <w:r>
        <w:rPr>
          <w:rStyle w:val="VerbatimChar"/>
        </w:rPr>
        <w:t xml:space="preserve">config.SYNTH_CALIBRATION</w:t>
      </w:r>
      <w:r>
        <w:t xml:space="preserve">) against the simulated values.</w:t>
      </w:r>
    </w:p>
    <w:tbl>
      <w:tblPr>
        <w:tblStyle w:val="Table"/>
        <w:tblW w:type="pct" w:w="5000"/>
        <w:tblLayout w:type="fixed"/>
        <w:tblLook w:firstRow="1" w:lastRow="0" w:firstColumn="0" w:lastColumn="0" w:noHBand="0" w:noVBand="0" w:val="0020"/>
        <w:tblCaption w:val="Simulator calibration targets (config.SYNTH_CALIBRATION) against the simulated value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400"/>
        <w:gridCol w:w="990"/>
        <w:gridCol w:w="1320"/>
        <w:gridCol w:w="1210"/>
      </w:tblGrid>
      <w:tr>
        <w:trPr>
          <w:tblHeader w:val="on"/>
        </w:trPr>
        <w:tc>
          <w:tcPr/>
          <w:p>
            <w:pPr>
              <w:pStyle w:val="Compact"/>
              <w:jc w:val="left"/>
            </w:pPr>
            <w:r>
              <w:rPr>
                <w:sz w:val="17"/>
              </w:rPr>
              <w:t xml:space="preserve">Calibration check</w:t>
            </w:r>
          </w:p>
        </w:tc>
        <w:tc>
          <w:tcPr/>
          <w:p>
            <w:pPr>
              <w:pStyle w:val="Compact"/>
              <w:jc w:val="right"/>
            </w:pPr>
            <w:r>
              <w:rPr>
                <w:sz w:val="17"/>
              </w:rPr>
              <w:t xml:space="preserve">Simulated</w:t>
            </w:r>
          </w:p>
        </w:tc>
        <w:tc>
          <w:tcPr/>
          <w:p>
            <w:pPr>
              <w:pStyle w:val="Compact"/>
              <w:jc w:val="right"/>
            </w:pPr>
            <w:r>
              <w:rPr>
                <w:sz w:val="17"/>
              </w:rPr>
              <w:t xml:space="preserve">Target band</w:t>
            </w:r>
          </w:p>
        </w:tc>
        <w:tc>
          <w:tcPr/>
          <w:p>
            <w:pPr>
              <w:pStyle w:val="Compact"/>
              <w:jc w:val="right"/>
            </w:pPr>
            <w:r>
              <w:rPr>
                <w:sz w:val="17"/>
              </w:rPr>
              <w:t xml:space="preserve">Within band</w:t>
            </w:r>
          </w:p>
        </w:tc>
      </w:tr>
      <w:tr>
        <w:tc>
          <w:tcPr/>
          <w:p>
            <w:pPr>
              <w:pStyle w:val="Compact"/>
              <w:jc w:val="left"/>
            </w:pPr>
            <w:r>
              <w:rPr>
                <w:sz w:val="17"/>
              </w:rPr>
              <w:t xml:space="preserve">12-month default rate, training snapshots</w:t>
            </w:r>
          </w:p>
        </w:tc>
        <w:tc>
          <w:tcPr/>
          <w:p>
            <w:pPr>
              <w:pStyle w:val="Compact"/>
              <w:jc w:val="right"/>
            </w:pPr>
            <w:r>
              <w:rPr>
                <w:sz w:val="17"/>
              </w:rPr>
              <w:t xml:space="preserve">2.00%</w:t>
            </w:r>
          </w:p>
        </w:tc>
        <w:tc>
          <w:tcPr/>
          <w:p>
            <w:pPr>
              <w:pStyle w:val="Compact"/>
              <w:jc w:val="right"/>
            </w:pPr>
            <w:r>
              <w:rPr>
                <w:sz w:val="17"/>
              </w:rPr>
              <w:t xml:space="preserve">0.8% to 2.5%</w:t>
            </w:r>
          </w:p>
        </w:tc>
        <w:tc>
          <w:tcPr/>
          <w:p>
            <w:pPr>
              <w:pStyle w:val="Compact"/>
              <w:jc w:val="right"/>
            </w:pPr>
            <w:r>
              <w:rPr>
                <w:sz w:val="17"/>
              </w:rPr>
              <w:t xml:space="preserve">yes</w:t>
            </w:r>
          </w:p>
        </w:tc>
      </w:tr>
      <w:tr>
        <w:tc>
          <w:tcPr/>
          <w:p>
            <w:pPr>
              <w:pStyle w:val="Compact"/>
              <w:jc w:val="left"/>
            </w:pPr>
            <w:r>
              <w:rPr>
                <w:sz w:val="17"/>
              </w:rPr>
              <w:t xml:space="preserve">12-month default rate, 2020 snapshots</w:t>
            </w:r>
          </w:p>
        </w:tc>
        <w:tc>
          <w:tcPr/>
          <w:p>
            <w:pPr>
              <w:pStyle w:val="Compact"/>
              <w:jc w:val="right"/>
            </w:pPr>
            <w:r>
              <w:rPr>
                <w:sz w:val="17"/>
              </w:rPr>
              <w:t xml:space="preserve">3.85%</w:t>
            </w:r>
          </w:p>
        </w:tc>
        <w:tc>
          <w:tcPr/>
          <w:p>
            <w:pPr>
              <w:pStyle w:val="Compact"/>
              <w:jc w:val="right"/>
            </w:pPr>
            <w:r>
              <w:rPr>
                <w:sz w:val="17"/>
              </w:rPr>
              <w:t xml:space="preserve">1.5% to 4.5%</w:t>
            </w:r>
          </w:p>
        </w:tc>
        <w:tc>
          <w:tcPr/>
          <w:p>
            <w:pPr>
              <w:pStyle w:val="Compact"/>
              <w:jc w:val="right"/>
            </w:pPr>
            <w:r>
              <w:rPr>
                <w:sz w:val="17"/>
              </w:rPr>
              <w:t xml:space="preserve">yes</w:t>
            </w:r>
          </w:p>
        </w:tc>
      </w:tr>
      <w:tr>
        <w:tc>
          <w:tcPr/>
          <w:p>
            <w:pPr>
              <w:pStyle w:val="Compact"/>
              <w:jc w:val="left"/>
            </w:pPr>
            <w:r>
              <w:rPr>
                <w:sz w:val="17"/>
              </w:rPr>
              <w:t xml:space="preserve">Mean CPR, whole panel</w:t>
            </w:r>
          </w:p>
        </w:tc>
        <w:tc>
          <w:tcPr/>
          <w:p>
            <w:pPr>
              <w:pStyle w:val="Compact"/>
              <w:jc w:val="right"/>
            </w:pPr>
            <w:r>
              <w:rPr>
                <w:sz w:val="17"/>
              </w:rPr>
              <w:t xml:space="preserve">22.52%</w:t>
            </w:r>
          </w:p>
        </w:tc>
        <w:tc>
          <w:tcPr/>
          <w:p>
            <w:pPr>
              <w:pStyle w:val="Compact"/>
              <w:jc w:val="right"/>
            </w:pPr>
            <w:r>
              <w:rPr>
                <w:sz w:val="17"/>
              </w:rPr>
              <w:t xml:space="preserve">4% to 40%</w:t>
            </w:r>
          </w:p>
        </w:tc>
        <w:tc>
          <w:tcPr/>
          <w:p>
            <w:pPr>
              <w:pStyle w:val="Compact"/>
              <w:jc w:val="right"/>
            </w:pPr>
            <w:r>
              <w:rPr>
                <w:sz w:val="17"/>
              </w:rPr>
              <w:t xml:space="preserve">yes</w:t>
            </w:r>
          </w:p>
        </w:tc>
      </w:tr>
    </w:tbl>
    <w:p>
      <w:pPr>
        <w:pStyle w:val="BodyText"/>
      </w:pPr>
      <w:r>
        <w:t xml:space="preserve">Annual CPR in the simulated panel varies from 8.9% to 39.8% across calendar years, high in 2020 and 2021 when the market rate fell below most note rates and low in 2023 and 2024 when it rose above them:</w:t>
      </w:r>
    </w:p>
    <w:p>
      <w:pPr>
        <w:pStyle w:val="TableCaption"/>
      </w:pPr>
      <w:r>
        <w:t xml:space="preserve">Simulated CPR by calendar year (from</w:t>
      </w:r>
      <w:r>
        <w:t xml:space="preserve"> </w:t>
      </w:r>
      <w:r>
        <w:rPr>
          <w:rStyle w:val="VerbatimChar"/>
        </w:rPr>
        <w:t xml:space="preserve">synthetic.calibration_report</w:t>
      </w:r>
      <w:r>
        <w:t xml:space="preserve">).</w:t>
      </w:r>
    </w:p>
    <w:tbl>
      <w:tblPr>
        <w:tblStyle w:val="Table"/>
        <w:tblW w:type="auto" w:w="0"/>
        <w:tblLook w:firstRow="1" w:lastRow="0" w:firstColumn="0" w:lastColumn="0" w:noHBand="0" w:noVBand="0" w:val="0020"/>
        <w:tblCaption w:val="Simulated CPR by calendar year (from synthetic.calibration_repo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jc w:val="left"/>
            </w:pPr>
            <w:r>
              <w:rPr>
                <w:sz w:val="17"/>
              </w:rPr>
              <w:t xml:space="preserve">Calendar year</w:t>
            </w:r>
          </w:p>
        </w:tc>
        <w:tc>
          <w:tcPr/>
          <w:p>
            <w:pPr>
              <w:pStyle w:val="Compact"/>
              <w:jc w:val="right"/>
            </w:pPr>
            <w:r>
              <w:rPr>
                <w:sz w:val="17"/>
              </w:rPr>
              <w:t xml:space="preserve">Simulated CPR</w:t>
            </w:r>
          </w:p>
        </w:tc>
      </w:tr>
      <w:tr>
        <w:tc>
          <w:tcPr/>
          <w:p>
            <w:pPr>
              <w:pStyle w:val="Compact"/>
              <w:jc w:val="left"/>
            </w:pPr>
            <w:r>
              <w:rPr>
                <w:sz w:val="17"/>
              </w:rPr>
              <w:t xml:space="preserve">2012.0</w:t>
            </w:r>
          </w:p>
        </w:tc>
        <w:tc>
          <w:tcPr/>
          <w:p>
            <w:pPr>
              <w:pStyle w:val="Compact"/>
              <w:jc w:val="right"/>
            </w:pPr>
            <w:r>
              <w:rPr>
                <w:sz w:val="17"/>
              </w:rPr>
              <w:t xml:space="preserve">8.9%</w:t>
            </w:r>
          </w:p>
        </w:tc>
      </w:tr>
      <w:tr>
        <w:tc>
          <w:tcPr/>
          <w:p>
            <w:pPr>
              <w:pStyle w:val="Compact"/>
              <w:jc w:val="left"/>
            </w:pPr>
            <w:r>
              <w:rPr>
                <w:sz w:val="17"/>
              </w:rPr>
              <w:t xml:space="preserve">2013.0</w:t>
            </w:r>
          </w:p>
        </w:tc>
        <w:tc>
          <w:tcPr/>
          <w:p>
            <w:pPr>
              <w:pStyle w:val="Compact"/>
              <w:jc w:val="right"/>
            </w:pPr>
            <w:r>
              <w:rPr>
                <w:sz w:val="17"/>
              </w:rPr>
              <w:t xml:space="preserve">16.4%</w:t>
            </w:r>
          </w:p>
        </w:tc>
      </w:tr>
      <w:tr>
        <w:tc>
          <w:tcPr/>
          <w:p>
            <w:pPr>
              <w:pStyle w:val="Compact"/>
              <w:jc w:val="left"/>
            </w:pPr>
            <w:r>
              <w:rPr>
                <w:sz w:val="17"/>
              </w:rPr>
              <w:t xml:space="preserve">2014.0</w:t>
            </w:r>
          </w:p>
        </w:tc>
        <w:tc>
          <w:tcPr/>
          <w:p>
            <w:pPr>
              <w:pStyle w:val="Compact"/>
              <w:jc w:val="right"/>
            </w:pPr>
            <w:r>
              <w:rPr>
                <w:sz w:val="17"/>
              </w:rPr>
              <w:t xml:space="preserve">29.1%</w:t>
            </w:r>
          </w:p>
        </w:tc>
      </w:tr>
      <w:tr>
        <w:tc>
          <w:tcPr/>
          <w:p>
            <w:pPr>
              <w:pStyle w:val="Compact"/>
              <w:jc w:val="left"/>
            </w:pPr>
            <w:r>
              <w:rPr>
                <w:sz w:val="17"/>
              </w:rPr>
              <w:t xml:space="preserve">2015.0</w:t>
            </w:r>
          </w:p>
        </w:tc>
        <w:tc>
          <w:tcPr/>
          <w:p>
            <w:pPr>
              <w:pStyle w:val="Compact"/>
              <w:jc w:val="right"/>
            </w:pPr>
            <w:r>
              <w:rPr>
                <w:sz w:val="17"/>
              </w:rPr>
              <w:t xml:space="preserve">11.9%</w:t>
            </w:r>
          </w:p>
        </w:tc>
      </w:tr>
      <w:tr>
        <w:tc>
          <w:tcPr/>
          <w:p>
            <w:pPr>
              <w:pStyle w:val="Compact"/>
              <w:jc w:val="left"/>
            </w:pPr>
            <w:r>
              <w:rPr>
                <w:sz w:val="17"/>
              </w:rPr>
              <w:t xml:space="preserve">2016.0</w:t>
            </w:r>
          </w:p>
        </w:tc>
        <w:tc>
          <w:tcPr/>
          <w:p>
            <w:pPr>
              <w:pStyle w:val="Compact"/>
              <w:jc w:val="right"/>
            </w:pPr>
            <w:r>
              <w:rPr>
                <w:sz w:val="17"/>
              </w:rPr>
              <w:t xml:space="preserve">25.5%</w:t>
            </w:r>
          </w:p>
        </w:tc>
      </w:tr>
      <w:tr>
        <w:tc>
          <w:tcPr/>
          <w:p>
            <w:pPr>
              <w:pStyle w:val="Compact"/>
              <w:jc w:val="left"/>
            </w:pPr>
            <w:r>
              <w:rPr>
                <w:sz w:val="17"/>
              </w:rPr>
              <w:t xml:space="preserve">2017.0</w:t>
            </w:r>
          </w:p>
        </w:tc>
        <w:tc>
          <w:tcPr/>
          <w:p>
            <w:pPr>
              <w:pStyle w:val="Compact"/>
              <w:jc w:val="right"/>
            </w:pPr>
            <w:r>
              <w:rPr>
                <w:sz w:val="17"/>
              </w:rPr>
              <w:t xml:space="preserve">20.4%</w:t>
            </w:r>
          </w:p>
        </w:tc>
      </w:tr>
      <w:tr>
        <w:tc>
          <w:tcPr/>
          <w:p>
            <w:pPr>
              <w:pStyle w:val="Compact"/>
              <w:jc w:val="left"/>
            </w:pPr>
            <w:r>
              <w:rPr>
                <w:sz w:val="17"/>
              </w:rPr>
              <w:t xml:space="preserve">2018.0</w:t>
            </w:r>
          </w:p>
        </w:tc>
        <w:tc>
          <w:tcPr/>
          <w:p>
            <w:pPr>
              <w:pStyle w:val="Compact"/>
              <w:jc w:val="right"/>
            </w:pPr>
            <w:r>
              <w:rPr>
                <w:sz w:val="17"/>
              </w:rPr>
              <w:t xml:space="preserve">16.2%</w:t>
            </w:r>
          </w:p>
        </w:tc>
      </w:tr>
      <w:tr>
        <w:tc>
          <w:tcPr/>
          <w:p>
            <w:pPr>
              <w:pStyle w:val="Compact"/>
              <w:jc w:val="left"/>
            </w:pPr>
            <w:r>
              <w:rPr>
                <w:sz w:val="17"/>
              </w:rPr>
              <w:t xml:space="preserve">2019.0</w:t>
            </w:r>
          </w:p>
        </w:tc>
        <w:tc>
          <w:tcPr/>
          <w:p>
            <w:pPr>
              <w:pStyle w:val="Compact"/>
              <w:jc w:val="right"/>
            </w:pPr>
            <w:r>
              <w:rPr>
                <w:sz w:val="17"/>
              </w:rPr>
              <w:t xml:space="preserve">28.3%</w:t>
            </w:r>
          </w:p>
        </w:tc>
      </w:tr>
      <w:tr>
        <w:tc>
          <w:tcPr/>
          <w:p>
            <w:pPr>
              <w:pStyle w:val="Compact"/>
              <w:jc w:val="left"/>
            </w:pPr>
            <w:r>
              <w:rPr>
                <w:sz w:val="17"/>
              </w:rPr>
              <w:t xml:space="preserve">2020.0</w:t>
            </w:r>
          </w:p>
        </w:tc>
        <w:tc>
          <w:tcPr/>
          <w:p>
            <w:pPr>
              <w:pStyle w:val="Compact"/>
              <w:jc w:val="right"/>
            </w:pPr>
            <w:r>
              <w:rPr>
                <w:sz w:val="17"/>
              </w:rPr>
              <w:t xml:space="preserve">39.8%</w:t>
            </w:r>
          </w:p>
        </w:tc>
      </w:tr>
      <w:tr>
        <w:tc>
          <w:tcPr/>
          <w:p>
            <w:pPr>
              <w:pStyle w:val="Compact"/>
              <w:jc w:val="left"/>
            </w:pPr>
            <w:r>
              <w:rPr>
                <w:sz w:val="17"/>
              </w:rPr>
              <w:t xml:space="preserve">2021.0</w:t>
            </w:r>
          </w:p>
        </w:tc>
        <w:tc>
          <w:tcPr/>
          <w:p>
            <w:pPr>
              <w:pStyle w:val="Compact"/>
              <w:jc w:val="right"/>
            </w:pPr>
            <w:r>
              <w:rPr>
                <w:sz w:val="17"/>
              </w:rPr>
              <w:t xml:space="preserve">33.8%</w:t>
            </w:r>
          </w:p>
        </w:tc>
      </w:tr>
      <w:tr>
        <w:tc>
          <w:tcPr/>
          <w:p>
            <w:pPr>
              <w:pStyle w:val="Compact"/>
              <w:jc w:val="left"/>
            </w:pPr>
            <w:r>
              <w:rPr>
                <w:sz w:val="17"/>
              </w:rPr>
              <w:t xml:space="preserve">2022.0</w:t>
            </w:r>
          </w:p>
        </w:tc>
        <w:tc>
          <w:tcPr/>
          <w:p>
            <w:pPr>
              <w:pStyle w:val="Compact"/>
              <w:jc w:val="right"/>
            </w:pPr>
            <w:r>
              <w:rPr>
                <w:sz w:val="17"/>
              </w:rPr>
              <w:t xml:space="preserve">10.2%</w:t>
            </w:r>
          </w:p>
        </w:tc>
      </w:tr>
      <w:tr>
        <w:tc>
          <w:tcPr/>
          <w:p>
            <w:pPr>
              <w:pStyle w:val="Compact"/>
              <w:jc w:val="left"/>
            </w:pPr>
            <w:r>
              <w:rPr>
                <w:sz w:val="17"/>
              </w:rPr>
              <w:t xml:space="preserve">2023.0</w:t>
            </w:r>
          </w:p>
        </w:tc>
        <w:tc>
          <w:tcPr/>
          <w:p>
            <w:pPr>
              <w:pStyle w:val="Compact"/>
              <w:jc w:val="right"/>
            </w:pPr>
            <w:r>
              <w:rPr>
                <w:sz w:val="17"/>
              </w:rPr>
              <w:t xml:space="preserve">11.5%</w:t>
            </w:r>
          </w:p>
        </w:tc>
      </w:tr>
      <w:tr>
        <w:tc>
          <w:tcPr/>
          <w:p>
            <w:pPr>
              <w:pStyle w:val="Compact"/>
              <w:jc w:val="left"/>
            </w:pPr>
            <w:r>
              <w:rPr>
                <w:sz w:val="17"/>
              </w:rPr>
              <w:t xml:space="preserve">2024.0</w:t>
            </w:r>
          </w:p>
        </w:tc>
        <w:tc>
          <w:tcPr/>
          <w:p>
            <w:pPr>
              <w:pStyle w:val="Compact"/>
              <w:jc w:val="right"/>
            </w:pPr>
            <w:r>
              <w:rPr>
                <w:sz w:val="17"/>
              </w:rPr>
              <w:t xml:space="preserve">12.3%</w:t>
            </w:r>
          </w:p>
        </w:tc>
      </w:tr>
    </w:tbl>
    <w:bookmarkEnd w:id="29"/>
    <w:bookmarkEnd w:id="30"/>
    <w:bookmarkStart w:id="34" w:name="X0c7e8e010955c3f21f03d31bb16bff8a37434c3"/>
    <w:p>
      <w:pPr>
        <w:pStyle w:val="Heading1"/>
      </w:pPr>
      <w:r>
        <w:rPr>
          <w:rStyle w:val="SectionNumber"/>
        </w:rPr>
        <w:t xml:space="preserve">5</w:t>
      </w:r>
      <w:r>
        <w:tab/>
      </w:r>
      <w:r>
        <w:t xml:space="preserve">Target definitions, competing risks and the time split</w:t>
      </w:r>
    </w:p>
    <w:bookmarkStart w:id="31" w:name="the-pd-target"/>
    <w:p>
      <w:pPr>
        <w:pStyle w:val="Heading2"/>
      </w:pPr>
      <w:r>
        <w:rPr>
          <w:rStyle w:val="SectionNumber"/>
        </w:rPr>
        <w:t xml:space="preserve">5.1</w:t>
      </w:r>
      <w:r>
        <w:tab/>
      </w:r>
      <w:r>
        <w:t xml:space="preserve">The PD target</w:t>
      </w:r>
    </w:p>
    <w:p>
      <w:pPr>
        <w:pStyle w:val="FirstParagraph"/>
      </w:pPr>
      <w:r>
        <w:t xml:space="preserve">The PD target is built by</w:t>
      </w:r>
      <w:r>
        <w:t xml:space="preserve"> </w:t>
      </w:r>
      <w:r>
        <w:rPr>
          <w:rStyle w:val="VerbatimChar"/>
        </w:rPr>
        <w:t xml:space="preserve">targets.build_snapshots</w:t>
      </w:r>
      <w:r>
        <w:t xml:space="preserve">. At each snapshot month</w:t>
      </w:r>
      <w:r>
        <w:t xml:space="preserve"> </w:t>
      </w:r>
      <m:oMath>
        <m:r>
          <m:t>t</m:t>
        </m:r>
      </m:oMath>
      <w:r>
        <w:t xml:space="preserve"> </w:t>
      </w:r>
      <w:r>
        <w:t xml:space="preserve">(January or July) a loan enters the dataset if it is active and its status is current (0) or 30DPD (1). Loans already 60DPD or worse are excluded because they are close to default and would dominate the signal; this is a modelling choice to make the model useful for</w:t>
      </w:r>
      <w:r>
        <w:t xml:space="preserve"> </w:t>
      </w:r>
      <w:r>
        <w:rPr>
          <w:i/>
          <w:iCs/>
        </w:rPr>
        <w:t xml:space="preserve">early</w:t>
      </w:r>
      <w:r>
        <w:t xml:space="preserve"> </w:t>
      </w:r>
      <w:r>
        <w:t xml:space="preserve">identification. The label is</w:t>
      </w:r>
    </w:p>
    <w:p>
      <w:pPr>
        <w:pStyle w:val="BodyText"/>
      </w:pPr>
      <m:oMathPara>
        <m:oMathParaPr>
          <m:jc m:val="center"/>
        </m:oMathParaPr>
        <m:oMath>
          <m:sSub>
            <m:e>
              <m:r>
                <m:t>y</m:t>
              </m:r>
            </m:e>
            <m:sub>
              <m:r>
                <m:t>i</m:t>
              </m:r>
              <m:r>
                <m:rPr>
                  <m:sty m:val="p"/>
                </m:rPr>
                <m:t>,</m:t>
              </m:r>
              <m:r>
                <m:t>t</m:t>
              </m:r>
            </m:sub>
          </m:sSub>
          <m:r>
            <m:rPr>
              <m:sty m:val="p"/>
            </m:rPr>
            <m:t>=</m:t>
          </m:r>
          <m:r>
            <m:rPr>
              <m:sty m:val="b"/>
            </m:rPr>
            <m:t>1</m:t>
          </m:r>
          <m:d>
            <m:dPr>
              <m:begChr m:val="["/>
              <m:sepChr m:val=""/>
              <m:endChr m:val="]"/>
              <m:grow/>
            </m:dPr>
            <m:e>
              <m:r>
                <m:rPr>
                  <m:nor/>
                  <m:sty m:val="p"/>
                </m:rPr>
                <m:t>the loan first reaches 90+DPD in months </m:t>
              </m:r>
              <m:r>
                <m:t>t</m:t>
              </m:r>
              <m:r>
                <m:rPr>
                  <m:sty m:val="p"/>
                </m:rPr>
                <m:t>+</m:t>
              </m:r>
              <m:r>
                <m:t>1</m:t>
              </m:r>
              <m:r>
                <m:rPr>
                  <m:sty m:val="p"/>
                </m:rPr>
                <m:t>,</m:t>
              </m:r>
              <m:r>
                <m:rPr>
                  <m:sty m:val="p"/>
                </m:rPr>
                <m:t>…</m:t>
              </m:r>
              <m:r>
                <m:rPr>
                  <m:sty m:val="p"/>
                </m:rPr>
                <m:t>,</m:t>
              </m:r>
              <m:r>
                <m:t>t</m:t>
              </m:r>
              <m:r>
                <m:rPr>
                  <m:sty m:val="p"/>
                </m:rPr>
                <m:t>+</m:t>
              </m:r>
              <m:r>
                <m:t>12</m:t>
              </m:r>
            </m:e>
          </m:d>
          <m:r>
            <m:rPr>
              <m:sty m:val="p"/>
            </m:rPr>
            <m:t>.</m:t>
          </m:r>
        </m:oMath>
      </m:oMathPara>
    </w:p>
    <w:p>
      <w:pPr>
        <w:pStyle w:val="FirstParagraph"/>
      </w:pPr>
      <w:r>
        <w:t xml:space="preserve">A loan that</w:t>
      </w:r>
      <w:r>
        <w:t xml:space="preserve"> </w:t>
      </w:r>
      <w:r>
        <w:rPr>
          <w:b/>
          <w:bCs/>
        </w:rPr>
        <w:t xml:space="preserve">prepays</w:t>
      </w:r>
      <w:r>
        <w:t xml:space="preserve"> </w:t>
      </w:r>
      <w:r>
        <w:t xml:space="preserve">inside the window before defaulting gets</w:t>
      </w:r>
      <w:r>
        <w:t xml:space="preserve"> </w:t>
      </w:r>
      <m:oMath>
        <m:r>
          <m:t>y</m:t>
        </m:r>
        <m:r>
          <m:rPr>
            <m:sty m:val="p"/>
          </m:rPr>
          <m:t>=</m:t>
        </m:r>
        <m:r>
          <m:t>0</m:t>
        </m:r>
      </m:oMath>
      <w:r>
        <w:t xml:space="preserve">. This is the</w:t>
      </w:r>
      <w:r>
        <w:t xml:space="preserve"> </w:t>
      </w:r>
      <w:r>
        <w:rPr>
          <w:b/>
          <w:bCs/>
        </w:rPr>
        <w:t xml:space="preserve">cumulative incidence</w:t>
      </w:r>
      <w:r>
        <w:t xml:space="preserve"> </w:t>
      </w:r>
      <w:r>
        <w:t xml:space="preserve">definition: the PD is the probability of the</w:t>
      </w:r>
      <w:r>
        <w:t xml:space="preserve"> </w:t>
      </w:r>
      <w:r>
        <w:rPr>
          <w:i/>
          <w:iCs/>
        </w:rPr>
        <w:t xml:space="preserve">default event actually occurring</w:t>
      </w:r>
      <w:r>
        <w:t xml:space="preserve"> </w:t>
      </w:r>
      <w:r>
        <w:t xml:space="preserve">in the presence of prepayment as a competing way to leave. It answers "what fraction of today's loans will default within a year", which is what an investor needs, but it is lower than the hazard of default for a loan that could never prepay. A snapshot enters only if its entire twelve-month window is observed before December 2024, so no label is truncated.</w:t>
      </w:r>
    </w:p>
    <w:bookmarkEnd w:id="31"/>
    <w:bookmarkStart w:id="32" w:name="the-prepayment-target"/>
    <w:p>
      <w:pPr>
        <w:pStyle w:val="Heading2"/>
      </w:pPr>
      <w:r>
        <w:rPr>
          <w:rStyle w:val="SectionNumber"/>
        </w:rPr>
        <w:t xml:space="preserve">5.2</w:t>
      </w:r>
      <w:r>
        <w:tab/>
      </w:r>
      <w:r>
        <w:t xml:space="preserve">The prepayment target</w:t>
      </w:r>
    </w:p>
    <w:p>
      <w:pPr>
        <w:pStyle w:val="FirstParagraph"/>
      </w:pPr>
      <w:r>
        <w:t xml:space="preserve">The prepayment dataset (</w:t>
      </w:r>
      <w:r>
        <w:rPr>
          <w:rStyle w:val="VerbatimChar"/>
        </w:rPr>
        <w:t xml:space="preserve">targets.build_hazard_rows</w:t>
      </w:r>
      <w:r>
        <w:t xml:space="preserve">) uses</w:t>
      </w:r>
      <w:r>
        <w:t xml:space="preserve"> </w:t>
      </w:r>
      <w:r>
        <w:rPr>
          <w:b/>
          <w:bCs/>
        </w:rPr>
        <w:t xml:space="preserve">discrete-time survival</w:t>
      </w:r>
      <w:r>
        <w:t xml:space="preserve"> </w:t>
      </w:r>
      <w:r>
        <w:t xml:space="preserve">or hazard framing. For month</w:t>
      </w:r>
      <w:r>
        <w:t xml:space="preserve"> </w:t>
      </w:r>
      <m:oMath>
        <m:r>
          <m:t>t</m:t>
        </m:r>
      </m:oMath>
      <w:r>
        <w:t xml:space="preserve">, the row exists if the loan was current at the end of month</w:t>
      </w:r>
      <w:r>
        <w:t xml:space="preserve"> </w:t>
      </w:r>
      <m:oMath>
        <m:r>
          <m:t>t</m:t>
        </m:r>
        <m:r>
          <m:rPr>
            <m:sty m:val="p"/>
          </m:rPr>
          <m:t>−</m:t>
        </m:r>
        <m:r>
          <m:t>1</m:t>
        </m:r>
      </m:oMath>
      <w:r>
        <w:t xml:space="preserve"> </w:t>
      </w:r>
      <w:r>
        <w:t xml:space="preserve">and still active in month</w:t>
      </w:r>
      <w:r>
        <w:t xml:space="preserve"> </w:t>
      </w:r>
      <m:oMath>
        <m:r>
          <m:t>t</m:t>
        </m:r>
      </m:oMath>
      <w:r>
        <w:t xml:space="preserve">. The features are taken</w:t>
      </w:r>
      <w:r>
        <w:t xml:space="preserve"> </w:t>
      </w:r>
      <w:r>
        <w:rPr>
          <w:b/>
          <w:bCs/>
        </w:rPr>
        <w:t xml:space="preserve">as of</w:t>
      </w:r>
      <w:r>
        <w:rPr>
          <w:b/>
          <w:bCs/>
        </w:rPr>
        <w:t xml:space="preserve"> </w:t>
      </w:r>
      <m:oMath>
        <m:r>
          <m:t>t</m:t>
        </m:r>
        <m:r>
          <m:rPr>
            <m:sty m:val="p"/>
          </m:rPr>
          <m:t>−</m:t>
        </m:r>
        <m:r>
          <m:t>1</m:t>
        </m:r>
      </m:oMath>
      <w:r>
        <w:t xml:space="preserve"> </w:t>
      </w:r>
      <w:r>
        <w:t xml:space="preserve">(everything known before the month starts) and the label is whether the loan prepaid during month</w:t>
      </w:r>
      <w:r>
        <w:t xml:space="preserve"> </w:t>
      </w:r>
      <m:oMath>
        <m:r>
          <m:t>t</m:t>
        </m:r>
      </m:oMath>
      <w:r>
        <w:t xml:space="preserve">. The calendar month of</w:t>
      </w:r>
      <w:r>
        <w:t xml:space="preserve"> </w:t>
      </w:r>
      <m:oMath>
        <m:r>
          <m:t>t</m:t>
        </m:r>
      </m:oMath>
      <w:r>
        <w:t xml:space="preserve"> </w:t>
      </w:r>
      <w:r>
        <w:t xml:space="preserve">is allowed as a feature because it is known in advance (seasonality), not an outcome. The model therefore estimates a monthly hazard, which is exactly the SMM.</w:t>
      </w:r>
    </w:p>
    <w:p>
      <w:pPr>
        <w:pStyle w:val="BodyText"/>
      </w:pPr>
      <w:r>
        <w:t xml:space="preserve">The two targets treat competing risks differently on purpose. The prepayment model conditions on staying current, so default is excluded by construction; the PD model treats prepayment as "no event". Section 12 discusses what this implies for the projection.</w:t>
      </w:r>
    </w:p>
    <w:bookmarkEnd w:id="32"/>
    <w:bookmarkStart w:id="33" w:name="time-based-split"/>
    <w:p>
      <w:pPr>
        <w:pStyle w:val="Heading2"/>
      </w:pPr>
      <w:r>
        <w:rPr>
          <w:rStyle w:val="SectionNumber"/>
        </w:rPr>
        <w:t xml:space="preserve">5.3</w:t>
      </w:r>
      <w:r>
        <w:tab/>
      </w:r>
      <w:r>
        <w:t xml:space="preserve">Time-based split</w:t>
      </w:r>
    </w:p>
    <w:p>
      <w:pPr>
        <w:pStyle w:val="FirstParagraph"/>
      </w:pPr>
      <w:r>
        <w:t xml:space="preserve">Random splitting would be wrong here: a loan's January 2019 row and its July 2019 row are almost the same observation, and the future would leak into the past. The split is by</w:t>
      </w:r>
      <w:r>
        <w:t xml:space="preserve"> </w:t>
      </w:r>
      <w:r>
        <w:rPr>
          <w:b/>
          <w:bCs/>
        </w:rPr>
        <w:t xml:space="preserve">calendar time</w:t>
      </w:r>
      <w:r>
        <w:t xml:space="preserve"> </w:t>
      </w:r>
      <w:r>
        <w:t xml:space="preserve">with a buffer so that no development label overlaps the out-of-time period.</w:t>
      </w:r>
    </w:p>
    <w:p>
      <w:pPr>
        <w:pStyle w:val="TableCaption"/>
      </w:pPr>
      <w:r>
        <w:t xml:space="preserve">Time windows and row counts. For PD the window refers to the snapshot date; for prepayment to the month of the outcome.</w:t>
      </w:r>
    </w:p>
    <w:tbl>
      <w:tblPr>
        <w:tblStyle w:val="Table"/>
        <w:tblW w:type="pct" w:w="5000"/>
        <w:tblLayout w:type="fixed"/>
        <w:tblLook w:firstRow="1" w:lastRow="0" w:firstColumn="0" w:lastColumn="0" w:noHBand="0" w:noVBand="0" w:val="0020"/>
        <w:tblCaption w:val="Time windows and row counts. For PD the window refers to the snapshot date; for prepayment to the month of the outcom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33"/>
        <w:gridCol w:w="1161"/>
        <w:gridCol w:w="1056"/>
        <w:gridCol w:w="1056"/>
        <w:gridCol w:w="739"/>
        <w:gridCol w:w="3273"/>
      </w:tblGrid>
      <w:tr>
        <w:trPr>
          <w:tblHeader w:val="on"/>
        </w:trPr>
        <w:tc>
          <w:tcPr/>
          <w:p>
            <w:pPr>
              <w:pStyle w:val="Compact"/>
              <w:jc w:val="left"/>
            </w:pPr>
            <w:r>
              <w:rPr>
                <w:sz w:val="17"/>
              </w:rPr>
              <w:t xml:space="preserve">Model</w:t>
            </w:r>
          </w:p>
        </w:tc>
        <w:tc>
          <w:tcPr/>
          <w:p>
            <w:pPr>
              <w:pStyle w:val="Compact"/>
              <w:jc w:val="right"/>
            </w:pPr>
            <w:r>
              <w:rPr>
                <w:sz w:val="17"/>
              </w:rPr>
              <w:t xml:space="preserve">Window</w:t>
            </w:r>
          </w:p>
        </w:tc>
        <w:tc>
          <w:tcPr/>
          <w:p>
            <w:pPr>
              <w:pStyle w:val="Compact"/>
              <w:jc w:val="right"/>
            </w:pPr>
            <w:r>
              <w:rPr>
                <w:sz w:val="17"/>
              </w:rPr>
              <w:t xml:space="preserve">From</w:t>
            </w:r>
          </w:p>
        </w:tc>
        <w:tc>
          <w:tcPr/>
          <w:p>
            <w:pPr>
              <w:pStyle w:val="Compact"/>
              <w:jc w:val="right"/>
            </w:pPr>
            <w:r>
              <w:rPr>
                <w:sz w:val="17"/>
              </w:rPr>
              <w:t xml:space="preserve">To</w:t>
            </w:r>
          </w:p>
        </w:tc>
        <w:tc>
          <w:tcPr/>
          <w:p>
            <w:pPr>
              <w:pStyle w:val="Compact"/>
              <w:jc w:val="right"/>
            </w:pPr>
            <w:r>
              <w:rPr>
                <w:sz w:val="17"/>
              </w:rPr>
              <w:t xml:space="preserve">Rows</w:t>
            </w:r>
          </w:p>
        </w:tc>
        <w:tc>
          <w:tcPr/>
          <w:p>
            <w:pPr>
              <w:pStyle w:val="Compact"/>
              <w:jc w:val="right"/>
            </w:pPr>
            <w:r>
              <w:rPr>
                <w:sz w:val="17"/>
              </w:rPr>
              <w:t xml:space="preserve">Used to</w:t>
            </w:r>
          </w:p>
        </w:tc>
      </w:tr>
      <w:tr>
        <w:tc>
          <w:tcPr/>
          <w:p>
            <w:pPr>
              <w:pStyle w:val="Compact"/>
              <w:jc w:val="left"/>
            </w:pPr>
            <w:r>
              <w:rPr>
                <w:sz w:val="17"/>
              </w:rPr>
              <w:t xml:space="preserve">PD</w:t>
            </w:r>
          </w:p>
        </w:tc>
        <w:tc>
          <w:tcPr/>
          <w:p>
            <w:pPr>
              <w:pStyle w:val="Compact"/>
              <w:jc w:val="right"/>
            </w:pPr>
            <w:r>
              <w:rPr>
                <w:sz w:val="17"/>
              </w:rPr>
              <w:t xml:space="preserve">train</w:t>
            </w:r>
          </w:p>
        </w:tc>
        <w:tc>
          <w:tcPr/>
          <w:p>
            <w:pPr>
              <w:pStyle w:val="Compact"/>
              <w:jc w:val="right"/>
            </w:pPr>
            <w:r>
              <w:rPr>
                <w:sz w:val="17"/>
              </w:rPr>
              <w:t xml:space="preserve">2013-01-31</w:t>
            </w:r>
          </w:p>
        </w:tc>
        <w:tc>
          <w:tcPr/>
          <w:p>
            <w:pPr>
              <w:pStyle w:val="Compact"/>
              <w:jc w:val="right"/>
            </w:pPr>
            <w:r>
              <w:rPr>
                <w:sz w:val="17"/>
              </w:rPr>
              <w:t xml:space="preserve">2018-06-30</w:t>
            </w:r>
          </w:p>
        </w:tc>
        <w:tc>
          <w:tcPr/>
          <w:p>
            <w:pPr>
              <w:pStyle w:val="Compact"/>
              <w:jc w:val="right"/>
            </w:pPr>
            <w:r>
              <w:rPr>
                <w:sz w:val="17"/>
              </w:rPr>
              <w:t xml:space="preserve">141,858</w:t>
            </w:r>
          </w:p>
        </w:tc>
        <w:tc>
          <w:tcPr/>
          <w:p>
            <w:pPr>
              <w:pStyle w:val="Compact"/>
              <w:jc w:val="right"/>
            </w:pPr>
            <w:r>
              <w:rPr>
                <w:sz w:val="17"/>
              </w:rPr>
              <w:t xml:space="preserve">fit the models and the WoE bins</w:t>
            </w:r>
          </w:p>
        </w:tc>
      </w:tr>
      <w:tr>
        <w:tc>
          <w:tcPr/>
          <w:p>
            <w:pPr>
              <w:pStyle w:val="Compact"/>
              <w:jc w:val="left"/>
            </w:pPr>
            <w:r>
              <w:rPr>
                <w:sz w:val="17"/>
              </w:rPr>
              <w:t xml:space="preserve">PD</w:t>
            </w:r>
          </w:p>
        </w:tc>
        <w:tc>
          <w:tcPr/>
          <w:p>
            <w:pPr>
              <w:pStyle w:val="Compact"/>
              <w:jc w:val="right"/>
            </w:pPr>
            <w:r>
              <w:rPr>
                <w:sz w:val="17"/>
              </w:rPr>
              <w:t xml:space="preserve">calibration</w:t>
            </w:r>
          </w:p>
        </w:tc>
        <w:tc>
          <w:tcPr/>
          <w:p>
            <w:pPr>
              <w:pStyle w:val="Compact"/>
              <w:jc w:val="right"/>
            </w:pPr>
            <w:r>
              <w:rPr>
                <w:sz w:val="17"/>
              </w:rPr>
              <w:t xml:space="preserve">2018-07-31</w:t>
            </w:r>
          </w:p>
        </w:tc>
        <w:tc>
          <w:tcPr/>
          <w:p>
            <w:pPr>
              <w:pStyle w:val="Compact"/>
              <w:jc w:val="right"/>
            </w:pPr>
            <w:r>
              <w:rPr>
                <w:sz w:val="17"/>
              </w:rPr>
              <w:t xml:space="preserve">2018-12-31</w:t>
            </w:r>
          </w:p>
        </w:tc>
        <w:tc>
          <w:tcPr/>
          <w:p>
            <w:pPr>
              <w:pStyle w:val="Compact"/>
              <w:jc w:val="right"/>
            </w:pPr>
            <w:r>
              <w:rPr>
                <w:sz w:val="17"/>
              </w:rPr>
              <w:t xml:space="preserve">19,904</w:t>
            </w:r>
          </w:p>
        </w:tc>
        <w:tc>
          <w:tcPr/>
          <w:p>
            <w:pPr>
              <w:pStyle w:val="Compact"/>
              <w:jc w:val="right"/>
            </w:pPr>
            <w:r>
              <w:rPr>
                <w:sz w:val="17"/>
              </w:rPr>
              <w:t xml:space="preserve">fit the probability calibrators</w:t>
            </w:r>
          </w:p>
        </w:tc>
      </w:tr>
      <w:tr>
        <w:tc>
          <w:tcPr/>
          <w:p>
            <w:pPr>
              <w:pStyle w:val="Compact"/>
              <w:jc w:val="left"/>
            </w:pPr>
            <w:r>
              <w:rPr>
                <w:sz w:val="17"/>
              </w:rPr>
              <w:t xml:space="preserve">PD</w:t>
            </w:r>
          </w:p>
        </w:tc>
        <w:tc>
          <w:tcPr/>
          <w:p>
            <w:pPr>
              <w:pStyle w:val="Compact"/>
              <w:jc w:val="right"/>
            </w:pPr>
            <w:r>
              <w:rPr>
                <w:sz w:val="17"/>
              </w:rPr>
              <w:t xml:space="preserve">out-of-time</w:t>
            </w:r>
          </w:p>
        </w:tc>
        <w:tc>
          <w:tcPr/>
          <w:p>
            <w:pPr>
              <w:pStyle w:val="Compact"/>
              <w:jc w:val="right"/>
            </w:pPr>
            <w:r>
              <w:rPr>
                <w:sz w:val="17"/>
              </w:rPr>
              <w:t xml:space="preserve">2020-01-31</w:t>
            </w:r>
          </w:p>
        </w:tc>
        <w:tc>
          <w:tcPr/>
          <w:p>
            <w:pPr>
              <w:pStyle w:val="Compact"/>
              <w:jc w:val="right"/>
            </w:pPr>
            <w:r>
              <w:rPr>
                <w:sz w:val="17"/>
              </w:rPr>
              <w:t xml:space="preserve">2023-12-31</w:t>
            </w:r>
          </w:p>
        </w:tc>
        <w:tc>
          <w:tcPr/>
          <w:p>
            <w:pPr>
              <w:pStyle w:val="Compact"/>
              <w:jc w:val="right"/>
            </w:pPr>
            <w:r>
              <w:rPr>
                <w:sz w:val="17"/>
              </w:rPr>
              <w:t xml:space="preserve">123,395</w:t>
            </w:r>
          </w:p>
        </w:tc>
        <w:tc>
          <w:tcPr/>
          <w:p>
            <w:pPr>
              <w:pStyle w:val="Compact"/>
              <w:jc w:val="right"/>
            </w:pPr>
            <w:r>
              <w:rPr>
                <w:sz w:val="17"/>
              </w:rPr>
              <w:t xml:space="preserve">all reported performance</w:t>
            </w:r>
          </w:p>
        </w:tc>
      </w:tr>
      <w:tr>
        <w:tc>
          <w:tcPr/>
          <w:p>
            <w:pPr>
              <w:pStyle w:val="Compact"/>
              <w:jc w:val="left"/>
            </w:pPr>
            <w:r>
              <w:rPr>
                <w:sz w:val="17"/>
              </w:rPr>
              <w:t xml:space="preserve">Prepay</w:t>
            </w:r>
          </w:p>
        </w:tc>
        <w:tc>
          <w:tcPr/>
          <w:p>
            <w:pPr>
              <w:pStyle w:val="Compact"/>
              <w:jc w:val="right"/>
            </w:pPr>
            <w:r>
              <w:rPr>
                <w:sz w:val="17"/>
              </w:rPr>
              <w:t xml:space="preserve">train</w:t>
            </w:r>
          </w:p>
        </w:tc>
        <w:tc>
          <w:tcPr/>
          <w:p>
            <w:pPr>
              <w:pStyle w:val="Compact"/>
              <w:jc w:val="right"/>
            </w:pPr>
            <w:r>
              <w:rPr>
                <w:sz w:val="17"/>
              </w:rPr>
              <w:t xml:space="preserve">2013-01-31</w:t>
            </w:r>
          </w:p>
        </w:tc>
        <w:tc>
          <w:tcPr/>
          <w:p>
            <w:pPr>
              <w:pStyle w:val="Compact"/>
              <w:jc w:val="right"/>
            </w:pPr>
            <w:r>
              <w:rPr>
                <w:sz w:val="17"/>
              </w:rPr>
              <w:t xml:space="preserve">2018-12-31</w:t>
            </w:r>
          </w:p>
        </w:tc>
        <w:tc>
          <w:tcPr/>
          <w:p>
            <w:pPr>
              <w:pStyle w:val="Compact"/>
              <w:jc w:val="right"/>
            </w:pPr>
            <w:r>
              <w:rPr>
                <w:sz w:val="17"/>
              </w:rPr>
              <w:t xml:space="preserve">247,330</w:t>
            </w:r>
          </w:p>
        </w:tc>
        <w:tc>
          <w:tcPr/>
          <w:p>
            <w:pPr>
              <w:pStyle w:val="Compact"/>
              <w:jc w:val="right"/>
            </w:pPr>
            <w:r>
              <w:rPr>
                <w:sz w:val="17"/>
              </w:rPr>
              <w:t xml:space="preserve">fit the models</w:t>
            </w:r>
          </w:p>
        </w:tc>
      </w:tr>
      <w:tr>
        <w:tc>
          <w:tcPr/>
          <w:p>
            <w:pPr>
              <w:pStyle w:val="Compact"/>
              <w:jc w:val="left"/>
            </w:pPr>
            <w:r>
              <w:rPr>
                <w:sz w:val="17"/>
              </w:rPr>
              <w:t xml:space="preserve">Prepay</w:t>
            </w:r>
          </w:p>
        </w:tc>
        <w:tc>
          <w:tcPr/>
          <w:p>
            <w:pPr>
              <w:pStyle w:val="Compact"/>
              <w:jc w:val="right"/>
            </w:pPr>
            <w:r>
              <w:rPr>
                <w:sz w:val="17"/>
              </w:rPr>
              <w:t xml:space="preserve">calibration</w:t>
            </w:r>
          </w:p>
        </w:tc>
        <w:tc>
          <w:tcPr/>
          <w:p>
            <w:pPr>
              <w:pStyle w:val="Compact"/>
              <w:jc w:val="right"/>
            </w:pPr>
            <w:r>
              <w:rPr>
                <w:sz w:val="17"/>
              </w:rPr>
              <w:t xml:space="preserve">2019-01-31</w:t>
            </w:r>
          </w:p>
        </w:tc>
        <w:tc>
          <w:tcPr/>
          <w:p>
            <w:pPr>
              <w:pStyle w:val="Compact"/>
              <w:jc w:val="right"/>
            </w:pPr>
            <w:r>
              <w:rPr>
                <w:sz w:val="17"/>
              </w:rPr>
              <w:t xml:space="preserve">2019-12-31</w:t>
            </w:r>
          </w:p>
        </w:tc>
        <w:tc>
          <w:tcPr/>
          <w:p>
            <w:pPr>
              <w:pStyle w:val="Compact"/>
              <w:jc w:val="right"/>
            </w:pPr>
            <w:r>
              <w:rPr>
                <w:sz w:val="17"/>
              </w:rPr>
              <w:t xml:space="preserve">59,044</w:t>
            </w:r>
          </w:p>
        </w:tc>
        <w:tc>
          <w:tcPr/>
          <w:p>
            <w:pPr>
              <w:pStyle w:val="Compact"/>
              <w:jc w:val="right"/>
            </w:pPr>
            <w:r>
              <w:rPr>
                <w:sz w:val="17"/>
              </w:rPr>
              <w:t xml:space="preserve">fit the probability calibrators</w:t>
            </w:r>
          </w:p>
        </w:tc>
      </w:tr>
      <w:tr>
        <w:tc>
          <w:tcPr/>
          <w:p>
            <w:pPr>
              <w:pStyle w:val="Compact"/>
              <w:jc w:val="left"/>
            </w:pPr>
            <w:r>
              <w:rPr>
                <w:sz w:val="17"/>
              </w:rPr>
              <w:t xml:space="preserve">Prepay</w:t>
            </w:r>
          </w:p>
        </w:tc>
        <w:tc>
          <w:tcPr/>
          <w:p>
            <w:pPr>
              <w:pStyle w:val="Compact"/>
              <w:jc w:val="right"/>
            </w:pPr>
            <w:r>
              <w:rPr>
                <w:sz w:val="17"/>
              </w:rPr>
              <w:t xml:space="preserve">out-of-time</w:t>
            </w:r>
          </w:p>
        </w:tc>
        <w:tc>
          <w:tcPr/>
          <w:p>
            <w:pPr>
              <w:pStyle w:val="Compact"/>
              <w:jc w:val="right"/>
            </w:pPr>
            <w:r>
              <w:rPr>
                <w:sz w:val="17"/>
              </w:rPr>
              <w:t xml:space="preserve">2020-01-31</w:t>
            </w:r>
          </w:p>
        </w:tc>
        <w:tc>
          <w:tcPr/>
          <w:p>
            <w:pPr>
              <w:pStyle w:val="Compact"/>
              <w:jc w:val="right"/>
            </w:pPr>
            <w:r>
              <w:rPr>
                <w:sz w:val="17"/>
              </w:rPr>
              <w:t xml:space="preserve">2024-12-31</w:t>
            </w:r>
          </w:p>
        </w:tc>
        <w:tc>
          <w:tcPr/>
          <w:p>
            <w:pPr>
              <w:pStyle w:val="Compact"/>
              <w:jc w:val="right"/>
            </w:pPr>
            <w:r>
              <w:rPr>
                <w:sz w:val="17"/>
              </w:rPr>
              <w:t xml:space="preserve">210,134</w:t>
            </w:r>
          </w:p>
        </w:tc>
        <w:tc>
          <w:tcPr/>
          <w:p>
            <w:pPr>
              <w:pStyle w:val="Compact"/>
              <w:jc w:val="right"/>
            </w:pPr>
            <w:r>
              <w:rPr>
                <w:sz w:val="17"/>
              </w:rPr>
              <w:t xml:space="preserve">all reported performance</w:t>
            </w:r>
          </w:p>
        </w:tc>
      </w:tr>
    </w:tbl>
    <w:p>
      <w:pPr>
        <w:pStyle w:val="BodyText"/>
      </w:pPr>
      <w:r>
        <w:t xml:space="preserve">Every development label must be resolved by</w:t>
      </w:r>
      <w:r>
        <w:t xml:space="preserve"> </w:t>
      </w:r>
      <w:r>
        <w:rPr>
          <w:rStyle w:val="VerbatimChar"/>
        </w:rPr>
        <w:t xml:space="preserve">DEV_CUTOFF</w:t>
      </w:r>
      <w:r>
        <w:t xml:space="preserve"> </w:t>
      </w:r>
      <w:r>
        <w:t xml:space="preserve">= 2019-12-31, so a training or calibration snapshot is kept only if its twelve-month window ends on or before that date (</w:t>
      </w:r>
      <w:r>
        <w:rPr>
          <w:rStyle w:val="VerbatimChar"/>
        </w:rPr>
        <w:t xml:space="preserve">targets.split_by_time</w:t>
      </w:r>
      <w:r>
        <w:t xml:space="preserve"> </w:t>
      </w:r>
      <w:r>
        <w:t xml:space="preserve">applies this). The out-of-time (OOT) window starts after the cutoff: it covers the 2020 pandemic-era unemployment spike, the 2021 low-rate refinance wave and the 2022 rate rise, which makes it a demanding test. The same loan can appear in train and OOT at different dates (it is a time split, not a loan split), so the bootstrap in section 7.10 resamples loans.</w:t>
      </w:r>
    </w:p>
    <w:p>
      <w:pPr>
        <w:pStyle w:val="BodyText"/>
      </w:pPr>
      <w:r>
        <w:t xml:space="preserve">The observed 12-month default rate differs a lot across periods, which matters for calibration later:</w:t>
      </w:r>
    </w:p>
    <w:p>
      <w:pPr>
        <w:pStyle w:val="TableCaption"/>
      </w:pPr>
      <w:r>
        <w:t xml:space="preserve">Observed 12-month default rate by snapshot year, training and out-of-time. The training window averages 2.00%, the calibration window 1.30% and the OOT window 2.32%.</w:t>
      </w:r>
    </w:p>
    <w:tbl>
      <w:tblPr>
        <w:tblStyle w:val="Table"/>
        <w:tblW w:type="pct" w:w="5000"/>
        <w:tblLayout w:type="fixed"/>
        <w:tblLook w:firstRow="1" w:lastRow="0" w:firstColumn="0" w:lastColumn="0" w:noHBand="0" w:noVBand="0" w:val="0020"/>
        <w:tblCaption w:val="Observed 12-month default rate by snapshot year, training and out-of-time. The training window averages 2.00%, the calibration window 1.30% and the OOT window 2.32%."/>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11"/>
        <w:gridCol w:w="2143"/>
        <w:gridCol w:w="1397"/>
        <w:gridCol w:w="1956"/>
        <w:gridCol w:w="1211"/>
      </w:tblGrid>
      <w:tr>
        <w:trPr>
          <w:tblHeader w:val="on"/>
        </w:trPr>
        <w:tc>
          <w:tcPr/>
          <w:p>
            <w:pPr>
              <w:pStyle w:val="Compact"/>
              <w:jc w:val="left"/>
            </w:pPr>
            <w:r>
              <w:rPr>
                <w:sz w:val="17"/>
              </w:rPr>
              <w:t xml:space="preserve">Snapshot year</w:t>
            </w:r>
          </w:p>
        </w:tc>
        <w:tc>
          <w:tcPr/>
          <w:p>
            <w:pPr>
              <w:pStyle w:val="Compact"/>
              <w:jc w:val="right"/>
            </w:pPr>
            <w:r>
              <w:rPr>
                <w:sz w:val="17"/>
              </w:rPr>
              <w:t xml:space="preserve">Train: 12m default rate</w:t>
            </w:r>
          </w:p>
        </w:tc>
        <w:tc>
          <w:tcPr/>
          <w:p>
            <w:pPr>
              <w:pStyle w:val="Compact"/>
              <w:jc w:val="right"/>
            </w:pPr>
            <w:r>
              <w:rPr>
                <w:sz w:val="17"/>
              </w:rPr>
              <w:t xml:space="preserve">Train snapshots</w:t>
            </w:r>
          </w:p>
        </w:tc>
        <w:tc>
          <w:tcPr/>
          <w:p>
            <w:pPr>
              <w:pStyle w:val="Compact"/>
              <w:jc w:val="right"/>
            </w:pPr>
            <w:r>
              <w:rPr>
                <w:sz w:val="17"/>
              </w:rPr>
              <w:t xml:space="preserve">OOT: 12m default rate</w:t>
            </w:r>
          </w:p>
        </w:tc>
        <w:tc>
          <w:tcPr/>
          <w:p>
            <w:pPr>
              <w:pStyle w:val="Compact"/>
              <w:jc w:val="right"/>
            </w:pPr>
            <w:r>
              <w:rPr>
                <w:sz w:val="17"/>
              </w:rPr>
              <w:t xml:space="preserve">OOT snapshots</w:t>
            </w:r>
          </w:p>
        </w:tc>
      </w:tr>
      <w:tr>
        <w:tc>
          <w:tcPr/>
          <w:p>
            <w:pPr>
              <w:pStyle w:val="Compact"/>
              <w:jc w:val="left"/>
            </w:pPr>
            <w:r>
              <w:rPr>
                <w:sz w:val="17"/>
              </w:rPr>
              <w:t xml:space="preserve">2013.0</w:t>
            </w:r>
          </w:p>
        </w:tc>
        <w:tc>
          <w:tcPr/>
          <w:p>
            <w:pPr>
              <w:pStyle w:val="Compact"/>
              <w:jc w:val="right"/>
            </w:pPr>
            <w:r>
              <w:rPr>
                <w:sz w:val="17"/>
              </w:rPr>
              <w:t xml:space="preserve">3.23%</w:t>
            </w:r>
          </w:p>
        </w:tc>
        <w:tc>
          <w:tcPr/>
          <w:p>
            <w:pPr>
              <w:pStyle w:val="Compact"/>
              <w:jc w:val="right"/>
            </w:pPr>
            <w:r>
              <w:rPr>
                <w:sz w:val="17"/>
              </w:rPr>
              <w:t xml:space="preserve">13,460</w:t>
            </w:r>
          </w:p>
        </w:tc>
        <w:tc>
          <w:tcPr/>
          <w:p>
            <w:pPr>
              <w:pStyle w:val="Compact"/>
            </w:pPr>
          </w:p>
        </w:tc>
        <w:tc>
          <w:tcPr/>
          <w:p>
            <w:pPr>
              <w:pStyle w:val="Compact"/>
            </w:pPr>
          </w:p>
        </w:tc>
      </w:tr>
      <w:tr>
        <w:tc>
          <w:tcPr/>
          <w:p>
            <w:pPr>
              <w:pStyle w:val="Compact"/>
              <w:jc w:val="left"/>
            </w:pPr>
            <w:r>
              <w:rPr>
                <w:sz w:val="17"/>
              </w:rPr>
              <w:t xml:space="preserve">2014.0</w:t>
            </w:r>
          </w:p>
        </w:tc>
        <w:tc>
          <w:tcPr/>
          <w:p>
            <w:pPr>
              <w:pStyle w:val="Compact"/>
              <w:jc w:val="right"/>
            </w:pPr>
            <w:r>
              <w:rPr>
                <w:sz w:val="17"/>
              </w:rPr>
              <w:t xml:space="preserve">2.76%</w:t>
            </w:r>
          </w:p>
        </w:tc>
        <w:tc>
          <w:tcPr/>
          <w:p>
            <w:pPr>
              <w:pStyle w:val="Compact"/>
              <w:jc w:val="right"/>
            </w:pPr>
            <w:r>
              <w:rPr>
                <w:sz w:val="17"/>
              </w:rPr>
              <w:t xml:space="preserve">19,847</w:t>
            </w:r>
          </w:p>
        </w:tc>
        <w:tc>
          <w:tcPr/>
          <w:p>
            <w:pPr>
              <w:pStyle w:val="Compact"/>
            </w:pPr>
          </w:p>
        </w:tc>
        <w:tc>
          <w:tcPr/>
          <w:p>
            <w:pPr>
              <w:pStyle w:val="Compact"/>
            </w:pPr>
          </w:p>
        </w:tc>
      </w:tr>
      <w:tr>
        <w:tc>
          <w:tcPr/>
          <w:p>
            <w:pPr>
              <w:pStyle w:val="Compact"/>
              <w:jc w:val="left"/>
            </w:pPr>
            <w:r>
              <w:rPr>
                <w:sz w:val="17"/>
              </w:rPr>
              <w:t xml:space="preserve">2015.0</w:t>
            </w:r>
          </w:p>
        </w:tc>
        <w:tc>
          <w:tcPr/>
          <w:p>
            <w:pPr>
              <w:pStyle w:val="Compact"/>
              <w:jc w:val="right"/>
            </w:pPr>
            <w:r>
              <w:rPr>
                <w:sz w:val="17"/>
              </w:rPr>
              <w:t xml:space="preserve">2.14%</w:t>
            </w:r>
          </w:p>
        </w:tc>
        <w:tc>
          <w:tcPr/>
          <w:p>
            <w:pPr>
              <w:pStyle w:val="Compact"/>
              <w:jc w:val="right"/>
            </w:pPr>
            <w:r>
              <w:rPr>
                <w:sz w:val="17"/>
              </w:rPr>
              <w:t xml:space="preserve">25,359</w:t>
            </w:r>
          </w:p>
        </w:tc>
        <w:tc>
          <w:tcPr/>
          <w:p>
            <w:pPr>
              <w:pStyle w:val="Compact"/>
            </w:pPr>
          </w:p>
        </w:tc>
        <w:tc>
          <w:tcPr/>
          <w:p>
            <w:pPr>
              <w:pStyle w:val="Compact"/>
            </w:pPr>
          </w:p>
        </w:tc>
      </w:tr>
      <w:tr>
        <w:tc>
          <w:tcPr/>
          <w:p>
            <w:pPr>
              <w:pStyle w:val="Compact"/>
              <w:jc w:val="left"/>
            </w:pPr>
            <w:r>
              <w:rPr>
                <w:sz w:val="17"/>
              </w:rPr>
              <w:t xml:space="preserve">2016.0</w:t>
            </w:r>
          </w:p>
        </w:tc>
        <w:tc>
          <w:tcPr/>
          <w:p>
            <w:pPr>
              <w:pStyle w:val="Compact"/>
              <w:jc w:val="right"/>
            </w:pPr>
            <w:r>
              <w:rPr>
                <w:sz w:val="17"/>
              </w:rPr>
              <w:t xml:space="preserve">1.69%</w:t>
            </w:r>
          </w:p>
        </w:tc>
        <w:tc>
          <w:tcPr/>
          <w:p>
            <w:pPr>
              <w:pStyle w:val="Compact"/>
              <w:jc w:val="right"/>
            </w:pPr>
            <w:r>
              <w:rPr>
                <w:sz w:val="17"/>
              </w:rPr>
              <w:t xml:space="preserve">31,509</w:t>
            </w:r>
          </w:p>
        </w:tc>
        <w:tc>
          <w:tcPr/>
          <w:p>
            <w:pPr>
              <w:pStyle w:val="Compact"/>
            </w:pPr>
          </w:p>
        </w:tc>
        <w:tc>
          <w:tcPr/>
          <w:p>
            <w:pPr>
              <w:pStyle w:val="Compact"/>
            </w:pPr>
          </w:p>
        </w:tc>
      </w:tr>
      <w:tr>
        <w:tc>
          <w:tcPr/>
          <w:p>
            <w:pPr>
              <w:pStyle w:val="Compact"/>
              <w:jc w:val="left"/>
            </w:pPr>
            <w:r>
              <w:rPr>
                <w:sz w:val="17"/>
              </w:rPr>
              <w:t xml:space="preserve">2017.0</w:t>
            </w:r>
          </w:p>
        </w:tc>
        <w:tc>
          <w:tcPr/>
          <w:p>
            <w:pPr>
              <w:pStyle w:val="Compact"/>
              <w:jc w:val="right"/>
            </w:pPr>
            <w:r>
              <w:rPr>
                <w:sz w:val="17"/>
              </w:rPr>
              <w:t xml:space="preserve">1.54%</w:t>
            </w:r>
          </w:p>
        </w:tc>
        <w:tc>
          <w:tcPr/>
          <w:p>
            <w:pPr>
              <w:pStyle w:val="Compact"/>
              <w:jc w:val="right"/>
            </w:pPr>
            <w:r>
              <w:rPr>
                <w:sz w:val="17"/>
              </w:rPr>
              <w:t xml:space="preserve">33,143</w:t>
            </w:r>
          </w:p>
        </w:tc>
        <w:tc>
          <w:tcPr/>
          <w:p>
            <w:pPr>
              <w:pStyle w:val="Compact"/>
            </w:pPr>
          </w:p>
        </w:tc>
        <w:tc>
          <w:tcPr/>
          <w:p>
            <w:pPr>
              <w:pStyle w:val="Compact"/>
            </w:pPr>
          </w:p>
        </w:tc>
      </w:tr>
      <w:tr>
        <w:tc>
          <w:tcPr/>
          <w:p>
            <w:pPr>
              <w:pStyle w:val="Compact"/>
              <w:jc w:val="left"/>
            </w:pPr>
            <w:r>
              <w:rPr>
                <w:sz w:val="17"/>
              </w:rPr>
              <w:t xml:space="preserve">2018.0</w:t>
            </w:r>
          </w:p>
        </w:tc>
        <w:tc>
          <w:tcPr/>
          <w:p>
            <w:pPr>
              <w:pStyle w:val="Compact"/>
              <w:jc w:val="right"/>
            </w:pPr>
            <w:r>
              <w:rPr>
                <w:sz w:val="17"/>
              </w:rPr>
              <w:t xml:space="preserve">1.48%</w:t>
            </w:r>
          </w:p>
        </w:tc>
        <w:tc>
          <w:tcPr/>
          <w:p>
            <w:pPr>
              <w:pStyle w:val="Compact"/>
              <w:jc w:val="right"/>
            </w:pPr>
            <w:r>
              <w:rPr>
                <w:sz w:val="17"/>
              </w:rPr>
              <w:t xml:space="preserve">18,540</w:t>
            </w:r>
          </w:p>
        </w:tc>
        <w:tc>
          <w:tcPr/>
          <w:p>
            <w:pPr>
              <w:pStyle w:val="Compact"/>
            </w:pPr>
          </w:p>
        </w:tc>
        <w:tc>
          <w:tcPr/>
          <w:p>
            <w:pPr>
              <w:pStyle w:val="Compact"/>
            </w:pPr>
          </w:p>
        </w:tc>
      </w:tr>
      <w:tr>
        <w:tc>
          <w:tcPr/>
          <w:p>
            <w:pPr>
              <w:pStyle w:val="Compact"/>
              <w:jc w:val="left"/>
            </w:pPr>
            <w:r>
              <w:rPr>
                <w:sz w:val="17"/>
              </w:rPr>
              <w:t xml:space="preserve">2020.0</w:t>
            </w:r>
          </w:p>
        </w:tc>
        <w:tc>
          <w:tcPr/>
          <w:p>
            <w:pPr>
              <w:pStyle w:val="Compact"/>
            </w:pPr>
          </w:p>
        </w:tc>
        <w:tc>
          <w:tcPr/>
          <w:p>
            <w:pPr>
              <w:pStyle w:val="Compact"/>
            </w:pPr>
          </w:p>
        </w:tc>
        <w:tc>
          <w:tcPr/>
          <w:p>
            <w:pPr>
              <w:pStyle w:val="Compact"/>
              <w:jc w:val="right"/>
            </w:pPr>
            <w:r>
              <w:rPr>
                <w:sz w:val="17"/>
              </w:rPr>
              <w:t xml:space="preserve">3.85%</w:t>
            </w:r>
          </w:p>
        </w:tc>
        <w:tc>
          <w:tcPr/>
          <w:p>
            <w:pPr>
              <w:pStyle w:val="Compact"/>
              <w:jc w:val="right"/>
            </w:pPr>
            <w:r>
              <w:rPr>
                <w:sz w:val="17"/>
              </w:rPr>
              <w:t xml:space="preserve">37,546</w:t>
            </w:r>
          </w:p>
        </w:tc>
      </w:tr>
      <w:tr>
        <w:tc>
          <w:tcPr/>
          <w:p>
            <w:pPr>
              <w:pStyle w:val="Compact"/>
              <w:jc w:val="left"/>
            </w:pPr>
            <w:r>
              <w:rPr>
                <w:sz w:val="17"/>
              </w:rPr>
              <w:t xml:space="preserve">2021.0</w:t>
            </w:r>
          </w:p>
        </w:tc>
        <w:tc>
          <w:tcPr/>
          <w:p>
            <w:pPr>
              <w:pStyle w:val="Compact"/>
            </w:pPr>
          </w:p>
        </w:tc>
        <w:tc>
          <w:tcPr/>
          <w:p>
            <w:pPr>
              <w:pStyle w:val="Compact"/>
            </w:pPr>
          </w:p>
        </w:tc>
        <w:tc>
          <w:tcPr/>
          <w:p>
            <w:pPr>
              <w:pStyle w:val="Compact"/>
              <w:jc w:val="right"/>
            </w:pPr>
            <w:r>
              <w:rPr>
                <w:sz w:val="17"/>
              </w:rPr>
              <w:t xml:space="preserve">1.92%</w:t>
            </w:r>
          </w:p>
        </w:tc>
        <w:tc>
          <w:tcPr/>
          <w:p>
            <w:pPr>
              <w:pStyle w:val="Compact"/>
              <w:jc w:val="right"/>
            </w:pPr>
            <w:r>
              <w:rPr>
                <w:sz w:val="17"/>
              </w:rPr>
              <w:t xml:space="preserve">29,838</w:t>
            </w:r>
          </w:p>
        </w:tc>
      </w:tr>
      <w:tr>
        <w:tc>
          <w:tcPr/>
          <w:p>
            <w:pPr>
              <w:pStyle w:val="Compact"/>
              <w:jc w:val="left"/>
            </w:pPr>
            <w:r>
              <w:rPr>
                <w:sz w:val="17"/>
              </w:rPr>
              <w:t xml:space="preserve">2022.0</w:t>
            </w:r>
          </w:p>
        </w:tc>
        <w:tc>
          <w:tcPr/>
          <w:p>
            <w:pPr>
              <w:pStyle w:val="Compact"/>
            </w:pPr>
          </w:p>
        </w:tc>
        <w:tc>
          <w:tcPr/>
          <w:p>
            <w:pPr>
              <w:pStyle w:val="Compact"/>
            </w:pPr>
          </w:p>
        </w:tc>
        <w:tc>
          <w:tcPr/>
          <w:p>
            <w:pPr>
              <w:pStyle w:val="Compact"/>
              <w:jc w:val="right"/>
            </w:pPr>
            <w:r>
              <w:rPr>
                <w:sz w:val="17"/>
              </w:rPr>
              <w:t xml:space="preserve">1.60%</w:t>
            </w:r>
          </w:p>
        </w:tc>
        <w:tc>
          <w:tcPr/>
          <w:p>
            <w:pPr>
              <w:pStyle w:val="Compact"/>
              <w:jc w:val="right"/>
            </w:pPr>
            <w:r>
              <w:rPr>
                <w:sz w:val="17"/>
              </w:rPr>
              <w:t xml:space="preserve">29,790</w:t>
            </w:r>
          </w:p>
        </w:tc>
      </w:tr>
      <w:tr>
        <w:tc>
          <w:tcPr/>
          <w:p>
            <w:pPr>
              <w:pStyle w:val="Compact"/>
              <w:jc w:val="left"/>
            </w:pPr>
            <w:r>
              <w:rPr>
                <w:sz w:val="17"/>
              </w:rPr>
              <w:t xml:space="preserve">2023.0</w:t>
            </w:r>
          </w:p>
        </w:tc>
        <w:tc>
          <w:tcPr/>
          <w:p>
            <w:pPr>
              <w:pStyle w:val="Compact"/>
            </w:pPr>
          </w:p>
        </w:tc>
        <w:tc>
          <w:tcPr/>
          <w:p>
            <w:pPr>
              <w:pStyle w:val="Compact"/>
            </w:pPr>
          </w:p>
        </w:tc>
        <w:tc>
          <w:tcPr/>
          <w:p>
            <w:pPr>
              <w:pStyle w:val="Compact"/>
              <w:jc w:val="right"/>
            </w:pPr>
            <w:r>
              <w:rPr>
                <w:sz w:val="17"/>
              </w:rPr>
              <w:t xml:space="preserve">1.40%</w:t>
            </w:r>
          </w:p>
        </w:tc>
        <w:tc>
          <w:tcPr/>
          <w:p>
            <w:pPr>
              <w:pStyle w:val="Compact"/>
              <w:jc w:val="right"/>
            </w:pPr>
            <w:r>
              <w:rPr>
                <w:sz w:val="17"/>
              </w:rPr>
              <w:t xml:space="preserve">26,221</w:t>
            </w:r>
          </w:p>
        </w:tc>
      </w:tr>
    </w:tbl>
    <w:bookmarkEnd w:id="33"/>
    <w:bookmarkEnd w:id="34"/>
    <w:bookmarkStart w:id="40" w:name="X9d422b84ded5cbe0ceef8e8a2ad9a33f73d6d19"/>
    <w:p>
      <w:pPr>
        <w:pStyle w:val="Heading1"/>
      </w:pPr>
      <w:r>
        <w:rPr>
          <w:rStyle w:val="SectionNumber"/>
        </w:rPr>
        <w:t xml:space="preserve">6</w:t>
      </w:r>
      <w:r>
        <w:tab/>
      </w:r>
      <w:r>
        <w:t xml:space="preserve">Feature engineering and the leakage checklist</w:t>
      </w:r>
    </w:p>
    <w:bookmarkStart w:id="35" w:name="what-a-feature-is-and-what-leakage-means"/>
    <w:p>
      <w:pPr>
        <w:pStyle w:val="Heading2"/>
      </w:pPr>
      <w:r>
        <w:rPr>
          <w:rStyle w:val="SectionNumber"/>
        </w:rPr>
        <w:t xml:space="preserve">6.1</w:t>
      </w:r>
      <w:r>
        <w:tab/>
      </w:r>
      <w:r>
        <w:t xml:space="preserve">What a feature is, and what leakage means</w:t>
      </w:r>
    </w:p>
    <w:p>
      <w:pPr>
        <w:pStyle w:val="FirstParagraph"/>
      </w:pPr>
      <w:r>
        <w:t xml:space="preserve">A</w:t>
      </w:r>
      <w:r>
        <w:t xml:space="preserve"> </w:t>
      </w:r>
      <w:r>
        <w:rPr>
          <w:b/>
          <w:bCs/>
        </w:rPr>
        <w:t xml:space="preserve">feature</w:t>
      </w:r>
      <w:r>
        <w:t xml:space="preserve"> </w:t>
      </w:r>
      <w:r>
        <w:t xml:space="preserve">is a number computed for each loan at the prediction date.</w:t>
      </w:r>
      <w:r>
        <w:t xml:space="preserve"> </w:t>
      </w:r>
      <w:r>
        <w:rPr>
          <w:b/>
          <w:bCs/>
        </w:rPr>
        <w:t xml:space="preserve">Leakage</w:t>
      </w:r>
      <w:r>
        <w:t xml:space="preserve"> </w:t>
      </w:r>
      <w:r>
        <w:t xml:space="preserve">is any information in a feature that would not have been available at that date, or that is a disguised copy of the outcome. Leakage makes a model look excellent in testing and fail in use, and it is the single most common reason credit models are rejected in validation. Every feature here is built by</w:t>
      </w:r>
      <w:r>
        <w:t xml:space="preserve"> </w:t>
      </w:r>
      <w:r>
        <w:rPr>
          <w:rStyle w:val="VerbatimChar"/>
        </w:rPr>
        <w:t xml:space="preserve">features.add_features</w:t>
      </w:r>
      <w:r>
        <w:t xml:space="preserve">, which sorts the panel by loan and month and computes everything with</w:t>
      </w:r>
      <w:r>
        <w:t xml:space="preserve"> </w:t>
      </w:r>
      <w:r>
        <w:rPr>
          <w:b/>
          <w:bCs/>
        </w:rPr>
        <w:t xml:space="preserve">backward-looking</w:t>
      </w:r>
      <w:r>
        <w:t xml:space="preserve"> </w:t>
      </w:r>
      <w:r>
        <w:t xml:space="preserve">operations only.</w:t>
      </w:r>
    </w:p>
    <w:bookmarkEnd w:id="35"/>
    <w:bookmarkStart w:id="36" w:name="features-used-by-the-pd-model"/>
    <w:p>
      <w:pPr>
        <w:pStyle w:val="Heading2"/>
      </w:pPr>
      <w:r>
        <w:rPr>
          <w:rStyle w:val="SectionNumber"/>
        </w:rPr>
        <w:t xml:space="preserve">6.2</w:t>
      </w:r>
      <w:r>
        <w:tab/>
      </w:r>
      <w:r>
        <w:t xml:space="preserve">Features used by the PD model</w:t>
      </w:r>
    </w:p>
    <w:p>
      <w:pPr>
        <w:pStyle w:val="TableCaption"/>
      </w:pPr>
      <w:r>
        <w:t xml:space="preserve">PD model features (</w:t>
      </w:r>
      <w:r>
        <w:rPr>
          <w:rStyle w:val="VerbatimChar"/>
        </w:rPr>
        <w:t xml:space="preserve">columns.FEATURES_PD</w:t>
      </w:r>
      <w:r>
        <w:t xml:space="preserve">).</w:t>
      </w:r>
    </w:p>
    <w:tbl>
      <w:tblPr>
        <w:tblStyle w:val="Table"/>
        <w:tblW w:type="pct" w:w="5000"/>
        <w:tblLayout w:type="fixed"/>
        <w:tblLook w:firstRow="1" w:lastRow="0" w:firstColumn="0" w:lastColumn="0" w:noHBand="0" w:noVBand="0" w:val="0020"/>
        <w:tblCaption w:val="PD model features (columns.FEATURES_P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Feature</w:t>
            </w:r>
          </w:p>
        </w:tc>
        <w:tc>
          <w:tcPr/>
          <w:p>
            <w:pPr>
              <w:pStyle w:val="Compact"/>
              <w:jc w:val="left"/>
            </w:pPr>
            <w:r>
              <w:rPr>
                <w:sz w:val="17"/>
              </w:rPr>
              <w:t xml:space="preserve">Definition</w:t>
            </w:r>
          </w:p>
        </w:tc>
        <w:tc>
          <w:tcPr/>
          <w:p>
            <w:pPr>
              <w:pStyle w:val="Compact"/>
              <w:jc w:val="left"/>
            </w:pPr>
            <w:r>
              <w:rPr>
                <w:sz w:val="17"/>
              </w:rPr>
              <w:t xml:space="preserve">Why it belongs</w:t>
            </w:r>
          </w:p>
        </w:tc>
      </w:tr>
      <w:tr>
        <w:tc>
          <w:tcPr/>
          <w:p>
            <w:pPr>
              <w:pStyle w:val="Compact"/>
              <w:jc w:val="left"/>
            </w:pPr>
            <w:r>
              <w:rPr>
                <w:rStyle w:val="VerbatimChar"/>
                <w:sz w:val="17"/>
              </w:rPr>
              <w:t xml:space="preserve">fico</w:t>
            </w:r>
          </w:p>
        </w:tc>
        <w:tc>
          <w:tcPr/>
          <w:p>
            <w:pPr>
              <w:pStyle w:val="Compact"/>
              <w:jc w:val="left"/>
            </w:pPr>
            <w:r>
              <w:rPr>
                <w:sz w:val="17"/>
              </w:rPr>
              <w:t xml:space="preserve">FICO score at origination</w:t>
            </w:r>
          </w:p>
        </w:tc>
        <w:tc>
          <w:tcPr/>
          <w:p>
            <w:pPr>
              <w:pStyle w:val="Compact"/>
              <w:jc w:val="left"/>
            </w:pPr>
            <w:r>
              <w:rPr>
                <w:sz w:val="17"/>
              </w:rPr>
              <w:t xml:space="preserve">strongest single credit-quality signal</w:t>
            </w:r>
          </w:p>
        </w:tc>
      </w:tr>
      <w:tr>
        <w:tc>
          <w:tcPr/>
          <w:p>
            <w:pPr>
              <w:pStyle w:val="Compact"/>
              <w:jc w:val="left"/>
            </w:pPr>
            <w:r>
              <w:rPr>
                <w:rStyle w:val="VerbatimChar"/>
                <w:sz w:val="17"/>
              </w:rPr>
              <w:t xml:space="preserve">orig_ltv</w:t>
            </w:r>
          </w:p>
        </w:tc>
        <w:tc>
          <w:tcPr/>
          <w:p>
            <w:pPr>
              <w:pStyle w:val="Compact"/>
              <w:jc w:val="left"/>
            </w:pPr>
            <w:r>
              <w:rPr>
                <w:sz w:val="17"/>
              </w:rPr>
              <w:t xml:space="preserve">loan-to-value at origination, percent</w:t>
            </w:r>
          </w:p>
        </w:tc>
        <w:tc>
          <w:tcPr/>
          <w:p>
            <w:pPr>
              <w:pStyle w:val="Compact"/>
              <w:jc w:val="left"/>
            </w:pPr>
            <w:r>
              <w:rPr>
                <w:sz w:val="17"/>
              </w:rPr>
              <w:t xml:space="preserve">initial equity cushion</w:t>
            </w:r>
          </w:p>
        </w:tc>
      </w:tr>
      <w:tr>
        <w:tc>
          <w:tcPr/>
          <w:p>
            <w:pPr>
              <w:pStyle w:val="Compact"/>
              <w:jc w:val="left"/>
            </w:pPr>
            <w:r>
              <w:rPr>
                <w:rStyle w:val="VerbatimChar"/>
                <w:sz w:val="17"/>
              </w:rPr>
              <w:t xml:space="preserve">mtm_ltv</w:t>
            </w:r>
          </w:p>
        </w:tc>
        <w:tc>
          <w:tcPr/>
          <w:p>
            <w:pPr>
              <w:pStyle w:val="Compact"/>
              <w:jc w:val="left"/>
            </w:pPr>
            <w:r>
              <w:rPr>
                <w:sz w:val="17"/>
              </w:rPr>
              <w:t xml:space="preserve">current balance divided by house value updated with the state house price index, percent</w:t>
            </w:r>
          </w:p>
        </w:tc>
        <w:tc>
          <w:tcPr/>
          <w:p>
            <w:pPr>
              <w:pStyle w:val="Compact"/>
              <w:jc w:val="left"/>
            </w:pPr>
            <w:r>
              <w:rPr>
                <w:sz w:val="17"/>
              </w:rPr>
              <w:t xml:space="preserve">current equity; negative equity drives default</w:t>
            </w:r>
          </w:p>
        </w:tc>
      </w:tr>
      <w:tr>
        <w:tc>
          <w:tcPr/>
          <w:p>
            <w:pPr>
              <w:pStyle w:val="Compact"/>
              <w:jc w:val="left"/>
            </w:pPr>
            <w:r>
              <w:rPr>
                <w:rStyle w:val="VerbatimChar"/>
                <w:sz w:val="17"/>
              </w:rPr>
              <w:t xml:space="preserve">dti</w:t>
            </w:r>
          </w:p>
        </w:tc>
        <w:tc>
          <w:tcPr/>
          <w:p>
            <w:pPr>
              <w:pStyle w:val="Compact"/>
              <w:jc w:val="left"/>
            </w:pPr>
            <w:r>
              <w:rPr>
                <w:sz w:val="17"/>
              </w:rPr>
              <w:t xml:space="preserve">debt-to-income at origination, percent</w:t>
            </w:r>
          </w:p>
        </w:tc>
        <w:tc>
          <w:tcPr/>
          <w:p>
            <w:pPr>
              <w:pStyle w:val="Compact"/>
              <w:jc w:val="left"/>
            </w:pPr>
            <w:r>
              <w:rPr>
                <w:sz w:val="17"/>
              </w:rPr>
              <w:t xml:space="preserve">payment burden</w:t>
            </w:r>
          </w:p>
        </w:tc>
      </w:tr>
      <w:tr>
        <w:tc>
          <w:tcPr/>
          <w:p>
            <w:pPr>
              <w:pStyle w:val="Compact"/>
              <w:jc w:val="left"/>
            </w:pPr>
            <w:r>
              <w:rPr>
                <w:rStyle w:val="VerbatimChar"/>
                <w:sz w:val="17"/>
              </w:rPr>
              <w:t xml:space="preserve">orig_rate</w:t>
            </w:r>
          </w:p>
        </w:tc>
        <w:tc>
          <w:tcPr/>
          <w:p>
            <w:pPr>
              <w:pStyle w:val="Compact"/>
              <w:jc w:val="left"/>
            </w:pPr>
            <w:r>
              <w:rPr>
                <w:sz w:val="17"/>
              </w:rPr>
              <w:t xml:space="preserve">note rate, percent</w:t>
            </w:r>
          </w:p>
        </w:tc>
        <w:tc>
          <w:tcPr/>
          <w:p>
            <w:pPr>
              <w:pStyle w:val="Compact"/>
              <w:jc w:val="left"/>
            </w:pPr>
            <w:r>
              <w:rPr>
                <w:sz w:val="17"/>
              </w:rPr>
              <w:t xml:space="preserve">higher rates reflect risk pricing and payment size</w:t>
            </w:r>
          </w:p>
        </w:tc>
      </w:tr>
      <w:tr>
        <w:tc>
          <w:tcPr/>
          <w:p>
            <w:pPr>
              <w:pStyle w:val="Compact"/>
              <w:jc w:val="left"/>
            </w:pPr>
            <w:r>
              <w:rPr>
                <w:rStyle w:val="VerbatimChar"/>
                <w:sz w:val="17"/>
              </w:rPr>
              <w:t xml:space="preserve">incentive</w:t>
            </w:r>
          </w:p>
        </w:tc>
        <w:tc>
          <w:tcPr/>
          <w:p>
            <w:pPr>
              <w:pStyle w:val="Compact"/>
              <w:jc w:val="left"/>
            </w:pPr>
            <w:r>
              <w:rPr>
                <w:sz w:val="17"/>
              </w:rPr>
              <w:t xml:space="preserve">note rate minus current market rate, in percentage points</w:t>
            </w:r>
          </w:p>
        </w:tc>
        <w:tc>
          <w:tcPr/>
          <w:p>
            <w:pPr>
              <w:pStyle w:val="Compact"/>
              <w:jc w:val="left"/>
            </w:pPr>
            <w:r>
              <w:rPr>
                <w:sz w:val="17"/>
              </w:rPr>
              <w:t xml:space="preserve">borrower's refinance position; also a proxy for rate regime</w:t>
            </w:r>
          </w:p>
        </w:tc>
      </w:tr>
      <w:tr>
        <w:tc>
          <w:tcPr/>
          <w:p>
            <w:pPr>
              <w:pStyle w:val="Compact"/>
              <w:jc w:val="left"/>
            </w:pPr>
            <w:r>
              <w:rPr>
                <w:rStyle w:val="VerbatimChar"/>
                <w:sz w:val="17"/>
              </w:rPr>
              <w:t xml:space="preserve">age</w:t>
            </w:r>
          </w:p>
        </w:tc>
        <w:tc>
          <w:tcPr/>
          <w:p>
            <w:pPr>
              <w:pStyle w:val="Compact"/>
              <w:jc w:val="left"/>
            </w:pPr>
            <w:r>
              <w:rPr>
                <w:sz w:val="17"/>
              </w:rPr>
              <w:t xml:space="preserve">months since origination</w:t>
            </w:r>
          </w:p>
        </w:tc>
        <w:tc>
          <w:tcPr/>
          <w:p>
            <w:pPr>
              <w:pStyle w:val="Compact"/>
              <w:jc w:val="left"/>
            </w:pPr>
            <w:r>
              <w:rPr>
                <w:sz w:val="17"/>
              </w:rPr>
              <w:t xml:space="preserve">the seasoning curve of defaults</w:t>
            </w:r>
          </w:p>
        </w:tc>
      </w:tr>
      <w:tr>
        <w:tc>
          <w:tcPr/>
          <w:p>
            <w:pPr>
              <w:pStyle w:val="Compact"/>
              <w:jc w:val="left"/>
            </w:pPr>
            <w:r>
              <w:rPr>
                <w:rStyle w:val="VerbatimChar"/>
                <w:sz w:val="17"/>
              </w:rPr>
              <w:t xml:space="preserve">log_upb</w:t>
            </w:r>
          </w:p>
        </w:tc>
        <w:tc>
          <w:tcPr/>
          <w:p>
            <w:pPr>
              <w:pStyle w:val="Compact"/>
              <w:jc w:val="left"/>
            </w:pPr>
            <w:r>
              <w:rPr>
                <w:sz w:val="17"/>
              </w:rPr>
              <w:t xml:space="preserve">natural log of current balance</w:t>
            </w:r>
          </w:p>
        </w:tc>
        <w:tc>
          <w:tcPr/>
          <w:p>
            <w:pPr>
              <w:pStyle w:val="Compact"/>
              <w:jc w:val="left"/>
            </w:pPr>
            <w:r>
              <w:rPr>
                <w:sz w:val="17"/>
              </w:rPr>
              <w:t xml:space="preserve">size effect</w:t>
            </w:r>
          </w:p>
        </w:tc>
      </w:tr>
      <w:tr>
        <w:tc>
          <w:tcPr/>
          <w:p>
            <w:pPr>
              <w:pStyle w:val="Compact"/>
              <w:jc w:val="left"/>
            </w:pPr>
            <w:r>
              <w:rPr>
                <w:rStyle w:val="VerbatimChar"/>
                <w:sz w:val="17"/>
              </w:rPr>
              <w:t xml:space="preserve">unemp</w:t>
            </w:r>
            <w:r>
              <w:rPr>
                <w:sz w:val="17"/>
              </w:rPr>
              <w:t xml:space="preserve">,</w:t>
            </w:r>
            <w:r>
              <w:rPr>
                <w:sz w:val="17"/>
              </w:rPr>
              <w:t xml:space="preserve"> </w:t>
            </w:r>
            <w:r>
              <w:rPr>
                <w:rStyle w:val="VerbatimChar"/>
                <w:sz w:val="17"/>
              </w:rPr>
              <w:t xml:space="preserve">unemp_chg_12m</w:t>
            </w:r>
          </w:p>
        </w:tc>
        <w:tc>
          <w:tcPr/>
          <w:p>
            <w:pPr>
              <w:pStyle w:val="Compact"/>
              <w:jc w:val="left"/>
            </w:pPr>
            <w:r>
              <w:rPr>
                <w:sz w:val="17"/>
              </w:rPr>
              <w:t xml:space="preserve">state unemployment rate and its change over 12 months</w:t>
            </w:r>
          </w:p>
        </w:tc>
        <w:tc>
          <w:tcPr/>
          <w:p>
            <w:pPr>
              <w:pStyle w:val="Compact"/>
              <w:jc w:val="left"/>
            </w:pPr>
            <w:r>
              <w:rPr>
                <w:sz w:val="17"/>
              </w:rPr>
              <w:t xml:space="preserve">local labour market stress</w:t>
            </w:r>
          </w:p>
        </w:tc>
      </w:tr>
      <w:tr>
        <w:tc>
          <w:tcPr/>
          <w:p>
            <w:pPr>
              <w:pStyle w:val="Compact"/>
              <w:jc w:val="left"/>
            </w:pPr>
            <w:r>
              <w:rPr>
                <w:rStyle w:val="VerbatimChar"/>
                <w:sz w:val="17"/>
              </w:rPr>
              <w:t xml:space="preserve">hpi_chg_12m</w:t>
            </w:r>
          </w:p>
        </w:tc>
        <w:tc>
          <w:tcPr/>
          <w:p>
            <w:pPr>
              <w:pStyle w:val="Compact"/>
              <w:jc w:val="left"/>
            </w:pPr>
            <w:r>
              <w:rPr>
                <w:sz w:val="17"/>
              </w:rPr>
              <w:t xml:space="preserve">percent change in the state house price index over 12 months</w:t>
            </w:r>
          </w:p>
        </w:tc>
        <w:tc>
          <w:tcPr/>
          <w:p>
            <w:pPr>
              <w:pStyle w:val="Compact"/>
              <w:jc w:val="left"/>
            </w:pPr>
            <w:r>
              <w:rPr>
                <w:sz w:val="17"/>
              </w:rPr>
              <w:t xml:space="preserve">falling prices raise default</w:t>
            </w:r>
          </w:p>
        </w:tc>
      </w:tr>
      <w:tr>
        <w:tc>
          <w:tcPr/>
          <w:p>
            <w:pPr>
              <w:pStyle w:val="Compact"/>
              <w:jc w:val="left"/>
            </w:pPr>
            <w:r>
              <w:rPr>
                <w:rStyle w:val="VerbatimChar"/>
                <w:sz w:val="17"/>
              </w:rPr>
              <w:t xml:space="preserve">times_30dpd_12m</w:t>
            </w:r>
          </w:p>
        </w:tc>
        <w:tc>
          <w:tcPr/>
          <w:p>
            <w:pPr>
              <w:pStyle w:val="Compact"/>
              <w:jc w:val="left"/>
            </w:pPr>
            <w:r>
              <w:rPr>
                <w:sz w:val="17"/>
              </w:rPr>
              <w:t xml:space="preserve">months in the last 12 (including the current one) with status of 30DPD or worse</w:t>
            </w:r>
          </w:p>
        </w:tc>
        <w:tc>
          <w:tcPr/>
          <w:p>
            <w:pPr>
              <w:pStyle w:val="Compact"/>
              <w:jc w:val="left"/>
            </w:pPr>
            <w:r>
              <w:rPr>
                <w:sz w:val="17"/>
              </w:rPr>
              <w:t xml:space="preserve">recent payment history</w:t>
            </w:r>
          </w:p>
        </w:tc>
      </w:tr>
      <w:tr>
        <w:tc>
          <w:tcPr/>
          <w:p>
            <w:pPr>
              <w:pStyle w:val="Compact"/>
              <w:jc w:val="left"/>
            </w:pPr>
            <w:r>
              <w:rPr>
                <w:rStyle w:val="VerbatimChar"/>
                <w:sz w:val="17"/>
              </w:rPr>
              <w:t xml:space="preserve">dlq_status</w:t>
            </w:r>
          </w:p>
        </w:tc>
        <w:tc>
          <w:tcPr/>
          <w:p>
            <w:pPr>
              <w:pStyle w:val="Compact"/>
              <w:jc w:val="left"/>
            </w:pPr>
            <w:r>
              <w:rPr>
                <w:sz w:val="17"/>
              </w:rPr>
              <w:t xml:space="preserve">current delinquency status (0 or 1 for snapshots)</w:t>
            </w:r>
          </w:p>
        </w:tc>
        <w:tc>
          <w:tcPr/>
          <w:p>
            <w:pPr>
              <w:pStyle w:val="Compact"/>
              <w:jc w:val="left"/>
            </w:pPr>
            <w:r>
              <w:rPr>
                <w:sz w:val="17"/>
              </w:rPr>
              <w:t xml:space="preserve">a loan already late is far more likely to default</w:t>
            </w:r>
          </w:p>
        </w:tc>
      </w:tr>
      <w:tr>
        <w:tc>
          <w:tcPr/>
          <w:p>
            <w:pPr>
              <w:pStyle w:val="Compact"/>
              <w:jc w:val="left"/>
            </w:pPr>
            <w:r>
              <w:rPr>
                <w:rStyle w:val="VerbatimChar"/>
                <w:sz w:val="17"/>
              </w:rPr>
              <w:t xml:space="preserve">purpose</w:t>
            </w:r>
            <w:r>
              <w:rPr>
                <w:sz w:val="17"/>
              </w:rPr>
              <w:t xml:space="preserve">,</w:t>
            </w:r>
            <w:r>
              <w:rPr>
                <w:sz w:val="17"/>
              </w:rPr>
              <w:t xml:space="preserve"> </w:t>
            </w:r>
            <w:r>
              <w:rPr>
                <w:rStyle w:val="VerbatimChar"/>
                <w:sz w:val="17"/>
              </w:rPr>
              <w:t xml:space="preserve">occupancy</w:t>
            </w:r>
            <w:r>
              <w:rPr>
                <w:sz w:val="17"/>
              </w:rPr>
              <w:t xml:space="preserve">,</w:t>
            </w:r>
            <w:r>
              <w:rPr>
                <w:sz w:val="17"/>
              </w:rPr>
              <w:t xml:space="preserve"> </w:t>
            </w:r>
            <w:r>
              <w:rPr>
                <w:rStyle w:val="VerbatimChar"/>
                <w:sz w:val="17"/>
              </w:rPr>
              <w:t xml:space="preserve">n_borrowers</w:t>
            </w:r>
            <w:r>
              <w:rPr>
                <w:sz w:val="17"/>
              </w:rPr>
              <w:t xml:space="preserve">,</w:t>
            </w:r>
            <w:r>
              <w:rPr>
                <w:sz w:val="17"/>
              </w:rPr>
              <w:t xml:space="preserve"> </w:t>
            </w:r>
            <w:r>
              <w:rPr>
                <w:rStyle w:val="VerbatimChar"/>
                <w:sz w:val="17"/>
              </w:rPr>
              <w:t xml:space="preserve">state</w:t>
            </w:r>
          </w:p>
        </w:tc>
        <w:tc>
          <w:tcPr/>
          <w:p>
            <w:pPr>
              <w:pStyle w:val="Compact"/>
              <w:jc w:val="left"/>
            </w:pPr>
            <w:r>
              <w:rPr>
                <w:sz w:val="17"/>
              </w:rPr>
              <w:t xml:space="preserve">categorical attributes</w:t>
            </w:r>
          </w:p>
        </w:tc>
        <w:tc>
          <w:tcPr/>
          <w:p>
            <w:pPr>
              <w:pStyle w:val="Compact"/>
              <w:jc w:val="left"/>
            </w:pPr>
            <w:r>
              <w:rPr>
                <w:sz w:val="17"/>
              </w:rPr>
              <w:t xml:space="preserve">segment effects and geography</w:t>
            </w:r>
          </w:p>
        </w:tc>
      </w:tr>
    </w:tbl>
    <w:bookmarkEnd w:id="36"/>
    <w:bookmarkStart w:id="37" w:name="features-used-by-the-prepayment-model"/>
    <w:p>
      <w:pPr>
        <w:pStyle w:val="Heading2"/>
      </w:pPr>
      <w:r>
        <w:rPr>
          <w:rStyle w:val="SectionNumber"/>
        </w:rPr>
        <w:t xml:space="preserve">6.3</w:t>
      </w:r>
      <w:r>
        <w:tab/>
      </w:r>
      <w:r>
        <w:t xml:space="preserve">Features used by the prepayment model</w:t>
      </w:r>
    </w:p>
    <w:p>
      <w:pPr>
        <w:pStyle w:val="TableCaption"/>
      </w:pPr>
      <w:r>
        <w:t xml:space="preserve">Prepayment model features (</w:t>
      </w:r>
      <w:r>
        <w:rPr>
          <w:rStyle w:val="VerbatimChar"/>
        </w:rPr>
        <w:t xml:space="preserve">columns.FEATURES_PREPAY</w:t>
      </w:r>
      <w:r>
        <w:t xml:space="preserve">).</w:t>
      </w:r>
    </w:p>
    <w:tbl>
      <w:tblPr>
        <w:tblStyle w:val="Table"/>
        <w:tblW w:type="pct" w:w="5000"/>
        <w:tblLayout w:type="fixed"/>
        <w:tblLook w:firstRow="1" w:lastRow="0" w:firstColumn="0" w:lastColumn="0" w:noHBand="0" w:noVBand="0" w:val="0020"/>
        <w:tblCaption w:val="Prepayment model features (columns.FEATURES_PREPAY)."/>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Feature</w:t>
            </w:r>
          </w:p>
        </w:tc>
        <w:tc>
          <w:tcPr/>
          <w:p>
            <w:pPr>
              <w:pStyle w:val="Compact"/>
              <w:jc w:val="left"/>
            </w:pPr>
            <w:r>
              <w:rPr>
                <w:sz w:val="17"/>
              </w:rPr>
              <w:t xml:space="preserve">Definition</w:t>
            </w:r>
          </w:p>
        </w:tc>
        <w:tc>
          <w:tcPr/>
          <w:p>
            <w:pPr>
              <w:pStyle w:val="Compact"/>
              <w:jc w:val="left"/>
            </w:pPr>
            <w:r>
              <w:rPr>
                <w:sz w:val="17"/>
              </w:rPr>
              <w:t xml:space="preserve">Why it belongs</w:t>
            </w:r>
          </w:p>
        </w:tc>
      </w:tr>
      <w:tr>
        <w:tc>
          <w:tcPr/>
          <w:p>
            <w:pPr>
              <w:pStyle w:val="Compact"/>
              <w:jc w:val="left"/>
            </w:pPr>
            <w:r>
              <w:rPr>
                <w:rStyle w:val="VerbatimChar"/>
                <w:sz w:val="17"/>
              </w:rPr>
              <w:t xml:space="preserve">incentive</w:t>
            </w:r>
          </w:p>
        </w:tc>
        <w:tc>
          <w:tcPr/>
          <w:p>
            <w:pPr>
              <w:pStyle w:val="Compact"/>
              <w:jc w:val="left"/>
            </w:pPr>
            <w:r>
              <w:rPr>
                <w:sz w:val="17"/>
              </w:rPr>
              <w:t xml:space="preserve">note rate minus market rate (pp), taken at</w:t>
            </w:r>
            <w:r>
              <w:rPr>
                <w:sz w:val="17"/>
              </w:rPr>
              <w:t xml:space="preserve"> </w:t>
            </w:r>
            <m:oMath>
              <m:r>
                <m:t>t</m:t>
              </m:r>
              <m:r>
                <m:rPr>
                  <m:sty m:val="p"/>
                </m:rPr>
                <m:t>−</m:t>
              </m:r>
              <m:r>
                <m:t>1</m:t>
              </m:r>
            </m:oMath>
          </w:p>
        </w:tc>
        <w:tc>
          <w:tcPr/>
          <w:p>
            <w:pPr>
              <w:pStyle w:val="Compact"/>
              <w:jc w:val="left"/>
            </w:pPr>
            <w:r>
              <w:rPr>
                <w:sz w:val="17"/>
              </w:rPr>
              <w:t xml:space="preserve">the primary driver of refinance</w:t>
            </w:r>
          </w:p>
        </w:tc>
      </w:tr>
      <w:tr>
        <w:tc>
          <w:tcPr/>
          <w:p>
            <w:pPr>
              <w:pStyle w:val="Compact"/>
              <w:jc w:val="left"/>
            </w:pPr>
            <w:r>
              <w:rPr>
                <w:rStyle w:val="VerbatimChar"/>
                <w:sz w:val="17"/>
              </w:rPr>
              <w:t xml:space="preserve">burnout</w:t>
            </w:r>
          </w:p>
        </w:tc>
        <w:tc>
          <w:tcPr/>
          <w:p>
            <w:pPr>
              <w:pStyle w:val="Compact"/>
              <w:jc w:val="left"/>
            </w:pPr>
            <w:r>
              <w:rPr>
                <w:sz w:val="17"/>
              </w:rPr>
              <w:t xml:space="preserve">cumulative months with incentive above 0.5 pp, up to and including</w:t>
            </w:r>
            <w:r>
              <w:rPr>
                <w:sz w:val="17"/>
              </w:rPr>
              <w:t xml:space="preserve"> </w:t>
            </w:r>
            <m:oMath>
              <m:r>
                <m:t>t</m:t>
              </m:r>
              <m:r>
                <m:rPr>
                  <m:sty m:val="p"/>
                </m:rPr>
                <m:t>−</m:t>
              </m:r>
              <m:r>
                <m:t>1</m:t>
              </m:r>
            </m:oMath>
          </w:p>
        </w:tc>
        <w:tc>
          <w:tcPr/>
          <w:p>
            <w:pPr>
              <w:pStyle w:val="Compact"/>
              <w:jc w:val="left"/>
            </w:pPr>
            <w:r>
              <w:rPr>
                <w:sz w:val="17"/>
              </w:rPr>
              <w:t xml:space="preserve">borrowers who ignored past incentive are less responsive</w:t>
            </w:r>
          </w:p>
        </w:tc>
      </w:tr>
      <w:tr>
        <w:tc>
          <w:tcPr/>
          <w:p>
            <w:pPr>
              <w:pStyle w:val="Compact"/>
              <w:jc w:val="left"/>
            </w:pPr>
            <w:r>
              <w:rPr>
                <w:rStyle w:val="VerbatimChar"/>
                <w:sz w:val="17"/>
              </w:rPr>
              <w:t xml:space="preserve">age</w:t>
            </w:r>
            <w:r>
              <w:rPr>
                <w:sz w:val="17"/>
              </w:rPr>
              <w:t xml:space="preserve">,</w:t>
            </w:r>
            <w:r>
              <w:rPr>
                <w:sz w:val="17"/>
              </w:rPr>
              <w:t xml:space="preserve"> </w:t>
            </w:r>
            <w:r>
              <w:rPr>
                <w:rStyle w:val="VerbatimChar"/>
                <w:sz w:val="17"/>
              </w:rPr>
              <w:t xml:space="preserve">seasoning_ramp</w:t>
            </w:r>
          </w:p>
        </w:tc>
        <w:tc>
          <w:tcPr/>
          <w:p>
            <w:pPr>
              <w:pStyle w:val="Compact"/>
              <w:jc w:val="left"/>
            </w:pPr>
            <w:r>
              <w:rPr>
                <w:sz w:val="17"/>
              </w:rPr>
              <w:t xml:space="preserve">months since origination;</w:t>
            </w:r>
            <w:r>
              <w:rPr>
                <w:sz w:val="17"/>
              </w:rPr>
              <w:t xml:space="preserve"> </w:t>
            </w:r>
            <m:oMath>
              <m:r>
                <m:rPr>
                  <m:sty m:val="p"/>
                </m:rPr>
                <m:t>min</m:t>
              </m:r>
              <m:r>
                <m:rPr>
                  <m:sty m:val="p"/>
                </m:rPr>
                <m:t>(</m:t>
              </m:r>
              <m:r>
                <m:rPr>
                  <m:nor/>
                  <m:sty m:val="p"/>
                </m:rPr>
                <m:t>age</m:t>
              </m:r>
              <m:r>
                <m:rPr>
                  <m:sty m:val="p"/>
                </m:rPr>
                <m:t>/</m:t>
              </m:r>
              <m:r>
                <m:t>30</m:t>
              </m:r>
              <m:r>
                <m:rPr>
                  <m:sty m:val="p"/>
                </m:rPr>
                <m:t>,</m:t>
              </m:r>
              <m:r>
                <m:t>1</m:t>
              </m:r>
              <m:r>
                <m:rPr>
                  <m:sty m:val="p"/>
                </m:rPr>
                <m:t>)</m:t>
              </m:r>
            </m:oMath>
          </w:p>
        </w:tc>
        <w:tc>
          <w:tcPr/>
          <w:p>
            <w:pPr>
              <w:pStyle w:val="Compact"/>
              <w:jc w:val="left"/>
            </w:pPr>
            <w:r>
              <w:rPr>
                <w:sz w:val="17"/>
              </w:rPr>
              <w:t xml:space="preserve">new loans prepay slowly</w:t>
            </w:r>
          </w:p>
        </w:tc>
      </w:tr>
      <w:tr>
        <w:tc>
          <w:tcPr/>
          <w:p>
            <w:pPr>
              <w:pStyle w:val="Compact"/>
              <w:jc w:val="left"/>
            </w:pPr>
            <w:r>
              <w:rPr>
                <w:rStyle w:val="VerbatimChar"/>
                <w:sz w:val="17"/>
              </w:rPr>
              <w:t xml:space="preserve">mtm_ltv</w:t>
            </w:r>
          </w:p>
        </w:tc>
        <w:tc>
          <w:tcPr/>
          <w:p>
            <w:pPr>
              <w:pStyle w:val="Compact"/>
              <w:jc w:val="left"/>
            </w:pPr>
            <w:r>
              <w:rPr>
                <w:sz w:val="17"/>
              </w:rPr>
              <w:t xml:space="preserve">mark-to-market LTV</w:t>
            </w:r>
          </w:p>
        </w:tc>
        <w:tc>
          <w:tcPr/>
          <w:p>
            <w:pPr>
              <w:pStyle w:val="Compact"/>
              <w:jc w:val="left"/>
            </w:pPr>
            <w:r>
              <w:rPr>
                <w:sz w:val="17"/>
              </w:rPr>
              <w:t xml:space="preserve">low equity blocks refinancing</w:t>
            </w:r>
          </w:p>
        </w:tc>
      </w:tr>
      <w:tr>
        <w:tc>
          <w:tcPr/>
          <w:p>
            <w:pPr>
              <w:pStyle w:val="Compact"/>
              <w:jc w:val="left"/>
            </w:pPr>
            <w:r>
              <w:rPr>
                <w:rStyle w:val="VerbatimChar"/>
                <w:sz w:val="17"/>
              </w:rPr>
              <w:t xml:space="preserve">fico</w:t>
            </w:r>
            <w:r>
              <w:rPr>
                <w:sz w:val="17"/>
              </w:rPr>
              <w:t xml:space="preserve">,</w:t>
            </w:r>
            <w:r>
              <w:rPr>
                <w:sz w:val="17"/>
              </w:rPr>
              <w:t xml:space="preserve"> </w:t>
            </w:r>
            <w:r>
              <w:rPr>
                <w:rStyle w:val="VerbatimChar"/>
                <w:sz w:val="17"/>
              </w:rPr>
              <w:t xml:space="preserve">dti</w:t>
            </w:r>
            <w:r>
              <w:rPr>
                <w:sz w:val="17"/>
              </w:rPr>
              <w:t xml:space="preserve">,</w:t>
            </w:r>
            <w:r>
              <w:rPr>
                <w:sz w:val="17"/>
              </w:rPr>
              <w:t xml:space="preserve"> </w:t>
            </w:r>
            <w:r>
              <w:rPr>
                <w:rStyle w:val="VerbatimChar"/>
                <w:sz w:val="17"/>
              </w:rPr>
              <w:t xml:space="preserve">log_upb</w:t>
            </w:r>
          </w:p>
        </w:tc>
        <w:tc>
          <w:tcPr/>
          <w:p>
            <w:pPr>
              <w:pStyle w:val="Compact"/>
              <w:jc w:val="left"/>
            </w:pPr>
            <w:r>
              <w:rPr>
                <w:sz w:val="17"/>
              </w:rPr>
              <w:t xml:space="preserve">credit and size attributes</w:t>
            </w:r>
          </w:p>
        </w:tc>
        <w:tc>
          <w:tcPr/>
          <w:p>
            <w:pPr>
              <w:pStyle w:val="Compact"/>
              <w:jc w:val="left"/>
            </w:pPr>
            <w:r>
              <w:rPr>
                <w:sz w:val="17"/>
              </w:rPr>
              <w:t xml:space="preserve">easier to qualify, larger saving</w:t>
            </w:r>
          </w:p>
        </w:tc>
      </w:tr>
      <w:tr>
        <w:tc>
          <w:tcPr/>
          <w:p>
            <w:pPr>
              <w:pStyle w:val="Compact"/>
              <w:jc w:val="left"/>
            </w:pPr>
            <w:r>
              <w:rPr>
                <w:rStyle w:val="VerbatimChar"/>
                <w:sz w:val="17"/>
              </w:rPr>
              <w:t xml:space="preserve">month_of_year</w:t>
            </w:r>
          </w:p>
        </w:tc>
        <w:tc>
          <w:tcPr/>
          <w:p>
            <w:pPr>
              <w:pStyle w:val="Compact"/>
              <w:jc w:val="left"/>
            </w:pPr>
            <w:r>
              <w:rPr>
                <w:sz w:val="17"/>
              </w:rPr>
              <w:t xml:space="preserve">calendar month of the outcome month</w:t>
            </w:r>
          </w:p>
        </w:tc>
        <w:tc>
          <w:tcPr/>
          <w:p>
            <w:pPr>
              <w:pStyle w:val="Compact"/>
              <w:jc w:val="left"/>
            </w:pPr>
            <w:r>
              <w:rPr>
                <w:sz w:val="17"/>
              </w:rPr>
              <w:t xml:space="preserve">seasonality of home sales</w:t>
            </w:r>
          </w:p>
        </w:tc>
      </w:tr>
      <w:tr>
        <w:tc>
          <w:tcPr/>
          <w:p>
            <w:pPr>
              <w:pStyle w:val="Compact"/>
              <w:jc w:val="left"/>
            </w:pPr>
            <w:r>
              <w:rPr>
                <w:rStyle w:val="VerbatimChar"/>
                <w:sz w:val="17"/>
              </w:rPr>
              <w:t xml:space="preserve">purpose</w:t>
            </w:r>
            <w:r>
              <w:rPr>
                <w:sz w:val="17"/>
              </w:rPr>
              <w:t xml:space="preserve">,</w:t>
            </w:r>
            <w:r>
              <w:rPr>
                <w:sz w:val="17"/>
              </w:rPr>
              <w:t xml:space="preserve"> </w:t>
            </w:r>
            <w:r>
              <w:rPr>
                <w:rStyle w:val="VerbatimChar"/>
                <w:sz w:val="17"/>
              </w:rPr>
              <w:t xml:space="preserve">state</w:t>
            </w:r>
          </w:p>
        </w:tc>
        <w:tc>
          <w:tcPr/>
          <w:p>
            <w:pPr>
              <w:pStyle w:val="Compact"/>
              <w:jc w:val="left"/>
            </w:pPr>
            <w:r>
              <w:rPr>
                <w:sz w:val="17"/>
              </w:rPr>
              <w:t xml:space="preserve">categorical</w:t>
            </w:r>
          </w:p>
        </w:tc>
        <w:tc>
          <w:tcPr/>
          <w:p>
            <w:pPr>
              <w:pStyle w:val="Compact"/>
              <w:jc w:val="left"/>
            </w:pPr>
            <w:r>
              <w:rPr>
                <w:sz w:val="17"/>
              </w:rPr>
              <w:t xml:space="preserve">segment and regional effects</w:t>
            </w:r>
          </w:p>
        </w:tc>
      </w:tr>
    </w:tbl>
    <w:p>
      <w:pPr>
        <w:pStyle w:val="BodyText"/>
      </w:pPr>
      <w:r>
        <w:t xml:space="preserve">The hinge logit uses a subset of these (the incentive hinges, burnout, seasoning ramp, MTM LTV capped at 120, and FICO) because a simple parametric model is meant to be readable.</w:t>
      </w:r>
    </w:p>
    <w:bookmarkEnd w:id="37"/>
    <w:bookmarkStart w:id="38" w:name="formulas"/>
    <w:p>
      <w:pPr>
        <w:pStyle w:val="Heading2"/>
      </w:pPr>
      <w:r>
        <w:rPr>
          <w:rStyle w:val="SectionNumber"/>
        </w:rPr>
        <w:t xml:space="preserve">6.4</w:t>
      </w:r>
      <w:r>
        <w:tab/>
      </w:r>
      <w:r>
        <w:t xml:space="preserve">Formulas</w:t>
      </w:r>
    </w:p>
    <w:p>
      <w:pPr>
        <w:pStyle w:val="FirstParagraph"/>
      </w:pPr>
      <w:r>
        <w:t xml:space="preserve">The mark-to-market LTV reconstructs an index-linked house value: the origination house value is</w:t>
      </w:r>
      <w:r>
        <w:t xml:space="preserve"> </w:t>
      </w:r>
      <m:oMath>
        <m:sSub>
          <m:e>
            <m:r>
              <m:t>V</m:t>
            </m:r>
          </m:e>
          <m:sub>
            <m:r>
              <m:t>0</m:t>
            </m:r>
          </m:sub>
        </m:sSub>
        <m:r>
          <m:rPr>
            <m:sty m:val="p"/>
          </m:rPr>
          <m:t>=</m:t>
        </m:r>
        <m:sSub>
          <m:e>
            <m:r>
              <m:rPr>
                <m:nor/>
                <m:sty m:val="p"/>
              </m:rPr>
              <m:t>UPB</m:t>
            </m:r>
          </m:e>
          <m:sub>
            <m:r>
              <m:t>0</m:t>
            </m:r>
          </m:sub>
        </m:sSub>
        <m:r>
          <m:rPr>
            <m:sty m:val="p"/>
          </m:rPr>
          <m:t>/</m:t>
        </m:r>
        <m:sSub>
          <m:e>
            <m:r>
              <m:rPr>
                <m:nor/>
                <m:sty m:val="p"/>
              </m:rPr>
              <m:t>LTV</m:t>
            </m:r>
          </m:e>
          <m:sub>
            <m:r>
              <m:t>0</m:t>
            </m:r>
          </m:sub>
        </m:sSub>
        <m:r>
          <m:rPr>
            <m:sty m:val="p"/>
          </m:rPr>
          <m:t>×</m:t>
        </m:r>
        <m:r>
          <m:t>100</m:t>
        </m:r>
      </m:oMath>
      <w:r>
        <w:t xml:space="preserve">, the current value is</w:t>
      </w:r>
      <w:r>
        <w:t xml:space="preserve"> </w:t>
      </w:r>
      <m:oMath>
        <m:sSub>
          <m:e>
            <m:r>
              <m:t>V</m:t>
            </m:r>
          </m:e>
          <m:sub>
            <m:r>
              <m:t>t</m:t>
            </m:r>
          </m:sub>
        </m:sSub>
        <m:r>
          <m:rPr>
            <m:sty m:val="p"/>
          </m:rPr>
          <m:t>=</m:t>
        </m:r>
        <m:sSub>
          <m:e>
            <m:r>
              <m:t>V</m:t>
            </m:r>
          </m:e>
          <m:sub>
            <m:r>
              <m:t>0</m:t>
            </m:r>
          </m:sub>
        </m:sSub>
        <m:r>
          <m:rPr>
            <m:sty m:val="p"/>
          </m:rPr>
          <m:t>⋅</m:t>
        </m:r>
        <m:sSub>
          <m:e>
            <m:r>
              <m:rPr>
                <m:nor/>
                <m:sty m:val="p"/>
              </m:rPr>
              <m:t>HPI</m:t>
            </m:r>
          </m:e>
          <m:sub>
            <m:r>
              <m:t>t</m:t>
            </m:r>
          </m:sub>
        </m:sSub>
        <m:r>
          <m:rPr>
            <m:sty m:val="p"/>
          </m:rPr>
          <m:t>/</m:t>
        </m:r>
        <m:sSub>
          <m:e>
            <m:r>
              <m:rPr>
                <m:nor/>
                <m:sty m:val="p"/>
              </m:rPr>
              <m:t>HPI</m:t>
            </m:r>
          </m:e>
          <m:sub>
            <m:r>
              <m:t>0</m:t>
            </m:r>
          </m:sub>
        </m:sSub>
      </m:oMath>
      <w:r>
        <w:t xml:space="preserve"> </w:t>
      </w:r>
      <w:r>
        <w:t xml:space="preserve">using the loan's state index, and</w:t>
      </w:r>
    </w:p>
    <w:p>
      <w:pPr>
        <w:pStyle w:val="BodyText"/>
      </w:pPr>
      <m:oMathPara>
        <m:oMathParaPr>
          <m:jc m:val="center"/>
        </m:oMathParaPr>
        <m:oMath>
          <m:sSub>
            <m:e>
              <m:r>
                <m:rPr>
                  <m:nor/>
                  <m:sty m:val="p"/>
                </m:rPr>
                <m:t>MTM</m:t>
              </m:r>
            </m:e>
            <m:sub>
              <m:r>
                <m:t>t</m:t>
              </m:r>
            </m:sub>
          </m:sSub>
          <m:r>
            <m:rPr>
              <m:sty m:val="p"/>
            </m:rPr>
            <m:t>=</m:t>
          </m:r>
          <m:f>
            <m:fPr>
              <m:type m:val="bar"/>
            </m:fPr>
            <m:num>
              <m:sSub>
                <m:e>
                  <m:r>
                    <m:rPr>
                      <m:nor/>
                      <m:sty m:val="p"/>
                    </m:rPr>
                    <m:t>UPB</m:t>
                  </m:r>
                </m:e>
                <m:sub>
                  <m:r>
                    <m:t>t</m:t>
                  </m:r>
                </m:sub>
              </m:sSub>
            </m:num>
            <m:den>
              <m:sSub>
                <m:e>
                  <m:r>
                    <m:t>V</m:t>
                  </m:r>
                </m:e>
                <m:sub>
                  <m:r>
                    <m:t>t</m:t>
                  </m:r>
                </m:sub>
              </m:sSub>
            </m:den>
          </m:f>
          <m:r>
            <m:rPr>
              <m:sty m:val="p"/>
            </m:rPr>
            <m:t>×</m:t>
          </m:r>
          <m:r>
            <m:t>100</m:t>
          </m:r>
          <m:r>
            <m:rPr>
              <m:sty m:val="p"/>
            </m:rPr>
            <m:t>.</m:t>
          </m:r>
        </m:oMath>
      </m:oMathPara>
    </w:p>
    <w:p>
      <w:pPr>
        <w:pStyle w:val="FirstParagraph"/>
      </w:pPr>
      <w:r>
        <w:t xml:space="preserve">Burnout is the running count</w:t>
      </w:r>
      <w:r>
        <w:t xml:space="preserve"> </w:t>
      </w:r>
      <m:oMath>
        <m:sSub>
          <m:e>
            <m:r>
              <m:t>B</m:t>
            </m:r>
          </m:e>
          <m:sub>
            <m:r>
              <m:t>t</m:t>
            </m:r>
          </m:sub>
        </m:sSub>
        <m:r>
          <m:rPr>
            <m:sty m:val="p"/>
          </m:rPr>
          <m:t>=</m:t>
        </m:r>
        <m:nary>
          <m:naryPr>
            <m:chr m:val="∑"/>
            <m:limLoc m:val="undOvr"/>
            <m:subHide m:val="off"/>
            <m:supHide m:val="on"/>
          </m:naryPr>
          <m:sub>
            <m:r>
              <m:t>s</m:t>
            </m:r>
            <m:r>
              <m:rPr>
                <m:sty m:val="p"/>
              </m:rPr>
              <m:t>≤</m:t>
            </m:r>
            <m:r>
              <m:t>t</m:t>
            </m:r>
          </m:sub>
          <m:sup>
            <m:r>
              <m:t>​</m:t>
            </m:r>
          </m:sup>
          <m:e>
            <m:r>
              <m:rPr>
                <m:sty m:val="b"/>
              </m:rPr>
              <m:t>1</m:t>
            </m:r>
          </m:e>
        </m:nary>
        <m:r>
          <m:rPr>
            <m:sty m:val="p"/>
          </m:rPr>
          <m:t>[</m:t>
        </m:r>
        <m:sSub>
          <m:e>
            <m:r>
              <m:t>I</m:t>
            </m:r>
          </m:e>
          <m:sub>
            <m:r>
              <m:t>s</m:t>
            </m:r>
          </m:sub>
        </m:sSub>
        <m:r>
          <m:rPr>
            <m:sty m:val="p"/>
          </m:rPr>
          <m:t>&gt;</m:t>
        </m:r>
        <m:r>
          <m:t>0.5</m:t>
        </m:r>
        <m:r>
          <m:rPr>
            <m:sty m:val="p"/>
          </m:rPr>
          <m:t>]</m:t>
        </m:r>
      </m:oMath>
      <w:r>
        <w:t xml:space="preserve">, computed with a grouped cumulative sum per loan. The 12-month changes use a lookup of the same state twelve months earlier (</w:t>
      </w:r>
      <w:r>
        <w:rPr>
          <w:rStyle w:val="VerbatimChar"/>
        </w:rPr>
        <w:t xml:space="preserve">features._state_lag</w:t>
      </w:r>
      <w:r>
        <w:t xml:space="preserve">), which returns missing, set to zero, for the first twelve months.</w:t>
      </w:r>
      <w:r>
        <w:t xml:space="preserve"> </w:t>
      </w:r>
      <w:r>
        <w:rPr>
          <w:rStyle w:val="VerbatimChar"/>
        </w:rPr>
        <w:t xml:space="preserve">times_30dpd_12m</w:t>
      </w:r>
      <w:r>
        <w:t xml:space="preserve"> </w:t>
      </w:r>
      <w:r>
        <w:t xml:space="preserve">is a difference of two cumulative counts, so it only ever looks back.</w:t>
      </w:r>
    </w:p>
    <w:bookmarkEnd w:id="38"/>
    <w:bookmarkStart w:id="39" w:name="the-leakage-checklist"/>
    <w:p>
      <w:pPr>
        <w:pStyle w:val="Heading2"/>
      </w:pPr>
      <w:r>
        <w:rPr>
          <w:rStyle w:val="SectionNumber"/>
        </w:rPr>
        <w:t xml:space="preserve">6.5</w:t>
      </w:r>
      <w:r>
        <w:tab/>
      </w:r>
      <w:r>
        <w:t xml:space="preserve">The leakage checklist</w:t>
      </w:r>
    </w:p>
    <w:p>
      <w:pPr>
        <w:pStyle w:val="TableCaption"/>
      </w:pPr>
      <w:r>
        <w:t xml:space="preserve">Leakage controls.</w:t>
      </w:r>
    </w:p>
    <w:tbl>
      <w:tblPr>
        <w:tblStyle w:val="Table"/>
        <w:tblW w:type="pct" w:w="5000"/>
        <w:tblLayout w:type="fixed"/>
        <w:tblLook w:firstRow="1" w:lastRow="0" w:firstColumn="0" w:lastColumn="0" w:noHBand="0" w:noVBand="0" w:val="0020"/>
        <w:tblCaption w:val="Leakage control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Risk</w:t>
            </w:r>
          </w:p>
        </w:tc>
        <w:tc>
          <w:tcPr/>
          <w:p>
            <w:pPr>
              <w:pStyle w:val="Compact"/>
              <w:jc w:val="left"/>
            </w:pPr>
            <w:r>
              <w:rPr>
                <w:sz w:val="17"/>
              </w:rPr>
              <w:t xml:space="preserve">Control in this repo</w:t>
            </w:r>
          </w:p>
        </w:tc>
        <w:tc>
          <w:tcPr/>
          <w:p>
            <w:pPr>
              <w:pStyle w:val="Compact"/>
              <w:jc w:val="left"/>
            </w:pPr>
            <w:r>
              <w:rPr>
                <w:sz w:val="17"/>
              </w:rPr>
              <w:t xml:space="preserve">Where</w:t>
            </w:r>
          </w:p>
        </w:tc>
      </w:tr>
      <w:tr>
        <w:tc>
          <w:tcPr/>
          <w:p>
            <w:pPr>
              <w:pStyle w:val="Compact"/>
              <w:jc w:val="left"/>
            </w:pPr>
            <w:r>
              <w:rPr>
                <w:sz w:val="17"/>
              </w:rPr>
              <w:t xml:space="preserve">Outcome columns used as inputs</w:t>
            </w:r>
          </w:p>
        </w:tc>
        <w:tc>
          <w:tcPr/>
          <w:p>
            <w:pPr>
              <w:pStyle w:val="Compact"/>
              <w:jc w:val="left"/>
            </w:pPr>
            <w:r>
              <w:rPr>
                <w:rStyle w:val="VerbatimChar"/>
                <w:sz w:val="17"/>
              </w:rPr>
              <w:t xml:space="preserve">assert_no_leakage</w:t>
            </w:r>
            <w:r>
              <w:rPr>
                <w:sz w:val="17"/>
              </w:rPr>
              <w:t xml:space="preserve"> </w:t>
            </w:r>
            <w:r>
              <w:rPr>
                <w:sz w:val="17"/>
              </w:rPr>
              <w:t xml:space="preserve">raises if any of the forbidden columns (</w:t>
            </w:r>
            <w:r>
              <w:rPr>
                <w:rStyle w:val="VerbatimChar"/>
                <w:sz w:val="17"/>
              </w:rPr>
              <w:t xml:space="preserve">true_hp</w:t>
            </w:r>
            <w:r>
              <w:rPr>
                <w:sz w:val="17"/>
              </w:rPr>
              <w:t xml:space="preserve">,</w:t>
            </w:r>
            <w:r>
              <w:rPr>
                <w:sz w:val="17"/>
              </w:rPr>
              <w:t xml:space="preserve"> </w:t>
            </w:r>
            <w:r>
              <w:rPr>
                <w:rStyle w:val="VerbatimChar"/>
                <w:sz w:val="17"/>
              </w:rPr>
              <w:t xml:space="preserve">true_hd</w:t>
            </w:r>
            <w:r>
              <w:rPr>
                <w:sz w:val="17"/>
              </w:rPr>
              <w:t xml:space="preserve">, both targets,</w:t>
            </w:r>
            <w:r>
              <w:rPr>
                <w:sz w:val="17"/>
              </w:rPr>
              <w:t xml:space="preserve"> </w:t>
            </w:r>
            <w:r>
              <w:rPr>
                <w:rStyle w:val="VerbatimChar"/>
                <w:sz w:val="17"/>
              </w:rPr>
              <w:t xml:space="preserve">zb_code</w:t>
            </w:r>
            <w:r>
              <w:rPr>
                <w:sz w:val="17"/>
              </w:rPr>
              <w:t xml:space="preserve">,</w:t>
            </w:r>
            <w:r>
              <w:rPr>
                <w:sz w:val="17"/>
              </w:rPr>
              <w:t xml:space="preserve"> </w:t>
            </w:r>
            <w:r>
              <w:rPr>
                <w:rStyle w:val="VerbatimChar"/>
                <w:sz w:val="17"/>
              </w:rPr>
              <w:t xml:space="preserve">default_flag</w:t>
            </w:r>
            <w:r>
              <w:rPr>
                <w:sz w:val="17"/>
              </w:rPr>
              <w:t xml:space="preserve">,</w:t>
            </w:r>
            <w:r>
              <w:rPr>
                <w:sz w:val="17"/>
              </w:rPr>
              <w:t xml:space="preserve"> </w:t>
            </w:r>
            <w:r>
              <w:rPr>
                <w:rStyle w:val="VerbatimChar"/>
                <w:sz w:val="17"/>
              </w:rPr>
              <w:t xml:space="preserve">prepay_flag</w:t>
            </w:r>
            <w:r>
              <w:rPr>
                <w:sz w:val="17"/>
              </w:rPr>
              <w:t xml:space="preserve">,</w:t>
            </w:r>
            <w:r>
              <w:rPr>
                <w:sz w:val="17"/>
              </w:rPr>
              <w:t xml:space="preserve"> </w:t>
            </w:r>
            <w:r>
              <w:rPr>
                <w:rStyle w:val="VerbatimChar"/>
                <w:sz w:val="17"/>
              </w:rPr>
              <w:t xml:space="preserve">snapshot_date</w:t>
            </w:r>
            <w:r>
              <w:rPr>
                <w:sz w:val="17"/>
              </w:rPr>
              <w:t xml:space="preserve">, prediction columns) appears in a feature list; called in every model fit</w:t>
            </w:r>
          </w:p>
        </w:tc>
        <w:tc>
          <w:tcPr/>
          <w:p>
            <w:pPr>
              <w:pStyle w:val="Compact"/>
              <w:jc w:val="left"/>
            </w:pPr>
            <w:r>
              <w:rPr>
                <w:rStyle w:val="VerbatimChar"/>
                <w:sz w:val="17"/>
              </w:rPr>
              <w:t xml:space="preserve">features.py</w:t>
            </w:r>
            <w:r>
              <w:rPr>
                <w:sz w:val="17"/>
              </w:rPr>
              <w:t xml:space="preserve">,</w:t>
            </w:r>
            <w:r>
              <w:rPr>
                <w:sz w:val="17"/>
              </w:rPr>
              <w:t xml:space="preserve"> </w:t>
            </w:r>
            <w:r>
              <w:rPr>
                <w:rStyle w:val="VerbatimChar"/>
                <w:sz w:val="17"/>
              </w:rPr>
              <w:t xml:space="preserve">models.py</w:t>
            </w:r>
          </w:p>
        </w:tc>
      </w:tr>
      <w:tr>
        <w:tc>
          <w:tcPr/>
          <w:p>
            <w:pPr>
              <w:pStyle w:val="Compact"/>
              <w:jc w:val="left"/>
            </w:pPr>
            <w:r>
              <w:rPr>
                <w:sz w:val="17"/>
              </w:rPr>
              <w:t xml:space="preserve">Features computed with future data</w:t>
            </w:r>
          </w:p>
        </w:tc>
        <w:tc>
          <w:tcPr/>
          <w:p>
            <w:pPr>
              <w:pStyle w:val="Compact"/>
              <w:jc w:val="left"/>
            </w:pPr>
            <w:r>
              <w:rPr>
                <w:sz w:val="17"/>
              </w:rPr>
              <w:t xml:space="preserve">all rolling and lag features are backward only; lags return missing when the history is shorter than 12 months</w:t>
            </w:r>
          </w:p>
        </w:tc>
        <w:tc>
          <w:tcPr/>
          <w:p>
            <w:pPr>
              <w:pStyle w:val="Compact"/>
              <w:jc w:val="left"/>
            </w:pPr>
            <w:r>
              <w:rPr>
                <w:rStyle w:val="VerbatimChar"/>
                <w:sz w:val="17"/>
              </w:rPr>
              <w:t xml:space="preserve">features.add_features</w:t>
            </w:r>
          </w:p>
        </w:tc>
      </w:tr>
      <w:tr>
        <w:tc>
          <w:tcPr/>
          <w:p>
            <w:pPr>
              <w:pStyle w:val="Compact"/>
              <w:jc w:val="left"/>
            </w:pPr>
            <w:r>
              <w:rPr>
                <w:sz w:val="17"/>
              </w:rPr>
              <w:t xml:space="preserve">Prepay features at the outcome month</w:t>
            </w:r>
          </w:p>
        </w:tc>
        <w:tc>
          <w:tcPr/>
          <w:p>
            <w:pPr>
              <w:pStyle w:val="Compact"/>
              <w:jc w:val="left"/>
            </w:pPr>
            <w:r>
              <w:rPr>
                <w:sz w:val="17"/>
              </w:rPr>
              <w:t xml:space="preserve">hazard rows take features from</w:t>
            </w:r>
            <w:r>
              <w:rPr>
                <w:sz w:val="17"/>
              </w:rPr>
              <w:t xml:space="preserve"> </w:t>
            </w:r>
            <m:oMath>
              <m:r>
                <m:t>t</m:t>
              </m:r>
              <m:r>
                <m:rPr>
                  <m:sty m:val="p"/>
                </m:rPr>
                <m:t>−</m:t>
              </m:r>
              <m:r>
                <m:t>1</m:t>
              </m:r>
            </m:oMath>
            <w:r>
              <w:rPr>
                <w:sz w:val="17"/>
              </w:rPr>
              <w:t xml:space="preserve"> </w:t>
            </w:r>
            <w:r>
              <w:rPr>
                <w:sz w:val="17"/>
              </w:rPr>
              <w:t xml:space="preserve">and the label from</w:t>
            </w:r>
            <w:r>
              <w:rPr>
                <w:sz w:val="17"/>
              </w:rPr>
              <w:t xml:space="preserve"> </w:t>
            </w:r>
            <m:oMath>
              <m:r>
                <m:t>t</m:t>
              </m:r>
            </m:oMath>
            <w:r>
              <w:rPr>
                <w:sz w:val="17"/>
              </w:rPr>
              <w:t xml:space="preserve">; only the calendar month is taken from</w:t>
            </w:r>
            <w:r>
              <w:rPr>
                <w:sz w:val="17"/>
              </w:rPr>
              <w:t xml:space="preserve"> </w:t>
            </w:r>
            <m:oMath>
              <m:r>
                <m:t>t</m:t>
              </m:r>
            </m:oMath>
            <w:r>
              <w:rPr>
                <w:sz w:val="17"/>
              </w:rPr>
              <w:t xml:space="preserve"> </w:t>
            </w:r>
            <w:r>
              <w:rPr>
                <w:sz w:val="17"/>
              </w:rPr>
              <w:t xml:space="preserve">because it is known in advance</w:t>
            </w:r>
          </w:p>
        </w:tc>
        <w:tc>
          <w:tcPr/>
          <w:p>
            <w:pPr>
              <w:pStyle w:val="Compact"/>
              <w:jc w:val="left"/>
            </w:pPr>
            <w:r>
              <w:rPr>
                <w:rStyle w:val="VerbatimChar"/>
                <w:sz w:val="17"/>
              </w:rPr>
              <w:t xml:space="preserve">targets.build_hazard_rows</w:t>
            </w:r>
          </w:p>
        </w:tc>
      </w:tr>
      <w:tr>
        <w:tc>
          <w:tcPr/>
          <w:p>
            <w:pPr>
              <w:pStyle w:val="Compact"/>
              <w:jc w:val="left"/>
            </w:pPr>
            <w:r>
              <w:rPr>
                <w:sz w:val="17"/>
              </w:rPr>
              <w:t xml:space="preserve">Label window overlapping the test period</w:t>
            </w:r>
          </w:p>
        </w:tc>
        <w:tc>
          <w:tcPr/>
          <w:p>
            <w:pPr>
              <w:pStyle w:val="Compact"/>
              <w:jc w:val="left"/>
            </w:pPr>
            <w:r>
              <w:rPr>
                <w:sz w:val="17"/>
              </w:rPr>
              <w:t xml:space="preserve">development rows are kept only if their label window ends on or before</w:t>
            </w:r>
            <w:r>
              <w:rPr>
                <w:sz w:val="17"/>
              </w:rPr>
              <w:t xml:space="preserve"> </w:t>
            </w:r>
            <w:r>
              <w:rPr>
                <w:rStyle w:val="VerbatimChar"/>
                <w:sz w:val="17"/>
              </w:rPr>
              <w:t xml:space="preserve">DEV_CUTOFF</w:t>
            </w:r>
            <w:r>
              <w:rPr>
                <w:sz w:val="17"/>
              </w:rPr>
              <w:t xml:space="preserve">; OOT starts afterwards</w:t>
            </w:r>
          </w:p>
        </w:tc>
        <w:tc>
          <w:tcPr/>
          <w:p>
            <w:pPr>
              <w:pStyle w:val="Compact"/>
              <w:jc w:val="left"/>
            </w:pPr>
            <w:r>
              <w:rPr>
                <w:rStyle w:val="VerbatimChar"/>
                <w:sz w:val="17"/>
              </w:rPr>
              <w:t xml:space="preserve">targets.split_by_time</w:t>
            </w:r>
          </w:p>
        </w:tc>
      </w:tr>
      <w:tr>
        <w:tc>
          <w:tcPr/>
          <w:p>
            <w:pPr>
              <w:pStyle w:val="Compact"/>
              <w:jc w:val="left"/>
            </w:pPr>
            <w:r>
              <w:rPr>
                <w:sz w:val="17"/>
              </w:rPr>
              <w:t xml:space="preserve">Snapshot labels truncated by end of data</w:t>
            </w:r>
          </w:p>
        </w:tc>
        <w:tc>
          <w:tcPr/>
          <w:p>
            <w:pPr>
              <w:pStyle w:val="Compact"/>
              <w:jc w:val="left"/>
            </w:pPr>
            <w:r>
              <w:rPr>
                <w:sz w:val="17"/>
              </w:rPr>
              <w:t xml:space="preserve">snapshots later than OBS_END minus 12 months are dropped</w:t>
            </w:r>
          </w:p>
        </w:tc>
        <w:tc>
          <w:tcPr/>
          <w:p>
            <w:pPr>
              <w:pStyle w:val="Compact"/>
              <w:jc w:val="left"/>
            </w:pPr>
            <w:r>
              <w:rPr>
                <w:rStyle w:val="VerbatimChar"/>
                <w:sz w:val="17"/>
              </w:rPr>
              <w:t xml:space="preserve">targets.build_snapshots</w:t>
            </w:r>
          </w:p>
        </w:tc>
      </w:tr>
      <w:tr>
        <w:tc>
          <w:tcPr/>
          <w:p>
            <w:pPr>
              <w:pStyle w:val="Compact"/>
              <w:jc w:val="left"/>
            </w:pPr>
            <w:r>
              <w:rPr>
                <w:sz w:val="17"/>
              </w:rPr>
              <w:t xml:space="preserve">Pre-processing fit on the wrong data</w:t>
            </w:r>
          </w:p>
        </w:tc>
        <w:tc>
          <w:tcPr/>
          <w:p>
            <w:pPr>
              <w:pStyle w:val="Compact"/>
              <w:jc w:val="left"/>
            </w:pPr>
            <w:r>
              <w:rPr>
                <w:sz w:val="17"/>
              </w:rPr>
              <w:t xml:space="preserve">WoE bins, the categorical encoder, and hyperparameters are learned on the training window only</w:t>
            </w:r>
          </w:p>
        </w:tc>
        <w:tc>
          <w:tcPr/>
          <w:p>
            <w:pPr>
              <w:pStyle w:val="Compact"/>
              <w:jc w:val="left"/>
            </w:pPr>
            <w:r>
              <w:rPr>
                <w:rStyle w:val="VerbatimChar"/>
                <w:sz w:val="17"/>
              </w:rPr>
              <w:t xml:space="preserve">scorecard.fit_bins</w:t>
            </w:r>
            <w:r>
              <w:rPr>
                <w:sz w:val="17"/>
              </w:rPr>
              <w:t xml:space="preserve">,</w:t>
            </w:r>
            <w:r>
              <w:rPr>
                <w:sz w:val="17"/>
              </w:rPr>
              <w:t xml:space="preserve"> </w:t>
            </w:r>
            <w:r>
              <w:rPr>
                <w:rStyle w:val="VerbatimChar"/>
                <w:sz w:val="17"/>
              </w:rPr>
              <w:t xml:space="preserve">models.Encoder.fit</w:t>
            </w:r>
            <w:r>
              <w:rPr>
                <w:sz w:val="17"/>
              </w:rPr>
              <w:t xml:space="preserve">,</w:t>
            </w:r>
            <w:r>
              <w:rPr>
                <w:sz w:val="17"/>
              </w:rPr>
              <w:t xml:space="preserve"> </w:t>
            </w:r>
            <w:r>
              <w:rPr>
                <w:rStyle w:val="VerbatimChar"/>
                <w:sz w:val="17"/>
              </w:rPr>
              <w:t xml:space="preserve">models.tune_time_cv</w:t>
            </w:r>
          </w:p>
        </w:tc>
      </w:tr>
      <w:tr>
        <w:tc>
          <w:tcPr/>
          <w:p>
            <w:pPr>
              <w:pStyle w:val="Compact"/>
              <w:jc w:val="left"/>
            </w:pPr>
            <w:r>
              <w:rPr>
                <w:sz w:val="17"/>
              </w:rPr>
              <w:t xml:space="preserve">Calibrating on training data</w:t>
            </w:r>
          </w:p>
        </w:tc>
        <w:tc>
          <w:tcPr/>
          <w:p>
            <w:pPr>
              <w:pStyle w:val="Compact"/>
              <w:jc w:val="left"/>
            </w:pPr>
            <w:r>
              <w:rPr>
                <w:sz w:val="17"/>
              </w:rPr>
              <w:t xml:space="preserve">probability calibration is fitted on a separate window after training</w:t>
            </w:r>
          </w:p>
        </w:tc>
        <w:tc>
          <w:tcPr/>
          <w:p>
            <w:pPr>
              <w:pStyle w:val="Compact"/>
              <w:jc w:val="left"/>
            </w:pPr>
            <w:r>
              <w:rPr>
                <w:rStyle w:val="VerbatimChar"/>
                <w:sz w:val="17"/>
              </w:rPr>
              <w:t xml:space="preserve">models.calibrate</w:t>
            </w:r>
          </w:p>
        </w:tc>
      </w:tr>
      <w:tr>
        <w:tc>
          <w:tcPr/>
          <w:p>
            <w:pPr>
              <w:pStyle w:val="Compact"/>
              <w:jc w:val="left"/>
            </w:pPr>
            <w:r>
              <w:rPr>
                <w:sz w:val="17"/>
              </w:rPr>
              <w:t xml:space="preserve">Random cross-validation across time</w:t>
            </w:r>
          </w:p>
        </w:tc>
        <w:tc>
          <w:tcPr/>
          <w:p>
            <w:pPr>
              <w:pStyle w:val="Compact"/>
              <w:jc w:val="left"/>
            </w:pPr>
            <w:r>
              <w:rPr>
                <w:sz w:val="17"/>
              </w:rPr>
              <w:t xml:space="preserve">tuning folds are expanding-window with a gap of 12 months (PD) or 1 month (prepay) between training and validation</w:t>
            </w:r>
          </w:p>
        </w:tc>
        <w:tc>
          <w:tcPr/>
          <w:p>
            <w:pPr>
              <w:pStyle w:val="Compact"/>
              <w:jc w:val="left"/>
            </w:pPr>
            <w:r>
              <w:rPr>
                <w:rStyle w:val="VerbatimChar"/>
                <w:sz w:val="17"/>
              </w:rPr>
              <w:t xml:space="preserve">models._fold_masks</w:t>
            </w:r>
          </w:p>
        </w:tc>
      </w:tr>
      <w:tr>
        <w:tc>
          <w:tcPr/>
          <w:p>
            <w:pPr>
              <w:pStyle w:val="Compact"/>
              <w:jc w:val="left"/>
            </w:pPr>
            <w:r>
              <w:rPr>
                <w:sz w:val="17"/>
              </w:rPr>
              <w:t xml:space="preserve">Same loan counted as independent</w:t>
            </w:r>
          </w:p>
        </w:tc>
        <w:tc>
          <w:tcPr/>
          <w:p>
            <w:pPr>
              <w:pStyle w:val="Compact"/>
              <w:jc w:val="left"/>
            </w:pPr>
            <w:r>
              <w:rPr>
                <w:sz w:val="17"/>
              </w:rPr>
              <w:t xml:space="preserve">the AUC bootstrap resamples whole loans</w:t>
            </w:r>
          </w:p>
        </w:tc>
        <w:tc>
          <w:tcPr/>
          <w:p>
            <w:pPr>
              <w:pStyle w:val="Compact"/>
              <w:jc w:val="left"/>
            </w:pPr>
            <w:r>
              <w:rPr>
                <w:rStyle w:val="VerbatimChar"/>
                <w:sz w:val="17"/>
              </w:rPr>
              <w:t xml:space="preserve">evaluation.bootstrap_ci</w:t>
            </w:r>
          </w:p>
        </w:tc>
      </w:tr>
      <w:tr>
        <w:tc>
          <w:tcPr/>
          <w:p>
            <w:pPr>
              <w:pStyle w:val="Compact"/>
              <w:jc w:val="left"/>
            </w:pPr>
            <w:r>
              <w:rPr>
                <w:sz w:val="17"/>
              </w:rPr>
              <w:t xml:space="preserve">Post-default rows</w:t>
            </w:r>
          </w:p>
        </w:tc>
        <w:tc>
          <w:tcPr/>
          <w:p>
            <w:pPr>
              <w:pStyle w:val="Compact"/>
              <w:jc w:val="left"/>
            </w:pPr>
            <w:r>
              <w:rPr>
                <w:sz w:val="17"/>
              </w:rPr>
              <w:t xml:space="preserve">the simulator and the Freddie loader both stop a loan at its first default event</w:t>
            </w:r>
          </w:p>
        </w:tc>
        <w:tc>
          <w:tcPr/>
          <w:p>
            <w:pPr>
              <w:pStyle w:val="Compact"/>
              <w:jc w:val="left"/>
            </w:pPr>
            <w:r>
              <w:rPr>
                <w:rStyle w:val="VerbatimChar"/>
                <w:sz w:val="17"/>
              </w:rPr>
              <w:t xml:space="preserve">synthetic.py</w:t>
            </w:r>
            <w:r>
              <w:rPr>
                <w:sz w:val="17"/>
              </w:rPr>
              <w:t xml:space="preserve">,</w:t>
            </w:r>
            <w:r>
              <w:rPr>
                <w:sz w:val="17"/>
              </w:rPr>
              <w:t xml:space="preserve"> </w:t>
            </w:r>
            <w:r>
              <w:rPr>
                <w:rStyle w:val="VerbatimChar"/>
                <w:sz w:val="17"/>
              </w:rPr>
              <w:t xml:space="preserve">freddie.py</w:t>
            </w:r>
          </w:p>
        </w:tc>
      </w:tr>
    </w:tbl>
    <w:p>
      <w:pPr>
        <w:pStyle w:val="BodyText"/>
      </w:pPr>
      <w:r>
        <w:t xml:space="preserve">One residual point deserves honesty: the</w:t>
      </w:r>
      <w:r>
        <w:t xml:space="preserve"> </w:t>
      </w:r>
      <w:r>
        <w:rPr>
          <w:b/>
          <w:bCs/>
        </w:rPr>
        <w:t xml:space="preserve">macro</w:t>
      </w:r>
      <w:r>
        <w:t xml:space="preserve"> </w:t>
      </w:r>
      <w:r>
        <w:t xml:space="preserve">features at the snapshot date are the actual realized macro values at that date, which is correct for scoring today's loans but means the projections in section 10 must supply a macro path, which they do (shocked, deterministic).</w:t>
      </w:r>
    </w:p>
    <w:bookmarkEnd w:id="39"/>
    <w:bookmarkEnd w:id="40"/>
    <w:bookmarkStart w:id="53" w:name="methodology-theory"/>
    <w:p>
      <w:pPr>
        <w:pStyle w:val="Heading1"/>
      </w:pPr>
      <w:r>
        <w:rPr>
          <w:rStyle w:val="SectionNumber"/>
        </w:rPr>
        <w:t xml:space="preserve">7</w:t>
      </w:r>
      <w:r>
        <w:tab/>
      </w:r>
      <w:r>
        <w:t xml:space="preserve">Methodology theory</w:t>
      </w:r>
    </w:p>
    <w:p>
      <w:pPr>
        <w:pStyle w:val="FirstParagraph"/>
      </w:pPr>
      <w:r>
        <w:t xml:space="preserve">This section teaches the methods in the order they are used. Each subsection gives the intuition, then the maths, then the implementation, and where useful a worked example.</w:t>
      </w:r>
    </w:p>
    <w:bookmarkStart w:id="41" w:name="logistic-regression"/>
    <w:p>
      <w:pPr>
        <w:pStyle w:val="Heading2"/>
      </w:pPr>
      <w:r>
        <w:rPr>
          <w:rStyle w:val="SectionNumber"/>
        </w:rPr>
        <w:t xml:space="preserve">7.1</w:t>
      </w:r>
      <w:r>
        <w:tab/>
      </w:r>
      <w:r>
        <w:t xml:space="preserve">Logistic regression</w:t>
      </w:r>
    </w:p>
    <w:p>
      <w:pPr>
        <w:pStyle w:val="FirstParagraph"/>
      </w:pPr>
      <w:r>
        <w:rPr>
          <w:i/>
          <w:iCs/>
        </w:rPr>
        <w:t xml:space="preserve">Intuition.</w:t>
      </w:r>
      <w:r>
        <w:t xml:space="preserve"> </w:t>
      </w:r>
      <w:r>
        <w:t xml:space="preserve">We want a probability between 0 and 1 from a weighted sum of inputs. A straight line can leave that range, so the sum is passed through the logistic function.</w:t>
      </w:r>
    </w:p>
    <w:p>
      <w:pPr>
        <w:pStyle w:val="BodyText"/>
      </w:pPr>
      <w:r>
        <w:rPr>
          <w:i/>
          <w:iCs/>
        </w:rPr>
        <w:t xml:space="preserve">Maths.</w:t>
      </w:r>
      <w:r>
        <w:t xml:space="preserve"> </w:t>
      </w:r>
      <w:r>
        <w:t xml:space="preserve">For features</w:t>
      </w:r>
      <w:r>
        <w:t xml:space="preserve"> </w:t>
      </w:r>
      <m:oMath>
        <m:r>
          <m:t>x</m:t>
        </m:r>
      </m:oMath>
      <w:r>
        <w:t xml:space="preserve"> </w:t>
      </w:r>
      <w:r>
        <w:t xml:space="preserve">and a binary outcome</w:t>
      </w:r>
      <w:r>
        <w:t xml:space="preserve"> </w:t>
      </w:r>
      <m:oMath>
        <m:r>
          <m:t>y</m:t>
        </m:r>
      </m:oMath>
      <w:r>
        <w:t xml:space="preserve">,</w:t>
      </w:r>
    </w:p>
    <w:p>
      <w:pPr>
        <w:pStyle w:val="BodyText"/>
      </w:pPr>
      <m:oMathPara>
        <m:oMathParaPr>
          <m:jc m:val="center"/>
        </m:oMathParaPr>
        <m:oMath>
          <m:r>
            <m:t>P</m:t>
          </m:r>
          <m:r>
            <m:rPr>
              <m:sty m:val="p"/>
            </m:rPr>
            <m:t>(</m:t>
          </m:r>
          <m:r>
            <m:t>y</m:t>
          </m:r>
          <m:r>
            <m:rPr>
              <m:sty m:val="p"/>
            </m:rPr>
            <m:t>=</m:t>
          </m:r>
          <m:r>
            <m:t>1</m:t>
          </m:r>
          <m:r>
            <m:rPr>
              <m:sty m:val="p"/>
            </m:rPr>
            <m:t>∣</m:t>
          </m:r>
          <m:r>
            <m:t>x</m:t>
          </m:r>
          <m:r>
            <m:rPr>
              <m:sty m:val="p"/>
            </m:rPr>
            <m:t>)</m:t>
          </m:r>
          <m:r>
            <m:rPr>
              <m:sty m:val="p"/>
            </m:rPr>
            <m:t>=</m:t>
          </m:r>
          <m:r>
            <m:t>σ</m:t>
          </m:r>
          <m:r>
            <m:rPr>
              <m:sty m:val="p"/>
            </m:rPr>
            <m:t>(</m:t>
          </m:r>
          <m:sSub>
            <m:e>
              <m:r>
                <m:t>β</m:t>
              </m:r>
            </m:e>
            <m:sub>
              <m:r>
                <m:t>0</m:t>
              </m:r>
            </m:sub>
          </m:sSub>
          <m:r>
            <m:rPr>
              <m:sty m:val="p"/>
            </m:rPr>
            <m:t>+</m:t>
          </m:r>
          <m:sSup>
            <m:e>
              <m:r>
                <m:t>β</m:t>
              </m:r>
            </m:e>
            <m:sup>
              <m:r>
                <m:rPr>
                  <m:sty m:val="p"/>
                </m:rPr>
                <m:t>⊤</m:t>
              </m:r>
            </m:sup>
          </m:sSup>
          <m:r>
            <m:t>x</m:t>
          </m:r>
          <m:r>
            <m:rPr>
              <m:sty m:val="p"/>
            </m:rPr>
            <m:t>)</m:t>
          </m:r>
          <m:r>
            <m:rPr>
              <m:sty m:val="p"/>
            </m:rPr>
            <m:t>=</m:t>
          </m:r>
          <m:f>
            <m:fPr>
              <m:type m:val="bar"/>
            </m:fPr>
            <m:num>
              <m:r>
                <m:t>1</m:t>
              </m:r>
            </m:num>
            <m:den>
              <m:r>
                <m:t>1</m:t>
              </m:r>
              <m:r>
                <m:rPr>
                  <m:sty m:val="p"/>
                </m:rPr>
                <m:t>+</m:t>
              </m:r>
              <m:sSup>
                <m:e>
                  <m:r>
                    <m:t>e</m:t>
                  </m:r>
                </m:e>
                <m:sup>
                  <m:r>
                    <m:rPr>
                      <m:sty m:val="p"/>
                    </m:rPr>
                    <m:t>−</m:t>
                  </m:r>
                  <m:r>
                    <m:rPr>
                      <m:sty m:val="p"/>
                    </m:rPr>
                    <m:t>(</m:t>
                  </m:r>
                  <m:sSub>
                    <m:e>
                      <m:r>
                        <m:t>β</m:t>
                      </m:r>
                    </m:e>
                    <m:sub>
                      <m:r>
                        <m:t>0</m:t>
                      </m:r>
                    </m:sub>
                  </m:sSub>
                  <m:r>
                    <m:rPr>
                      <m:sty m:val="p"/>
                    </m:rPr>
                    <m:t>+</m:t>
                  </m:r>
                  <m:sSup>
                    <m:e>
                      <m:r>
                        <m:t>β</m:t>
                      </m:r>
                    </m:e>
                    <m:sup>
                      <m:r>
                        <m:rPr>
                          <m:sty m:val="p"/>
                        </m:rPr>
                        <m:t>⊤</m:t>
                      </m:r>
                    </m:sup>
                  </m:sSup>
                  <m:r>
                    <m:t>x</m:t>
                  </m:r>
                  <m:r>
                    <m:rPr>
                      <m:sty m:val="p"/>
                    </m:rPr>
                    <m:t>)</m:t>
                  </m:r>
                </m:sup>
              </m:sSup>
            </m:den>
          </m:f>
          <m:r>
            <m:rPr>
              <m:sty m:val="p"/>
            </m:rPr>
            <m:t>,</m:t>
          </m:r>
          <m:r>
            <m:t>  </m:t>
          </m:r>
          <m:r>
            <m:rPr>
              <m:sty m:val="p"/>
            </m:rPr>
            <m:t>ln</m:t>
          </m:r>
          <m:f>
            <m:fPr>
              <m:type m:val="bar"/>
            </m:fPr>
            <m:num>
              <m:r>
                <m:t>p</m:t>
              </m:r>
            </m:num>
            <m:den>
              <m:r>
                <m:t>1</m:t>
              </m:r>
              <m:r>
                <m:rPr>
                  <m:sty m:val="p"/>
                </m:rPr>
                <m:t>−</m:t>
              </m:r>
              <m:r>
                <m:t>p</m:t>
              </m:r>
            </m:den>
          </m:f>
          <m:r>
            <m:rPr>
              <m:sty m:val="p"/>
            </m:rPr>
            <m:t>=</m:t>
          </m:r>
          <m:sSub>
            <m:e>
              <m:r>
                <m:t>β</m:t>
              </m:r>
            </m:e>
            <m:sub>
              <m:r>
                <m:t>0</m:t>
              </m:r>
            </m:sub>
          </m:sSub>
          <m:r>
            <m:rPr>
              <m:sty m:val="p"/>
            </m:rPr>
            <m:t>+</m:t>
          </m:r>
          <m:sSup>
            <m:e>
              <m:r>
                <m:t>β</m:t>
              </m:r>
            </m:e>
            <m:sup>
              <m:r>
                <m:rPr>
                  <m:sty m:val="p"/>
                </m:rPr>
                <m:t>⊤</m:t>
              </m:r>
            </m:sup>
          </m:sSup>
          <m:r>
            <m:t>x</m:t>
          </m:r>
          <m:r>
            <m:rPr>
              <m:sty m:val="p"/>
            </m:rPr>
            <m:t>.</m:t>
          </m:r>
        </m:oMath>
      </m:oMathPara>
    </w:p>
    <w:p>
      <w:pPr>
        <w:pStyle w:val="FirstParagraph"/>
      </w:pPr>
      <w:r>
        <w:t xml:space="preserve">The left-hand log of the odds is the</w:t>
      </w:r>
      <w:r>
        <w:t xml:space="preserve"> </w:t>
      </w:r>
      <w:r>
        <w:rPr>
          <w:b/>
          <w:bCs/>
        </w:rPr>
        <w:t xml:space="preserve">log-odds</w:t>
      </w:r>
      <w:r>
        <w:t xml:space="preserve"> </w:t>
      </w:r>
      <w:r>
        <w:t xml:space="preserve">(logit). A coefficient</w:t>
      </w:r>
      <w:r>
        <w:t xml:space="preserve"> </w:t>
      </w:r>
      <m:oMath>
        <m:sSub>
          <m:e>
            <m:r>
              <m:t>β</m:t>
            </m:r>
          </m:e>
          <m:sub>
            <m:r>
              <m:t>j</m:t>
            </m:r>
          </m:sub>
        </m:sSub>
      </m:oMath>
      <w:r>
        <w:t xml:space="preserve"> </w:t>
      </w:r>
      <w:r>
        <w:t xml:space="preserve">means that a one-unit rise in</w:t>
      </w:r>
      <w:r>
        <w:t xml:space="preserve"> </w:t>
      </w:r>
      <m:oMath>
        <m:sSub>
          <m:e>
            <m:r>
              <m:t>x</m:t>
            </m:r>
          </m:e>
          <m:sub>
            <m:r>
              <m:t>j</m:t>
            </m:r>
          </m:sub>
        </m:sSub>
      </m:oMath>
      <w:r>
        <w:t xml:space="preserve"> </w:t>
      </w:r>
      <w:r>
        <w:t xml:space="preserve">multiplies the odds by</w:t>
      </w:r>
      <w:r>
        <w:t xml:space="preserve"> </w:t>
      </w:r>
      <m:oMath>
        <m:sSup>
          <m:e>
            <m:r>
              <m:t>e</m:t>
            </m:r>
          </m:e>
          <m:sup>
            <m:sSub>
              <m:e>
                <m:r>
                  <m:t>β</m:t>
                </m:r>
              </m:e>
              <m:sub>
                <m:r>
                  <m:t>j</m:t>
                </m:r>
              </m:sub>
            </m:sSub>
          </m:sup>
        </m:sSup>
      </m:oMath>
      <w:r>
        <w:t xml:space="preserve">. Coefficients are estimated by maximum likelihood, maximizing</w:t>
      </w:r>
      <w:r>
        <w:t xml:space="preserve"> </w:t>
      </w:r>
      <m:oMath>
        <m:nary>
          <m:naryPr>
            <m:chr m:val="∑"/>
            <m:limLoc m:val="undOvr"/>
            <m:subHide m:val="off"/>
            <m:supHide m:val="on"/>
          </m:naryPr>
          <m:sub>
            <m:r>
              <m:t>i</m:t>
            </m:r>
          </m:sub>
          <m:sup>
            <m:r>
              <m:t>​</m:t>
            </m:r>
          </m:sup>
          <m:e>
            <m:r>
              <m:rPr>
                <m:sty m:val="p"/>
              </m:rPr>
              <m:t>[</m:t>
            </m:r>
          </m:e>
        </m:nary>
        <m:sSub>
          <m:e>
            <m:r>
              <m:t>y</m:t>
            </m:r>
          </m:e>
          <m:sub>
            <m:r>
              <m:t>i</m:t>
            </m:r>
          </m:sub>
        </m:sSub>
        <m:r>
          <m:rPr>
            <m:sty m:val="p"/>
          </m:rPr>
          <m:t>ln</m:t>
        </m:r>
        <m:sSub>
          <m:e>
            <m:r>
              <m:t>p</m:t>
            </m:r>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r>
              <m:t>p</m:t>
            </m:r>
          </m:e>
          <m:sub>
            <m:r>
              <m:t>i</m:t>
            </m:r>
          </m:sub>
        </m:sSub>
        <m:r>
          <m:rPr>
            <m:sty m:val="p"/>
          </m:rPr>
          <m:t>)</m:t>
        </m:r>
        <m:r>
          <m:rPr>
            <m:sty m:val="p"/>
          </m:rPr>
          <m:t>]</m:t>
        </m:r>
      </m:oMath>
      <w:r>
        <w:t xml:space="preserve">.</w:t>
      </w:r>
    </w:p>
    <w:p>
      <w:pPr>
        <w:pStyle w:val="BodyText"/>
      </w:pPr>
      <w:r>
        <w:rPr>
          <w:i/>
          <w:iCs/>
        </w:rPr>
        <w:t xml:space="preserve">Implementation.</w:t>
      </w:r>
      <w:r>
        <w:t xml:space="preserve"> </w:t>
      </w:r>
      <w:r>
        <w:rPr>
          <w:rStyle w:val="VerbatimChar"/>
        </w:rPr>
        <w:t xml:space="preserve">statsmodels.api.Logit</w:t>
      </w:r>
      <w:r>
        <w:t xml:space="preserve"> </w:t>
      </w:r>
      <w:r>
        <w:t xml:space="preserve">is used for the scorecard (</w:t>
      </w:r>
      <w:r>
        <w:rPr>
          <w:rStyle w:val="VerbatimChar"/>
        </w:rPr>
        <w:t xml:space="preserve">scorecard.fit_scorecard</w:t>
      </w:r>
      <w:r>
        <w:t xml:space="preserve">) and for the prepayment hinge model (</w:t>
      </w:r>
      <w:r>
        <w:rPr>
          <w:rStyle w:val="VerbatimChar"/>
        </w:rPr>
        <w:t xml:space="preserve">models.fit_logit_prepay</w:t>
      </w:r>
      <w:r>
        <w:t xml:space="preserve">), because statsmodels reports the coefficient table needed by validators and by the Excel workbook.</w:t>
      </w:r>
    </w:p>
    <w:bookmarkEnd w:id="41"/>
    <w:bookmarkStart w:id="42" w:name="weight-of-evidence-and-information-value"/>
    <w:p>
      <w:pPr>
        <w:pStyle w:val="Heading2"/>
      </w:pPr>
      <w:r>
        <w:rPr>
          <w:rStyle w:val="SectionNumber"/>
        </w:rPr>
        <w:t xml:space="preserve">7.2</w:t>
      </w:r>
      <w:r>
        <w:tab/>
      </w:r>
      <w:r>
        <w:t xml:space="preserve">Weight of evidence and information value</w:t>
      </w:r>
    </w:p>
    <w:p>
      <w:pPr>
        <w:pStyle w:val="FirstParagraph"/>
      </w:pPr>
      <w:r>
        <w:rPr>
          <w:i/>
          <w:iCs/>
        </w:rPr>
        <w:t xml:space="preserve">Intuition.</w:t>
      </w:r>
      <w:r>
        <w:t xml:space="preserve"> </w:t>
      </w:r>
      <w:r>
        <w:t xml:space="preserve">Credit models group a continuous variable such as FICO into bands and give each band a score. The natural score for a band is how much more "good" than "bad" it contains, compared with the portfolio.</w:t>
      </w:r>
    </w:p>
    <w:p>
      <w:pPr>
        <w:pStyle w:val="BodyText"/>
      </w:pPr>
      <w:r>
        <w:rPr>
          <w:i/>
          <w:iCs/>
        </w:rPr>
        <w:t xml:space="preserve">Maths.</w:t>
      </w:r>
      <w:r>
        <w:t xml:space="preserve"> </w:t>
      </w:r>
      <w:r>
        <w:t xml:space="preserve">For a bin</w:t>
      </w:r>
      <w:r>
        <w:t xml:space="preserve"> </w:t>
      </w:r>
      <m:oMath>
        <m:r>
          <m:t>k</m:t>
        </m:r>
      </m:oMath>
      <w:r>
        <w:t xml:space="preserve"> </w:t>
      </w:r>
      <w:r>
        <w:t xml:space="preserve">with</w:t>
      </w:r>
      <w:r>
        <w:t xml:space="preserve"> </w:t>
      </w:r>
      <m:oMath>
        <m:sSub>
          <m:e>
            <m:r>
              <m:t>g</m:t>
            </m:r>
          </m:e>
          <m:sub>
            <m:r>
              <m:t>k</m:t>
            </m:r>
          </m:sub>
        </m:sSub>
      </m:oMath>
      <w:r>
        <w:t xml:space="preserve"> </w:t>
      </w:r>
      <w:r>
        <w:t xml:space="preserve">good loans and</w:t>
      </w:r>
      <w:r>
        <w:t xml:space="preserve"> </w:t>
      </w:r>
      <m:oMath>
        <m:sSub>
          <m:e>
            <m:r>
              <m:t>b</m:t>
            </m:r>
          </m:e>
          <m:sub>
            <m:r>
              <m:t>k</m:t>
            </m:r>
          </m:sub>
        </m:sSub>
      </m:oMath>
      <w:r>
        <w:t xml:space="preserve"> </w:t>
      </w:r>
      <w:r>
        <w:t xml:space="preserve">bad loans out of totals</w:t>
      </w:r>
      <w:r>
        <w:t xml:space="preserve"> </w:t>
      </w:r>
      <m:oMath>
        <m:r>
          <m:t>G</m:t>
        </m:r>
      </m:oMath>
      <w:r>
        <w:t xml:space="preserve"> </w:t>
      </w:r>
      <w:r>
        <w:t xml:space="preserve">and</w:t>
      </w:r>
      <w:r>
        <w:t xml:space="preserve"> </w:t>
      </w:r>
      <m:oMath>
        <m:r>
          <m:t>B</m:t>
        </m:r>
      </m:oMath>
      <w:r>
        <w:t xml:space="preserve">,</w:t>
      </w:r>
    </w:p>
    <w:p>
      <w:pPr>
        <w:pStyle w:val="BodyText"/>
      </w:pPr>
      <m:oMathPara>
        <m:oMathParaPr>
          <m:jc m:val="center"/>
        </m:oMathParaPr>
        <m:oMath>
          <m:sSub>
            <m:e>
              <m:r>
                <m:rPr>
                  <m:nor/>
                  <m:sty m:val="p"/>
                </m:rPr>
                <m:t>WoE</m:t>
              </m:r>
            </m:e>
            <m:sub>
              <m:r>
                <m:t>k</m:t>
              </m:r>
            </m:sub>
          </m:sSub>
          <m:r>
            <m:rPr>
              <m:sty m:val="p"/>
            </m:rPr>
            <m:t>=</m:t>
          </m:r>
          <m:r>
            <m:rPr>
              <m:sty m:val="p"/>
            </m:rPr>
            <m:t>ln</m:t>
          </m:r>
          <m:f>
            <m:fPr>
              <m:type m:val="bar"/>
            </m:fPr>
            <m:num>
              <m:sSub>
                <m:e>
                  <m:r>
                    <m:t>g</m:t>
                  </m:r>
                </m:e>
                <m:sub>
                  <m:r>
                    <m:t>k</m:t>
                  </m:r>
                </m:sub>
              </m:sSub>
              <m:r>
                <m:rPr>
                  <m:sty m:val="p"/>
                </m:rPr>
                <m:t>/</m:t>
              </m:r>
              <m:r>
                <m:t>G</m:t>
              </m:r>
            </m:num>
            <m:den>
              <m:sSub>
                <m:e>
                  <m:r>
                    <m:t>b</m:t>
                  </m:r>
                </m:e>
                <m:sub>
                  <m:r>
                    <m:t>k</m:t>
                  </m:r>
                </m:sub>
              </m:sSub>
              <m:r>
                <m:rPr>
                  <m:sty m:val="p"/>
                </m:rPr>
                <m:t>/</m:t>
              </m:r>
              <m:r>
                <m:t>B</m:t>
              </m:r>
            </m:den>
          </m:f>
          <m:r>
            <m:rPr>
              <m:sty m:val="p"/>
            </m:rPr>
            <m:t>,</m:t>
          </m:r>
          <m:r>
            <m:t>  </m:t>
          </m:r>
          <m:r>
            <m:rPr>
              <m:nor/>
              <m:sty m:val="p"/>
            </m:rPr>
            <m:t>IV</m:t>
          </m:r>
          <m:r>
            <m:rPr>
              <m:sty m:val="p"/>
            </m:rPr>
            <m:t>=</m:t>
          </m:r>
          <m:nary>
            <m:naryPr>
              <m:chr m:val="∑"/>
              <m:limLoc m:val="undOvr"/>
              <m:subHide m:val="off"/>
              <m:supHide m:val="on"/>
            </m:naryPr>
            <m:sub>
              <m:r>
                <m:t>k</m:t>
              </m:r>
            </m:sub>
            <m:sup>
              <m:r>
                <m:t>​</m:t>
              </m:r>
            </m:sup>
            <m:e>
              <m:d>
                <m:dPr>
                  <m:begChr m:val="("/>
                  <m:sepChr m:val=""/>
                  <m:endChr m:val=")"/>
                  <m:grow/>
                </m:dPr>
                <m:e>
                  <m:f>
                    <m:fPr>
                      <m:type m:val="bar"/>
                    </m:fPr>
                    <m:num>
                      <m:sSub>
                        <m:e>
                          <m:r>
                            <m:t>g</m:t>
                          </m:r>
                        </m:e>
                        <m:sub>
                          <m:r>
                            <m:t>k</m:t>
                          </m:r>
                        </m:sub>
                      </m:sSub>
                    </m:num>
                    <m:den>
                      <m:r>
                        <m:t>G</m:t>
                      </m:r>
                    </m:den>
                  </m:f>
                  <m:r>
                    <m:rPr>
                      <m:sty m:val="p"/>
                    </m:rPr>
                    <m:t>−</m:t>
                  </m:r>
                  <m:f>
                    <m:fPr>
                      <m:type m:val="bar"/>
                    </m:fPr>
                    <m:num>
                      <m:sSub>
                        <m:e>
                          <m:r>
                            <m:t>b</m:t>
                          </m:r>
                        </m:e>
                        <m:sub>
                          <m:r>
                            <m:t>k</m:t>
                          </m:r>
                        </m:sub>
                      </m:sSub>
                    </m:num>
                    <m:den>
                      <m:r>
                        <m:t>B</m:t>
                      </m:r>
                    </m:den>
                  </m:f>
                </m:e>
              </m:d>
            </m:e>
          </m:nary>
          <m:sSub>
            <m:e>
              <m:r>
                <m:rPr>
                  <m:nor/>
                  <m:sty m:val="p"/>
                </m:rPr>
                <m:t>WoE</m:t>
              </m:r>
            </m:e>
            <m:sub>
              <m:r>
                <m:t>k</m:t>
              </m:r>
            </m:sub>
          </m:sSub>
          <m:r>
            <m:rPr>
              <m:sty m:val="p"/>
            </m:rPr>
            <m:t>.</m:t>
          </m:r>
        </m:oMath>
      </m:oMathPara>
    </w:p>
    <w:p>
      <w:pPr>
        <w:pStyle w:val="FirstParagraph"/>
      </w:pPr>
      <w:r>
        <w:t xml:space="preserve">Positive WoE means safer than average. IV measures how well the whole variable separates good from bad; the common rule of thumb is below 0.02 not useful, 0.02 to 0.1 weak, 0.1 to 0.3 medium, 0.3 to 0.5 strong, and above 0.5 suspiciously strong (Siddiqi 2006).</w:t>
      </w:r>
    </w:p>
    <w:p>
      <w:pPr>
        <w:pStyle w:val="BodyText"/>
      </w:pPr>
      <w:r>
        <w:rPr>
          <w:i/>
          <w:iCs/>
        </w:rPr>
        <w:t xml:space="preserve">Worked example.</w:t>
      </w:r>
      <w:r>
        <w:t xml:space="preserve"> </w:t>
      </w:r>
      <w:r>
        <w:t xml:space="preserve">Three FICO bins with 10,000 good loans and 200 defaults in total:</w:t>
      </w:r>
    </w:p>
    <w:p>
      <w:pPr>
        <w:pStyle w:val="TableCaption"/>
      </w:pPr>
      <w:r>
        <w:t xml:space="preserve">WoE and IV on a three-bin toy example. Total IV = 0.404.</w:t>
      </w:r>
    </w:p>
    <w:tbl>
      <w:tblPr>
        <w:tblStyle w:val="Table"/>
        <w:tblW w:type="pct" w:w="5000"/>
        <w:tblLayout w:type="fixed"/>
        <w:tblLook w:firstRow="1" w:lastRow="0" w:firstColumn="0" w:lastColumn="0" w:noHBand="0" w:noVBand="0" w:val="0020"/>
        <w:tblCaption w:val="WoE and IV on a three-bin toy example. Total IV = 0.404."/>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63"/>
        <w:gridCol w:w="1182"/>
        <w:gridCol w:w="945"/>
        <w:gridCol w:w="1182"/>
        <w:gridCol w:w="1063"/>
        <w:gridCol w:w="709"/>
        <w:gridCol w:w="1773"/>
      </w:tblGrid>
      <w:tr>
        <w:trPr>
          <w:tblHeader w:val="on"/>
        </w:trPr>
        <w:tc>
          <w:tcPr/>
          <w:p>
            <w:pPr>
              <w:pStyle w:val="Compact"/>
              <w:jc w:val="left"/>
            </w:pPr>
            <w:r>
              <w:rPr>
                <w:sz w:val="17"/>
              </w:rPr>
              <w:t xml:space="preserve">Bin</w:t>
            </w:r>
          </w:p>
        </w:tc>
        <w:tc>
          <w:tcPr/>
          <w:p>
            <w:pPr>
              <w:pStyle w:val="Compact"/>
              <w:jc w:val="right"/>
            </w:pPr>
            <w:r>
              <w:rPr>
                <w:sz w:val="17"/>
              </w:rPr>
              <w:t xml:space="preserve">Good loans</w:t>
            </w:r>
          </w:p>
        </w:tc>
        <w:tc>
          <w:tcPr/>
          <w:p>
            <w:pPr>
              <w:pStyle w:val="Compact"/>
              <w:jc w:val="right"/>
            </w:pPr>
            <w:r>
              <w:rPr>
                <w:sz w:val="17"/>
              </w:rPr>
              <w:t xml:space="preserve">Defaults</w:t>
            </w:r>
          </w:p>
        </w:tc>
        <w:tc>
          <w:tcPr/>
          <w:p>
            <w:pPr>
              <w:pStyle w:val="Compact"/>
              <w:jc w:val="right"/>
            </w:pPr>
            <w:r>
              <w:rPr>
                <w:sz w:val="17"/>
              </w:rPr>
              <w:t xml:space="preserve">% of goods</w:t>
            </w:r>
          </w:p>
        </w:tc>
        <w:tc>
          <w:tcPr/>
          <w:p>
            <w:pPr>
              <w:pStyle w:val="Compact"/>
              <w:jc w:val="right"/>
            </w:pPr>
            <w:r>
              <w:rPr>
                <w:sz w:val="17"/>
              </w:rPr>
              <w:t xml:space="preserve">% of bads</w:t>
            </w:r>
          </w:p>
        </w:tc>
        <w:tc>
          <w:tcPr/>
          <w:p>
            <w:pPr>
              <w:pStyle w:val="Compact"/>
              <w:jc w:val="right"/>
            </w:pPr>
            <w:r>
              <w:rPr>
                <w:sz w:val="17"/>
              </w:rPr>
              <w:t xml:space="preserve">WoE</w:t>
            </w:r>
          </w:p>
        </w:tc>
        <w:tc>
          <w:tcPr/>
          <w:p>
            <w:pPr>
              <w:pStyle w:val="Compact"/>
              <w:jc w:val="right"/>
            </w:pPr>
            <w:r>
              <w:rPr>
                <w:sz w:val="17"/>
              </w:rPr>
              <w:t xml:space="preserve">IV contribution</w:t>
            </w:r>
          </w:p>
        </w:tc>
      </w:tr>
      <w:tr>
        <w:tc>
          <w:tcPr/>
          <w:p>
            <w:pPr>
              <w:pStyle w:val="Compact"/>
              <w:jc w:val="left"/>
            </w:pPr>
            <w:r>
              <w:rPr>
                <w:sz w:val="17"/>
              </w:rPr>
              <w:t xml:space="preserve">Low FICO</w:t>
            </w:r>
          </w:p>
        </w:tc>
        <w:tc>
          <w:tcPr/>
          <w:p>
            <w:pPr>
              <w:pStyle w:val="Compact"/>
              <w:jc w:val="right"/>
            </w:pPr>
            <w:r>
              <w:rPr>
                <w:sz w:val="17"/>
              </w:rPr>
              <w:t xml:space="preserve">900</w:t>
            </w:r>
          </w:p>
        </w:tc>
        <w:tc>
          <w:tcPr/>
          <w:p>
            <w:pPr>
              <w:pStyle w:val="Compact"/>
              <w:jc w:val="right"/>
            </w:pPr>
            <w:r>
              <w:rPr>
                <w:sz w:val="17"/>
              </w:rPr>
              <w:t xml:space="preserve">60</w:t>
            </w:r>
          </w:p>
        </w:tc>
        <w:tc>
          <w:tcPr/>
          <w:p>
            <w:pPr>
              <w:pStyle w:val="Compact"/>
              <w:jc w:val="right"/>
            </w:pPr>
            <w:r>
              <w:rPr>
                <w:sz w:val="17"/>
              </w:rPr>
              <w:t xml:space="preserve">9.0%</w:t>
            </w:r>
          </w:p>
        </w:tc>
        <w:tc>
          <w:tcPr/>
          <w:p>
            <w:pPr>
              <w:pStyle w:val="Compact"/>
              <w:jc w:val="right"/>
            </w:pPr>
            <w:r>
              <w:rPr>
                <w:sz w:val="17"/>
              </w:rPr>
              <w:t xml:space="preserve">30.0%</w:t>
            </w:r>
          </w:p>
        </w:tc>
        <w:tc>
          <w:tcPr/>
          <w:p>
            <w:pPr>
              <w:pStyle w:val="Compact"/>
              <w:jc w:val="right"/>
            </w:pPr>
            <w:r>
              <w:rPr>
                <w:sz w:val="17"/>
              </w:rPr>
              <w:t xml:space="preserve">-1.204</w:t>
            </w:r>
          </w:p>
        </w:tc>
        <w:tc>
          <w:tcPr/>
          <w:p>
            <w:pPr>
              <w:pStyle w:val="Compact"/>
              <w:jc w:val="right"/>
            </w:pPr>
            <w:r>
              <w:rPr>
                <w:sz w:val="17"/>
              </w:rPr>
              <w:t xml:space="preserve">0.253</w:t>
            </w:r>
          </w:p>
        </w:tc>
      </w:tr>
      <w:tr>
        <w:tc>
          <w:tcPr/>
          <w:p>
            <w:pPr>
              <w:pStyle w:val="Compact"/>
              <w:jc w:val="left"/>
            </w:pPr>
            <w:r>
              <w:rPr>
                <w:sz w:val="17"/>
              </w:rPr>
              <w:t xml:space="preserve">Mid FICO</w:t>
            </w:r>
          </w:p>
        </w:tc>
        <w:tc>
          <w:tcPr/>
          <w:p>
            <w:pPr>
              <w:pStyle w:val="Compact"/>
              <w:jc w:val="right"/>
            </w:pPr>
            <w:r>
              <w:rPr>
                <w:sz w:val="17"/>
              </w:rPr>
              <w:t xml:space="preserve">5,000</w:t>
            </w:r>
          </w:p>
        </w:tc>
        <w:tc>
          <w:tcPr/>
          <w:p>
            <w:pPr>
              <w:pStyle w:val="Compact"/>
              <w:jc w:val="right"/>
            </w:pPr>
            <w:r>
              <w:rPr>
                <w:sz w:val="17"/>
              </w:rPr>
              <w:t xml:space="preserve">100</w:t>
            </w:r>
          </w:p>
        </w:tc>
        <w:tc>
          <w:tcPr/>
          <w:p>
            <w:pPr>
              <w:pStyle w:val="Compact"/>
              <w:jc w:val="right"/>
            </w:pPr>
            <w:r>
              <w:rPr>
                <w:sz w:val="17"/>
              </w:rPr>
              <w:t xml:space="preserve">50.0%</w:t>
            </w:r>
          </w:p>
        </w:tc>
        <w:tc>
          <w:tcPr/>
          <w:p>
            <w:pPr>
              <w:pStyle w:val="Compact"/>
              <w:jc w:val="right"/>
            </w:pPr>
            <w:r>
              <w:rPr>
                <w:sz w:val="17"/>
              </w:rPr>
              <w:t xml:space="preserve">50.0%</w:t>
            </w:r>
          </w:p>
        </w:tc>
        <w:tc>
          <w:tcPr/>
          <w:p>
            <w:pPr>
              <w:pStyle w:val="Compact"/>
              <w:jc w:val="right"/>
            </w:pPr>
            <w:r>
              <w:rPr>
                <w:sz w:val="17"/>
              </w:rPr>
              <w:t xml:space="preserve">0.000</w:t>
            </w:r>
          </w:p>
        </w:tc>
        <w:tc>
          <w:tcPr/>
          <w:p>
            <w:pPr>
              <w:pStyle w:val="Compact"/>
              <w:jc w:val="right"/>
            </w:pPr>
            <w:r>
              <w:rPr>
                <w:sz w:val="17"/>
              </w:rPr>
              <w:t xml:space="preserve">0.000</w:t>
            </w:r>
          </w:p>
        </w:tc>
      </w:tr>
      <w:tr>
        <w:tc>
          <w:tcPr/>
          <w:p>
            <w:pPr>
              <w:pStyle w:val="Compact"/>
              <w:jc w:val="left"/>
            </w:pPr>
            <w:r>
              <w:rPr>
                <w:sz w:val="17"/>
              </w:rPr>
              <w:t xml:space="preserve">High FICO</w:t>
            </w:r>
          </w:p>
        </w:tc>
        <w:tc>
          <w:tcPr/>
          <w:p>
            <w:pPr>
              <w:pStyle w:val="Compact"/>
              <w:jc w:val="right"/>
            </w:pPr>
            <w:r>
              <w:rPr>
                <w:sz w:val="17"/>
              </w:rPr>
              <w:t xml:space="preserve">4,100</w:t>
            </w:r>
          </w:p>
        </w:tc>
        <w:tc>
          <w:tcPr/>
          <w:p>
            <w:pPr>
              <w:pStyle w:val="Compact"/>
              <w:jc w:val="right"/>
            </w:pPr>
            <w:r>
              <w:rPr>
                <w:sz w:val="17"/>
              </w:rPr>
              <w:t xml:space="preserve">40</w:t>
            </w:r>
          </w:p>
        </w:tc>
        <w:tc>
          <w:tcPr/>
          <w:p>
            <w:pPr>
              <w:pStyle w:val="Compact"/>
              <w:jc w:val="right"/>
            </w:pPr>
            <w:r>
              <w:rPr>
                <w:sz w:val="17"/>
              </w:rPr>
              <w:t xml:space="preserve">41.0%</w:t>
            </w:r>
          </w:p>
        </w:tc>
        <w:tc>
          <w:tcPr/>
          <w:p>
            <w:pPr>
              <w:pStyle w:val="Compact"/>
              <w:jc w:val="right"/>
            </w:pPr>
            <w:r>
              <w:rPr>
                <w:sz w:val="17"/>
              </w:rPr>
              <w:t xml:space="preserve">20.0%</w:t>
            </w:r>
          </w:p>
        </w:tc>
        <w:tc>
          <w:tcPr/>
          <w:p>
            <w:pPr>
              <w:pStyle w:val="Compact"/>
              <w:jc w:val="right"/>
            </w:pPr>
            <w:r>
              <w:rPr>
                <w:sz w:val="17"/>
              </w:rPr>
              <w:t xml:space="preserve">0.718</w:t>
            </w:r>
          </w:p>
        </w:tc>
        <w:tc>
          <w:tcPr/>
          <w:p>
            <w:pPr>
              <w:pStyle w:val="Compact"/>
              <w:jc w:val="right"/>
            </w:pPr>
            <w:r>
              <w:rPr>
                <w:sz w:val="17"/>
              </w:rPr>
              <w:t xml:space="preserve">0.151</w:t>
            </w:r>
          </w:p>
        </w:tc>
      </w:tr>
    </w:tbl>
    <w:p>
      <w:pPr>
        <w:pStyle w:val="BodyText"/>
      </w:pPr>
      <w:r>
        <w:t xml:space="preserve">The low-FICO bin holds 9% of goods but 30% of bads, so its WoE is strongly negative; the mid bin matches the portfolio so its WoE is 0.</w:t>
      </w:r>
    </w:p>
    <w:p>
      <w:pPr>
        <w:pStyle w:val="BodyText"/>
      </w:pPr>
      <w:r>
        <w:rPr>
          <w:i/>
          <w:iCs/>
        </w:rPr>
        <w:t xml:space="preserve">Implementation.</w:t>
      </w:r>
      <w:r>
        <w:t xml:space="preserve"> </w:t>
      </w:r>
      <w:r>
        <w:rPr>
          <w:rStyle w:val="VerbatimChar"/>
        </w:rPr>
        <w:t xml:space="preserve">scorecard.fit_bins</w:t>
      </w:r>
      <w:r>
        <w:t xml:space="preserve"> </w:t>
      </w:r>
      <w:r>
        <w:t xml:space="preserve">(1) cuts the variable into 20 quantile pre-bins; (2) merges any bin below the 5% minimum share into its closest-risk neighbour; (3) enforces a</w:t>
      </w:r>
      <w:r>
        <w:t xml:space="preserve"> </w:t>
      </w:r>
      <w:r>
        <w:rPr>
          <w:b/>
          <w:bCs/>
        </w:rPr>
        <w:t xml:space="preserve">monotone</w:t>
      </w:r>
      <w:r>
        <w:t xml:space="preserve"> </w:t>
      </w:r>
      <w:r>
        <w:t xml:space="preserve">bad rate by merging neighbours that break the trend (the direction is taken from the data); (4) caps the number of bins at 8. WoE uses a 0.5 smoothing count so empty cells never give an infinite log, and missing values get their own WoE.</w:t>
      </w:r>
      <w:r>
        <w:t xml:space="preserve"> </w:t>
      </w:r>
      <w:r>
        <w:rPr>
          <w:rStyle w:val="VerbatimChar"/>
        </w:rPr>
        <w:t xml:space="preserve">fit_scorecard</w:t>
      </w:r>
      <w:r>
        <w:t xml:space="preserve"> </w:t>
      </w:r>
      <w:r>
        <w:t xml:space="preserve">then transforms each variable to WoE, drops variables with IV below 0.02, fits the logistic regression of default on the WoE values, and</w:t>
      </w:r>
      <w:r>
        <w:t xml:space="preserve"> </w:t>
      </w:r>
      <w:r>
        <w:rPr>
          <w:b/>
          <w:bCs/>
        </w:rPr>
        <w:t xml:space="preserve">drops the lowest-IV variable with a wrong-signed coefficient</w:t>
      </w:r>
      <w:r>
        <w:t xml:space="preserve"> </w:t>
      </w:r>
      <w:r>
        <w:t xml:space="preserve">and refits until all signs are as expected. With</w:t>
      </w:r>
      <w:r>
        <w:t xml:space="preserve"> </w:t>
      </w:r>
      <m:oMath>
        <m:r>
          <m:rPr>
            <m:nor/>
            <m:sty m:val="p"/>
          </m:rPr>
          <m:t>WoE</m:t>
        </m:r>
        <m:r>
          <m:rPr>
            <m:sty m:val="p"/>
          </m:rPr>
          <m:t>=</m:t>
        </m:r>
        <m:r>
          <m:rPr>
            <m:sty m:val="p"/>
          </m:rPr>
          <m:t>ln</m:t>
        </m:r>
        <m:r>
          <m:rPr>
            <m:sty m:val="p"/>
          </m:rPr>
          <m:t>(</m:t>
        </m:r>
        <m:r>
          <m:rPr>
            <m:nor/>
            <m:sty m:val="p"/>
          </m:rPr>
          <m:t>good</m:t>
        </m:r>
        <m:r>
          <m:rPr>
            <m:sty m:val="p"/>
          </m:rPr>
          <m:t>/</m:t>
        </m:r>
        <m:r>
          <m:rPr>
            <m:nor/>
            <m:sty m:val="p"/>
          </m:rPr>
          <m:t>bad</m:t>
        </m:r>
        <m:r>
          <m:rPr>
            <m:sty m:val="p"/>
          </m:rPr>
          <m:t>)</m:t>
        </m:r>
      </m:oMath>
      <w:r>
        <w:t xml:space="preserve"> </w:t>
      </w:r>
      <w:r>
        <w:t xml:space="preserve">the correct sign on the coefficient is negative: higher WoE must lower the default log-odds.</w:t>
      </w:r>
    </w:p>
    <w:bookmarkEnd w:id="42"/>
    <w:bookmarkStart w:id="43" w:name="Xca96380947ad5445c14e9e669f2096cc9a51524"/>
    <w:p>
      <w:pPr>
        <w:pStyle w:val="Heading2"/>
      </w:pPr>
      <w:r>
        <w:rPr>
          <w:rStyle w:val="SectionNumber"/>
        </w:rPr>
        <w:t xml:space="preserve">7.3</w:t>
      </w:r>
      <w:r>
        <w:tab/>
      </w:r>
      <w:r>
        <w:t xml:space="preserve">Scorecard scaling with points to double the odds</w:t>
      </w:r>
    </w:p>
    <w:p>
      <w:pPr>
        <w:pStyle w:val="FirstParagraph"/>
      </w:pPr>
      <w:r>
        <w:rPr>
          <w:i/>
          <w:iCs/>
        </w:rPr>
        <w:t xml:space="preserve">Intuition.</w:t>
      </w:r>
      <w:r>
        <w:t xml:space="preserve"> </w:t>
      </w:r>
      <w:r>
        <w:t xml:space="preserve">Bankers prefer additive integer points to log-odds. The scale is fixed by three choices: a base score at base odds, and the points to double the odds (PDO).</w:t>
      </w:r>
    </w:p>
    <w:p>
      <w:pPr>
        <w:pStyle w:val="BodyText"/>
      </w:pPr>
      <w:r>
        <w:rPr>
          <w:i/>
          <w:iCs/>
        </w:rPr>
        <w:t xml:space="preserve">Maths.</w:t>
      </w:r>
      <w:r>
        <w:t xml:space="preserve"> </w:t>
      </w:r>
      <w:r>
        <w:t xml:space="preserve">The score is linear in the log of good-to-bad odds:</w:t>
      </w:r>
    </w:p>
    <w:p>
      <w:pPr>
        <w:pStyle w:val="BodyText"/>
      </w:pPr>
      <m:oMathPara>
        <m:oMathParaPr>
          <m:jc m:val="center"/>
        </m:oMathParaPr>
        <m:oMath>
          <m:r>
            <m:rPr>
              <m:nor/>
              <m:sty m:val="p"/>
            </m:rPr>
            <m:t>Score</m:t>
          </m:r>
          <m:r>
            <m:rPr>
              <m:sty m:val="p"/>
            </m:rPr>
            <m:t>=</m:t>
          </m:r>
          <m:r>
            <m:rPr>
              <m:nor/>
              <m:sty m:val="p"/>
            </m:rPr>
            <m:t>Offset</m:t>
          </m:r>
          <m:r>
            <m:rPr>
              <m:sty m:val="p"/>
            </m:rPr>
            <m:t>+</m:t>
          </m:r>
          <m:r>
            <m:rPr>
              <m:nor/>
              <m:sty m:val="p"/>
            </m:rPr>
            <m:t>Factor</m:t>
          </m:r>
          <m:r>
            <m:rPr>
              <m:sty m:val="p"/>
            </m:rPr>
            <m:t>⋅</m:t>
          </m:r>
          <m:r>
            <m:rPr>
              <m:sty m:val="p"/>
            </m:rPr>
            <m:t>ln</m:t>
          </m:r>
          <m:r>
            <m:rPr>
              <m:sty m:val="p"/>
            </m:rPr>
            <m:t>(</m:t>
          </m:r>
          <m:sSub>
            <m:e>
              <m:r>
                <m:rPr>
                  <m:nor/>
                  <m:sty m:val="p"/>
                </m:rPr>
                <m:t>odds</m:t>
              </m:r>
            </m:e>
            <m:sub>
              <m:r>
                <m:rPr>
                  <m:nor/>
                  <m:sty m:val="p"/>
                </m:rPr>
                <m:t>good</m:t>
              </m:r>
            </m:sub>
          </m:sSub>
          <m:r>
            <m:rPr>
              <m:sty m:val="p"/>
            </m:rPr>
            <m:t>)</m:t>
          </m:r>
          <m:r>
            <m:rPr>
              <m:sty m:val="p"/>
            </m:rPr>
            <m:t>,</m:t>
          </m:r>
          <m:r>
            <m:t>  </m:t>
          </m:r>
          <m:r>
            <m:rPr>
              <m:nor/>
              <m:sty m:val="p"/>
            </m:rPr>
            <m:t>Factor</m:t>
          </m:r>
          <m:r>
            <m:rPr>
              <m:sty m:val="p"/>
            </m:rPr>
            <m:t>=</m:t>
          </m:r>
          <m:f>
            <m:fPr>
              <m:type m:val="bar"/>
            </m:fPr>
            <m:num>
              <m:r>
                <m:rPr>
                  <m:nor/>
                  <m:sty m:val="p"/>
                </m:rPr>
                <m:t>PDO</m:t>
              </m:r>
            </m:num>
            <m:den>
              <m:r>
                <m:rPr>
                  <m:sty m:val="p"/>
                </m:rPr>
                <m:t>ln</m:t>
              </m:r>
              <m:r>
                <m:t>2</m:t>
              </m:r>
            </m:den>
          </m:f>
          <m:r>
            <m:rPr>
              <m:sty m:val="p"/>
            </m:rPr>
            <m:t>,</m:t>
          </m:r>
          <m:r>
            <m:t> </m:t>
          </m:r>
          <m:r>
            <m:rPr>
              <m:nor/>
              <m:sty m:val="p"/>
            </m:rPr>
            <m:t>Offset</m:t>
          </m:r>
          <m:r>
            <m:rPr>
              <m:sty m:val="p"/>
            </m:rPr>
            <m:t>=</m:t>
          </m:r>
          <m:r>
            <m:rPr>
              <m:nor/>
              <m:sty m:val="p"/>
            </m:rPr>
            <m:t>BaseScore</m:t>
          </m:r>
          <m:r>
            <m:rPr>
              <m:sty m:val="p"/>
            </m:rPr>
            <m:t>−</m:t>
          </m:r>
          <m:r>
            <m:rPr>
              <m:nor/>
              <m:sty m:val="p"/>
            </m:rPr>
            <m:t>Factor</m:t>
          </m:r>
          <m:r>
            <m:rPr>
              <m:sty m:val="p"/>
            </m:rPr>
            <m:t>ln</m:t>
          </m:r>
          <m:r>
            <m:rPr>
              <m:sty m:val="p"/>
            </m:rPr>
            <m:t>(</m:t>
          </m:r>
          <m:r>
            <m:rPr>
              <m:nor/>
              <m:sty m:val="p"/>
            </m:rPr>
            <m:t>BaseOdds</m:t>
          </m:r>
          <m:r>
            <m:rPr>
              <m:sty m:val="p"/>
            </m:rPr>
            <m:t>)</m:t>
          </m:r>
          <m:r>
            <m:rPr>
              <m:sty m:val="p"/>
            </m:rPr>
            <m:t>.</m:t>
          </m:r>
        </m:oMath>
      </m:oMathPara>
    </w:p>
    <w:p>
      <w:pPr>
        <w:pStyle w:val="FirstParagraph"/>
      </w:pPr>
      <w:r>
        <w:t xml:space="preserve">With PDO = 20, base score 600 at 50:1 odds, Factor = 28.854 and Offset = 487.12. A score of 620 means odds are 100:1, double the base. Because the model log-odds of default is</w:t>
      </w:r>
      <w:r>
        <w:t xml:space="preserve"> </w:t>
      </w:r>
      <m:oMath>
        <m:r>
          <m:t>z</m:t>
        </m:r>
        <m:r>
          <m:rPr>
            <m:sty m:val="p"/>
          </m:rPr>
          <m:t>=</m:t>
        </m:r>
        <m:sSub>
          <m:e>
            <m:r>
              <m:t>β</m:t>
            </m:r>
          </m:e>
          <m:sub>
            <m:r>
              <m:t>0</m:t>
            </m:r>
          </m:sub>
        </m:sSub>
        <m:r>
          <m:rPr>
            <m:sty m:val="p"/>
          </m:rPr>
          <m:t>+</m:t>
        </m:r>
        <m:nary>
          <m:naryPr>
            <m:chr m:val="∑"/>
            <m:limLoc m:val="undOvr"/>
            <m:subHide m:val="off"/>
            <m:supHide m:val="on"/>
          </m:naryPr>
          <m:sub>
            <m:r>
              <m:t>j</m:t>
            </m:r>
          </m:sub>
          <m:sup>
            <m:r>
              <m:t>​</m:t>
            </m:r>
          </m:sup>
          <m:e>
            <m:sSub>
              <m:e>
                <m:r>
                  <m:t>β</m:t>
                </m:r>
              </m:e>
              <m:sub>
                <m:r>
                  <m:t>j</m:t>
                </m:r>
              </m:sub>
            </m:sSub>
          </m:e>
        </m:nary>
        <m:sSub>
          <m:e>
            <m:r>
              <m:t>W</m:t>
            </m:r>
          </m:e>
          <m:sub>
            <m:r>
              <m:t>j</m:t>
            </m:r>
          </m:sub>
        </m:sSub>
      </m:oMath>
      <w:r>
        <w:t xml:space="preserve"> </w:t>
      </w:r>
      <w:r>
        <w:t xml:space="preserve">and good odds are</w:t>
      </w:r>
      <w:r>
        <w:t xml:space="preserve"> </w:t>
      </w:r>
      <m:oMath>
        <m:sSup>
          <m:e>
            <m:r>
              <m:t>e</m:t>
            </m:r>
          </m:e>
          <m:sup>
            <m:r>
              <m:rPr>
                <m:sty m:val="p"/>
              </m:rPr>
              <m:t>−</m:t>
            </m:r>
            <m:r>
              <m:t>z</m:t>
            </m:r>
          </m:sup>
        </m:sSup>
      </m:oMath>
      <w:r>
        <w:t xml:space="preserve">,</w:t>
      </w:r>
    </w:p>
    <w:p>
      <w:pPr>
        <w:pStyle w:val="BodyText"/>
      </w:pPr>
      <m:oMathPara>
        <m:oMathParaPr>
          <m:jc m:val="center"/>
        </m:oMathParaPr>
        <m:oMath>
          <m:r>
            <m:rPr>
              <m:nor/>
              <m:sty m:val="p"/>
            </m:rPr>
            <m:t>Score</m:t>
          </m:r>
          <m:r>
            <m:rPr>
              <m:sty m:val="p"/>
            </m:rPr>
            <m:t>=</m:t>
          </m:r>
          <m:r>
            <m:rPr>
              <m:nor/>
              <m:sty m:val="p"/>
            </m:rPr>
            <m:t>Offset</m:t>
          </m:r>
          <m:r>
            <m:rPr>
              <m:sty m:val="p"/>
            </m:rPr>
            <m:t>−</m:t>
          </m:r>
          <m:r>
            <m:rPr>
              <m:nor/>
              <m:sty m:val="p"/>
            </m:rPr>
            <m:t>Factor</m:t>
          </m:r>
          <m:r>
            <m:rPr>
              <m:sty m:val="p"/>
            </m:rPr>
            <m:t>⋅</m:t>
          </m:r>
          <m:r>
            <m:t>z</m:t>
          </m:r>
          <m:r>
            <m:rPr>
              <m:sty m:val="p"/>
            </m:rPr>
            <m:t>=</m:t>
          </m:r>
          <m:limLow>
            <m:e>
              <m:limLow>
                <m:e>
                  <m:f>
                    <m:fPr>
                      <m:type m:val="bar"/>
                    </m:fPr>
                    <m:num>
                      <m:r>
                        <m:rPr>
                          <m:nor/>
                          <m:sty m:val="p"/>
                        </m:rPr>
                        <m:t>Offset</m:t>
                      </m:r>
                      <m:r>
                        <m:rPr>
                          <m:sty m:val="p"/>
                        </m:rPr>
                        <m:t>−</m:t>
                      </m:r>
                      <m:r>
                        <m:rPr>
                          <m:nor/>
                          <m:sty m:val="p"/>
                        </m:rPr>
                        <m:t>Factor</m:t>
                      </m:r>
                      <m:r>
                        <m:t> </m:t>
                      </m:r>
                      <m:sSub>
                        <m:e>
                          <m:r>
                            <m:t>β</m:t>
                          </m:r>
                        </m:e>
                        <m:sub>
                          <m:r>
                            <m:t>0</m:t>
                          </m:r>
                        </m:sub>
                      </m:sSub>
                    </m:num>
                    <m:den>
                      <m:r>
                        <m:t>m</m:t>
                      </m:r>
                    </m:den>
                  </m:f>
                </m:e>
                <m:lim>
                  <m:r>
                    <m:rPr>
                      <m:sty m:val="p"/>
                    </m:rPr>
                    <m:t>⏟</m:t>
                  </m:r>
                </m:lim>
              </m:limLow>
            </m:e>
            <m:lim>
              <m:r>
                <m:rPr>
                  <m:nor/>
                  <m:sty m:val="p"/>
                </m:rPr>
                <m:t>base points per variable</m:t>
              </m:r>
            </m:lim>
          </m:limLow>
          <m:r>
            <m:rPr>
              <m:sty m:val="p"/>
            </m:rPr>
            <m:t>+</m:t>
          </m:r>
          <m:nary>
            <m:naryPr>
              <m:chr m:val="∑"/>
              <m:limLoc m:val="undOvr"/>
              <m:subHide m:val="off"/>
              <m:supHide m:val="off"/>
            </m:naryPr>
            <m:sub>
              <m:r>
                <m:t>j</m:t>
              </m:r>
              <m:r>
                <m:rPr>
                  <m:sty m:val="p"/>
                </m:rPr>
                <m:t>=</m:t>
              </m:r>
              <m:r>
                <m:t>1</m:t>
              </m:r>
            </m:sub>
            <m:sup>
              <m:r>
                <m:t>m</m:t>
              </m:r>
            </m:sup>
            <m:e>
              <m:d>
                <m:dPr>
                  <m:begChr m:val="("/>
                  <m:sepChr m:val=""/>
                  <m:endChr m:val=")"/>
                  <m:grow/>
                </m:dPr>
                <m:e>
                  <m:r>
                    <m:rPr>
                      <m:sty m:val="p"/>
                    </m:rPr>
                    <m:t>−</m:t>
                  </m:r>
                  <m:r>
                    <m:rPr>
                      <m:nor/>
                      <m:sty m:val="p"/>
                    </m:rPr>
                    <m:t>Factor</m:t>
                  </m:r>
                  <m:r>
                    <m:t> </m:t>
                  </m:r>
                  <m:sSub>
                    <m:e>
                      <m:r>
                        <m:t>β</m:t>
                      </m:r>
                    </m:e>
                    <m:sub>
                      <m:r>
                        <m:t>j</m:t>
                      </m:r>
                    </m:sub>
                  </m:sSub>
                  <m:sSub>
                    <m:e>
                      <m:r>
                        <m:t>W</m:t>
                      </m:r>
                    </m:e>
                    <m:sub>
                      <m:r>
                        <m:t>j</m:t>
                      </m:r>
                    </m:sub>
                  </m:sSub>
                </m:e>
              </m:d>
            </m:e>
          </m:nary>
          <m:r>
            <m:rPr>
              <m:sty m:val="p"/>
            </m:rPr>
            <m:t>,</m:t>
          </m:r>
        </m:oMath>
      </m:oMathPara>
    </w:p>
    <w:p>
      <w:pPr>
        <w:pStyle w:val="FirstParagraph"/>
      </w:pPr>
      <w:r>
        <w:t xml:space="preserve">so each bin of each variable gets a fixed number of points</w:t>
      </w:r>
      <w:r>
        <w:t xml:space="preserve"> </w:t>
      </w:r>
      <m:oMath>
        <m:r>
          <m:rPr>
            <m:sty m:val="p"/>
          </m:rPr>
          <m:t>−</m:t>
        </m:r>
        <m:r>
          <m:rPr>
            <m:nor/>
            <m:sty m:val="p"/>
          </m:rPr>
          <m:t>Factor</m:t>
        </m:r>
        <m:r>
          <m:t> </m:t>
        </m:r>
        <m:sSub>
          <m:e>
            <m:r>
              <m:t>β</m:t>
            </m:r>
          </m:e>
          <m:sub>
            <m:r>
              <m:t>j</m:t>
            </m:r>
          </m:sub>
        </m:sSub>
        <m:r>
          <m:t> </m:t>
        </m:r>
        <m:sSub>
          <m:e>
            <m:r>
              <m:rPr>
                <m:nor/>
                <m:sty m:val="p"/>
              </m:rPr>
              <m:t>WoE</m:t>
            </m:r>
          </m:e>
          <m:sub>
            <m:r>
              <m:t>j</m:t>
            </m:r>
            <m:r>
              <m:t>k</m:t>
            </m:r>
          </m:sub>
        </m:sSub>
      </m:oMath>
      <w:r>
        <w:t xml:space="preserve"> </w:t>
      </w:r>
      <w:r>
        <w:t xml:space="preserve">plus an equal share of the intercept.</w:t>
      </w:r>
      <w:r>
        <w:t xml:space="preserve"> </w:t>
      </w:r>
      <w:r>
        <w:rPr>
          <w:rStyle w:val="VerbatimChar"/>
        </w:rPr>
        <w:t xml:space="preserve">scorecard.export_scorecard_table</w:t>
      </w:r>
      <w:r>
        <w:t xml:space="preserve"> </w:t>
      </w:r>
      <w:r>
        <w:t xml:space="preserve">produces this table; the Excel workbook looks it up with live formulas.</w:t>
      </w:r>
    </w:p>
    <w:p>
      <w:pPr>
        <w:pStyle w:val="TableCaption"/>
      </w:pPr>
      <w:r>
        <w:t xml:space="preserve">Score to odds to PD map for the chosen scaling. The PD column is the raw logistic probability before calibration.</w:t>
      </w:r>
    </w:p>
    <w:tbl>
      <w:tblPr>
        <w:tblStyle w:val="Table"/>
        <w:tblW w:type="auto" w:w="0"/>
        <w:tblLook w:firstRow="1" w:lastRow="0" w:firstColumn="0" w:lastColumn="0" w:noHBand="0" w:noVBand="0" w:val="0020"/>
        <w:tblCaption w:val="Score to odds to PD map for the chosen scaling. The PD column is the raw logistic probability before calibratio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Score</w:t>
            </w:r>
          </w:p>
        </w:tc>
        <w:tc>
          <w:tcPr/>
          <w:p>
            <w:pPr>
              <w:pStyle w:val="Compact"/>
              <w:jc w:val="right"/>
            </w:pPr>
            <w:r>
              <w:rPr>
                <w:sz w:val="17"/>
              </w:rPr>
              <w:t xml:space="preserve">Good : bad odds</w:t>
            </w:r>
          </w:p>
        </w:tc>
        <w:tc>
          <w:tcPr/>
          <w:p>
            <w:pPr>
              <w:pStyle w:val="Compact"/>
              <w:jc w:val="right"/>
            </w:pPr>
            <w:r>
              <w:rPr>
                <w:sz w:val="17"/>
              </w:rPr>
              <w:t xml:space="preserve">Implied PD (uncalibrated)</w:t>
            </w:r>
          </w:p>
        </w:tc>
      </w:tr>
      <w:tr>
        <w:tc>
          <w:tcPr/>
          <w:p>
            <w:pPr>
              <w:pStyle w:val="Compact"/>
              <w:jc w:val="left"/>
            </w:pPr>
            <w:r>
              <w:rPr>
                <w:sz w:val="17"/>
              </w:rPr>
              <w:t xml:space="preserve">500.0</w:t>
            </w:r>
          </w:p>
        </w:tc>
        <w:tc>
          <w:tcPr/>
          <w:p>
            <w:pPr>
              <w:pStyle w:val="Compact"/>
              <w:jc w:val="right"/>
            </w:pPr>
            <w:r>
              <w:rPr>
                <w:sz w:val="17"/>
              </w:rPr>
              <w:t xml:space="preserve">1.6 : 1</w:t>
            </w:r>
          </w:p>
        </w:tc>
        <w:tc>
          <w:tcPr/>
          <w:p>
            <w:pPr>
              <w:pStyle w:val="Compact"/>
              <w:jc w:val="right"/>
            </w:pPr>
            <w:r>
              <w:rPr>
                <w:sz w:val="17"/>
              </w:rPr>
              <w:t xml:space="preserve">39.024%</w:t>
            </w:r>
          </w:p>
        </w:tc>
      </w:tr>
      <w:tr>
        <w:tc>
          <w:tcPr/>
          <w:p>
            <w:pPr>
              <w:pStyle w:val="Compact"/>
              <w:jc w:val="left"/>
            </w:pPr>
            <w:r>
              <w:rPr>
                <w:sz w:val="17"/>
              </w:rPr>
              <w:t xml:space="preserve">550.0</w:t>
            </w:r>
          </w:p>
        </w:tc>
        <w:tc>
          <w:tcPr/>
          <w:p>
            <w:pPr>
              <w:pStyle w:val="Compact"/>
              <w:jc w:val="right"/>
            </w:pPr>
            <w:r>
              <w:rPr>
                <w:sz w:val="17"/>
              </w:rPr>
              <w:t xml:space="preserve">8.8 : 1</w:t>
            </w:r>
          </w:p>
        </w:tc>
        <w:tc>
          <w:tcPr/>
          <w:p>
            <w:pPr>
              <w:pStyle w:val="Compact"/>
              <w:jc w:val="right"/>
            </w:pPr>
            <w:r>
              <w:rPr>
                <w:sz w:val="17"/>
              </w:rPr>
              <w:t xml:space="preserve">10.164%</w:t>
            </w:r>
          </w:p>
        </w:tc>
      </w:tr>
      <w:tr>
        <w:tc>
          <w:tcPr/>
          <w:p>
            <w:pPr>
              <w:pStyle w:val="Compact"/>
              <w:jc w:val="left"/>
            </w:pPr>
            <w:r>
              <w:rPr>
                <w:sz w:val="17"/>
              </w:rPr>
              <w:t xml:space="preserve">600.0</w:t>
            </w:r>
          </w:p>
        </w:tc>
        <w:tc>
          <w:tcPr/>
          <w:p>
            <w:pPr>
              <w:pStyle w:val="Compact"/>
              <w:jc w:val="right"/>
            </w:pPr>
            <w:r>
              <w:rPr>
                <w:sz w:val="17"/>
              </w:rPr>
              <w:t xml:space="preserve">50.0 : 1</w:t>
            </w:r>
          </w:p>
        </w:tc>
        <w:tc>
          <w:tcPr/>
          <w:p>
            <w:pPr>
              <w:pStyle w:val="Compact"/>
              <w:jc w:val="right"/>
            </w:pPr>
            <w:r>
              <w:rPr>
                <w:sz w:val="17"/>
              </w:rPr>
              <w:t xml:space="preserve">1.961%</w:t>
            </w:r>
          </w:p>
        </w:tc>
      </w:tr>
      <w:tr>
        <w:tc>
          <w:tcPr/>
          <w:p>
            <w:pPr>
              <w:pStyle w:val="Compact"/>
              <w:jc w:val="left"/>
            </w:pPr>
            <w:r>
              <w:rPr>
                <w:sz w:val="17"/>
              </w:rPr>
              <w:t xml:space="preserve">620.0</w:t>
            </w:r>
          </w:p>
        </w:tc>
        <w:tc>
          <w:tcPr/>
          <w:p>
            <w:pPr>
              <w:pStyle w:val="Compact"/>
              <w:jc w:val="right"/>
            </w:pPr>
            <w:r>
              <w:rPr>
                <w:sz w:val="17"/>
              </w:rPr>
              <w:t xml:space="preserve">100.0 : 1</w:t>
            </w:r>
          </w:p>
        </w:tc>
        <w:tc>
          <w:tcPr/>
          <w:p>
            <w:pPr>
              <w:pStyle w:val="Compact"/>
              <w:jc w:val="right"/>
            </w:pPr>
            <w:r>
              <w:rPr>
                <w:sz w:val="17"/>
              </w:rPr>
              <w:t xml:space="preserve">0.990%</w:t>
            </w:r>
          </w:p>
        </w:tc>
      </w:tr>
      <w:tr>
        <w:tc>
          <w:tcPr/>
          <w:p>
            <w:pPr>
              <w:pStyle w:val="Compact"/>
              <w:jc w:val="left"/>
            </w:pPr>
            <w:r>
              <w:rPr>
                <w:sz w:val="17"/>
              </w:rPr>
              <w:t xml:space="preserve">650.0</w:t>
            </w:r>
          </w:p>
        </w:tc>
        <w:tc>
          <w:tcPr/>
          <w:p>
            <w:pPr>
              <w:pStyle w:val="Compact"/>
              <w:jc w:val="right"/>
            </w:pPr>
            <w:r>
              <w:rPr>
                <w:sz w:val="17"/>
              </w:rPr>
              <w:t xml:space="preserve">282.8 : 1</w:t>
            </w:r>
          </w:p>
        </w:tc>
        <w:tc>
          <w:tcPr/>
          <w:p>
            <w:pPr>
              <w:pStyle w:val="Compact"/>
              <w:jc w:val="right"/>
            </w:pPr>
            <w:r>
              <w:rPr>
                <w:sz w:val="17"/>
              </w:rPr>
              <w:t xml:space="preserve">0.352%</w:t>
            </w:r>
          </w:p>
        </w:tc>
      </w:tr>
      <w:tr>
        <w:tc>
          <w:tcPr/>
          <w:p>
            <w:pPr>
              <w:pStyle w:val="Compact"/>
              <w:jc w:val="left"/>
            </w:pPr>
            <w:r>
              <w:rPr>
                <w:sz w:val="17"/>
              </w:rPr>
              <w:t xml:space="preserve">700.0</w:t>
            </w:r>
          </w:p>
        </w:tc>
        <w:tc>
          <w:tcPr/>
          <w:p>
            <w:pPr>
              <w:pStyle w:val="Compact"/>
              <w:jc w:val="right"/>
            </w:pPr>
            <w:r>
              <w:rPr>
                <w:sz w:val="17"/>
              </w:rPr>
              <w:t xml:space="preserve">1,600.0 : 1</w:t>
            </w:r>
          </w:p>
        </w:tc>
        <w:tc>
          <w:tcPr/>
          <w:p>
            <w:pPr>
              <w:pStyle w:val="Compact"/>
              <w:jc w:val="right"/>
            </w:pPr>
            <w:r>
              <w:rPr>
                <w:sz w:val="17"/>
              </w:rPr>
              <w:t xml:space="preserve">0.062%</w:t>
            </w:r>
          </w:p>
        </w:tc>
      </w:tr>
    </w:tbl>
    <w:p>
      <w:pPr>
        <w:pStyle w:val="BodyText"/>
      </w:pPr>
      <w:r>
        <w:rPr>
          <w:i/>
          <w:iCs/>
        </w:rPr>
        <w:t xml:space="preserve">Worked example: one real loan from the Excel sample.</w:t>
      </w:r>
      <w:r>
        <w:t xml:space="preserve"> </w:t>
      </w:r>
      <w:r>
        <w:t xml:space="preserve">Loan 53 at the 2021-07-31 snapshot is looked up bin by bin in</w:t>
      </w:r>
      <w:r>
        <w:t xml:space="preserve"> </w:t>
      </w:r>
      <w:r>
        <w:rPr>
          <w:rStyle w:val="VerbatimChar"/>
        </w:rPr>
        <w:t xml:space="preserve">scorecard_table.csv</w:t>
      </w:r>
      <w:r>
        <w:t xml:space="preserve">:</w:t>
      </w:r>
    </w:p>
    <w:p>
      <w:pPr>
        <w:pStyle w:val="TableCaption"/>
      </w:pPr>
      <w:r>
        <w:t xml:space="preserve">Scorecard points for one loan. Bins are right-closed, (low, high].</w:t>
      </w:r>
    </w:p>
    <w:tbl>
      <w:tblPr>
        <w:tblStyle w:val="Table"/>
        <w:tblW w:type="auto" w:w="0"/>
        <w:tblLook w:firstRow="1" w:lastRow="0" w:firstColumn="0" w:lastColumn="0" w:noHBand="0" w:noVBand="0" w:val="0020"/>
        <w:tblCaption w:val="Scorecard points for one loan. Bins are right-closed, (low, high]."/>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Variable</w:t>
            </w:r>
          </w:p>
        </w:tc>
        <w:tc>
          <w:tcPr/>
          <w:p>
            <w:pPr>
              <w:pStyle w:val="Compact"/>
              <w:jc w:val="right"/>
            </w:pPr>
            <w:r>
              <w:rPr>
                <w:sz w:val="17"/>
              </w:rPr>
              <w:t xml:space="preserve">Loan value</w:t>
            </w:r>
          </w:p>
        </w:tc>
        <w:tc>
          <w:tcPr/>
          <w:p>
            <w:pPr>
              <w:pStyle w:val="Compact"/>
              <w:jc w:val="right"/>
            </w:pPr>
            <w:r>
              <w:rPr>
                <w:sz w:val="17"/>
              </w:rPr>
              <w:t xml:space="preserve">Bin</w:t>
            </w:r>
          </w:p>
        </w:tc>
        <w:tc>
          <w:tcPr/>
          <w:p>
            <w:pPr>
              <w:pStyle w:val="Compact"/>
              <w:jc w:val="right"/>
            </w:pPr>
            <w:r>
              <w:rPr>
                <w:sz w:val="17"/>
              </w:rPr>
              <w:t xml:space="preserve">WoE</w:t>
            </w:r>
          </w:p>
        </w:tc>
        <w:tc>
          <w:tcPr/>
          <w:p>
            <w:pPr>
              <w:pStyle w:val="Compact"/>
              <w:jc w:val="right"/>
            </w:pPr>
            <w:r>
              <w:rPr>
                <w:sz w:val="17"/>
              </w:rPr>
              <w:t xml:space="preserve">Coefficient</w:t>
            </w:r>
          </w:p>
        </w:tc>
        <w:tc>
          <w:tcPr/>
          <w:p>
            <w:pPr>
              <w:pStyle w:val="Compact"/>
              <w:jc w:val="right"/>
            </w:pPr>
            <w:r>
              <w:rPr>
                <w:sz w:val="17"/>
              </w:rPr>
              <w:t xml:space="preserve">Points</w:t>
            </w:r>
          </w:p>
        </w:tc>
      </w:tr>
      <w:tr>
        <w:tc>
          <w:tcPr/>
          <w:p>
            <w:pPr>
              <w:pStyle w:val="Compact"/>
              <w:jc w:val="left"/>
            </w:pPr>
            <w:r>
              <w:rPr>
                <w:sz w:val="17"/>
              </w:rPr>
              <w:t xml:space="preserve">fico</w:t>
            </w:r>
          </w:p>
        </w:tc>
        <w:tc>
          <w:tcPr/>
          <w:p>
            <w:pPr>
              <w:pStyle w:val="Compact"/>
              <w:jc w:val="right"/>
            </w:pPr>
            <w:r>
              <w:rPr>
                <w:sz w:val="17"/>
              </w:rPr>
              <w:t xml:space="preserve">770.00</w:t>
            </w:r>
          </w:p>
        </w:tc>
        <w:tc>
          <w:tcPr/>
          <w:p>
            <w:pPr>
              <w:pStyle w:val="Compact"/>
              <w:jc w:val="right"/>
            </w:pPr>
            <w:r>
              <w:rPr>
                <w:sz w:val="17"/>
              </w:rPr>
              <w:t xml:space="preserve">(761.00, 786.00]</w:t>
            </w:r>
          </w:p>
        </w:tc>
        <w:tc>
          <w:tcPr/>
          <w:p>
            <w:pPr>
              <w:pStyle w:val="Compact"/>
              <w:jc w:val="right"/>
            </w:pPr>
            <w:r>
              <w:rPr>
                <w:sz w:val="17"/>
              </w:rPr>
              <w:t xml:space="preserve">1.238</w:t>
            </w:r>
          </w:p>
        </w:tc>
        <w:tc>
          <w:tcPr/>
          <w:p>
            <w:pPr>
              <w:pStyle w:val="Compact"/>
              <w:jc w:val="right"/>
            </w:pPr>
            <w:r>
              <w:rPr>
                <w:sz w:val="17"/>
              </w:rPr>
              <w:t xml:space="preserve">-0.994</w:t>
            </w:r>
          </w:p>
        </w:tc>
        <w:tc>
          <w:tcPr/>
          <w:p>
            <w:pPr>
              <w:pStyle w:val="Compact"/>
              <w:jc w:val="right"/>
            </w:pPr>
            <w:r>
              <w:rPr>
                <w:sz w:val="17"/>
              </w:rPr>
              <w:t xml:space="preserve">110.43</w:t>
            </w:r>
          </w:p>
        </w:tc>
      </w:tr>
      <w:tr>
        <w:tc>
          <w:tcPr/>
          <w:p>
            <w:pPr>
              <w:pStyle w:val="Compact"/>
              <w:jc w:val="left"/>
            </w:pPr>
            <w:r>
              <w:rPr>
                <w:sz w:val="17"/>
              </w:rPr>
              <w:t xml:space="preserve">orig_ltv</w:t>
            </w:r>
          </w:p>
        </w:tc>
        <w:tc>
          <w:tcPr/>
          <w:p>
            <w:pPr>
              <w:pStyle w:val="Compact"/>
              <w:jc w:val="right"/>
            </w:pPr>
            <w:r>
              <w:rPr>
                <w:sz w:val="17"/>
              </w:rPr>
              <w:t xml:space="preserve">88.37</w:t>
            </w:r>
          </w:p>
        </w:tc>
        <w:tc>
          <w:tcPr/>
          <w:p>
            <w:pPr>
              <w:pStyle w:val="Compact"/>
              <w:jc w:val="right"/>
            </w:pPr>
            <w:r>
              <w:rPr>
                <w:sz w:val="17"/>
              </w:rPr>
              <w:t xml:space="preserve">(87.07, inf]</w:t>
            </w:r>
          </w:p>
        </w:tc>
        <w:tc>
          <w:tcPr/>
          <w:p>
            <w:pPr>
              <w:pStyle w:val="Compact"/>
              <w:jc w:val="right"/>
            </w:pPr>
            <w:r>
              <w:rPr>
                <w:sz w:val="17"/>
              </w:rPr>
              <w:t xml:space="preserve">-0.362</w:t>
            </w:r>
          </w:p>
        </w:tc>
        <w:tc>
          <w:tcPr/>
          <w:p>
            <w:pPr>
              <w:pStyle w:val="Compact"/>
              <w:jc w:val="right"/>
            </w:pPr>
            <w:r>
              <w:rPr>
                <w:sz w:val="17"/>
              </w:rPr>
              <w:t xml:space="preserve">-0.660</w:t>
            </w:r>
          </w:p>
        </w:tc>
        <w:tc>
          <w:tcPr/>
          <w:p>
            <w:pPr>
              <w:pStyle w:val="Compact"/>
              <w:jc w:val="right"/>
            </w:pPr>
            <w:r>
              <w:rPr>
                <w:sz w:val="17"/>
              </w:rPr>
              <w:t xml:space="preserve">68.03</w:t>
            </w:r>
          </w:p>
        </w:tc>
      </w:tr>
      <w:tr>
        <w:tc>
          <w:tcPr/>
          <w:p>
            <w:pPr>
              <w:pStyle w:val="Compact"/>
              <w:jc w:val="left"/>
            </w:pPr>
            <w:r>
              <w:rPr>
                <w:sz w:val="17"/>
              </w:rPr>
              <w:t xml:space="preserve">mtm_ltv</w:t>
            </w:r>
          </w:p>
        </w:tc>
        <w:tc>
          <w:tcPr/>
          <w:p>
            <w:pPr>
              <w:pStyle w:val="Compact"/>
              <w:jc w:val="right"/>
            </w:pPr>
            <w:r>
              <w:rPr>
                <w:sz w:val="17"/>
              </w:rPr>
              <w:t xml:space="preserve">84.25</w:t>
            </w:r>
          </w:p>
        </w:tc>
        <w:tc>
          <w:tcPr/>
          <w:p>
            <w:pPr>
              <w:pStyle w:val="Compact"/>
              <w:jc w:val="right"/>
            </w:pPr>
            <w:r>
              <w:rPr>
                <w:sz w:val="17"/>
              </w:rPr>
              <w:t xml:space="preserve">(82.26, 86.88]</w:t>
            </w:r>
          </w:p>
        </w:tc>
        <w:tc>
          <w:tcPr/>
          <w:p>
            <w:pPr>
              <w:pStyle w:val="Compact"/>
              <w:jc w:val="right"/>
            </w:pPr>
            <w:r>
              <w:rPr>
                <w:sz w:val="17"/>
              </w:rPr>
              <w:t xml:space="preserve">-0.220</w:t>
            </w:r>
          </w:p>
        </w:tc>
        <w:tc>
          <w:tcPr/>
          <w:p>
            <w:pPr>
              <w:pStyle w:val="Compact"/>
              <w:jc w:val="right"/>
            </w:pPr>
            <w:r>
              <w:rPr>
                <w:sz w:val="17"/>
              </w:rPr>
              <w:t xml:space="preserve">-0.376</w:t>
            </w:r>
          </w:p>
        </w:tc>
        <w:tc>
          <w:tcPr/>
          <w:p>
            <w:pPr>
              <w:pStyle w:val="Compact"/>
              <w:jc w:val="right"/>
            </w:pPr>
            <w:r>
              <w:rPr>
                <w:sz w:val="17"/>
              </w:rPr>
              <w:t xml:space="preserve">72.54</w:t>
            </w:r>
          </w:p>
        </w:tc>
      </w:tr>
      <w:tr>
        <w:tc>
          <w:tcPr/>
          <w:p>
            <w:pPr>
              <w:pStyle w:val="Compact"/>
              <w:jc w:val="left"/>
            </w:pPr>
            <w:r>
              <w:rPr>
                <w:sz w:val="17"/>
              </w:rPr>
              <w:t xml:space="preserve">dti</w:t>
            </w:r>
          </w:p>
        </w:tc>
        <w:tc>
          <w:tcPr/>
          <w:p>
            <w:pPr>
              <w:pStyle w:val="Compact"/>
              <w:jc w:val="right"/>
            </w:pPr>
            <w:r>
              <w:rPr>
                <w:sz w:val="17"/>
              </w:rPr>
              <w:t xml:space="preserve">37.00</w:t>
            </w:r>
          </w:p>
        </w:tc>
        <w:tc>
          <w:tcPr/>
          <w:p>
            <w:pPr>
              <w:pStyle w:val="Compact"/>
              <w:jc w:val="right"/>
            </w:pPr>
            <w:r>
              <w:rPr>
                <w:sz w:val="17"/>
              </w:rPr>
              <w:t xml:space="preserve">(32.00, 37.00]</w:t>
            </w:r>
          </w:p>
        </w:tc>
        <w:tc>
          <w:tcPr/>
          <w:p>
            <w:pPr>
              <w:pStyle w:val="Compact"/>
              <w:jc w:val="right"/>
            </w:pPr>
            <w:r>
              <w:rPr>
                <w:sz w:val="17"/>
              </w:rPr>
              <w:t xml:space="preserve">-0.001</w:t>
            </w:r>
          </w:p>
        </w:tc>
        <w:tc>
          <w:tcPr/>
          <w:p>
            <w:pPr>
              <w:pStyle w:val="Compact"/>
              <w:jc w:val="right"/>
            </w:pPr>
            <w:r>
              <w:rPr>
                <w:sz w:val="17"/>
              </w:rPr>
              <w:t xml:space="preserve">-1.119</w:t>
            </w:r>
          </w:p>
        </w:tc>
        <w:tc>
          <w:tcPr/>
          <w:p>
            <w:pPr>
              <w:pStyle w:val="Compact"/>
              <w:jc w:val="right"/>
            </w:pPr>
            <w:r>
              <w:rPr>
                <w:sz w:val="17"/>
              </w:rPr>
              <w:t xml:space="preserve">74.89</w:t>
            </w:r>
          </w:p>
        </w:tc>
      </w:tr>
      <w:tr>
        <w:tc>
          <w:tcPr/>
          <w:p>
            <w:pPr>
              <w:pStyle w:val="Compact"/>
              <w:jc w:val="left"/>
            </w:pPr>
            <w:r>
              <w:rPr>
                <w:sz w:val="17"/>
              </w:rPr>
              <w:t xml:space="preserve">incentive</w:t>
            </w:r>
          </w:p>
        </w:tc>
        <w:tc>
          <w:tcPr/>
          <w:p>
            <w:pPr>
              <w:pStyle w:val="Compact"/>
              <w:jc w:val="right"/>
            </w:pPr>
            <w:r>
              <w:rPr>
                <w:sz w:val="17"/>
              </w:rPr>
              <w:t xml:space="preserve">0.12</w:t>
            </w:r>
          </w:p>
        </w:tc>
        <w:tc>
          <w:tcPr/>
          <w:p>
            <w:pPr>
              <w:pStyle w:val="Compact"/>
              <w:jc w:val="right"/>
            </w:pPr>
            <w:r>
              <w:rPr>
                <w:sz w:val="17"/>
              </w:rPr>
              <w:t xml:space="preserve">(0.09, 0.20]</w:t>
            </w:r>
          </w:p>
        </w:tc>
        <w:tc>
          <w:tcPr/>
          <w:p>
            <w:pPr>
              <w:pStyle w:val="Compact"/>
              <w:jc w:val="right"/>
            </w:pPr>
            <w:r>
              <w:rPr>
                <w:sz w:val="17"/>
              </w:rPr>
              <w:t xml:space="preserve">0.102</w:t>
            </w:r>
          </w:p>
        </w:tc>
        <w:tc>
          <w:tcPr/>
          <w:p>
            <w:pPr>
              <w:pStyle w:val="Compact"/>
              <w:jc w:val="right"/>
            </w:pPr>
            <w:r>
              <w:rPr>
                <w:sz w:val="17"/>
              </w:rPr>
              <w:t xml:space="preserve">-0.026</w:t>
            </w:r>
          </w:p>
        </w:tc>
        <w:tc>
          <w:tcPr/>
          <w:p>
            <w:pPr>
              <w:pStyle w:val="Compact"/>
              <w:jc w:val="right"/>
            </w:pPr>
            <w:r>
              <w:rPr>
                <w:sz w:val="17"/>
              </w:rPr>
              <w:t xml:space="preserve">75.00</w:t>
            </w:r>
          </w:p>
        </w:tc>
      </w:tr>
      <w:tr>
        <w:tc>
          <w:tcPr/>
          <w:p>
            <w:pPr>
              <w:pStyle w:val="Compact"/>
              <w:jc w:val="left"/>
            </w:pPr>
            <w:r>
              <w:rPr>
                <w:sz w:val="17"/>
              </w:rPr>
              <w:t xml:space="preserve">age</w:t>
            </w:r>
          </w:p>
        </w:tc>
        <w:tc>
          <w:tcPr/>
          <w:p>
            <w:pPr>
              <w:pStyle w:val="Compact"/>
              <w:jc w:val="right"/>
            </w:pPr>
            <w:r>
              <w:rPr>
                <w:sz w:val="17"/>
              </w:rPr>
              <w:t xml:space="preserve">12.00</w:t>
            </w:r>
          </w:p>
        </w:tc>
        <w:tc>
          <w:tcPr/>
          <w:p>
            <w:pPr>
              <w:pStyle w:val="Compact"/>
              <w:jc w:val="right"/>
            </w:pPr>
            <w:r>
              <w:rPr>
                <w:sz w:val="17"/>
              </w:rPr>
              <w:t xml:space="preserve">(6.00, 18.00]</w:t>
            </w:r>
          </w:p>
        </w:tc>
        <w:tc>
          <w:tcPr/>
          <w:p>
            <w:pPr>
              <w:pStyle w:val="Compact"/>
              <w:jc w:val="right"/>
            </w:pPr>
            <w:r>
              <w:rPr>
                <w:sz w:val="17"/>
              </w:rPr>
              <w:t xml:space="preserve">-0.114</w:t>
            </w:r>
          </w:p>
        </w:tc>
        <w:tc>
          <w:tcPr/>
          <w:p>
            <w:pPr>
              <w:pStyle w:val="Compact"/>
              <w:jc w:val="right"/>
            </w:pPr>
            <w:r>
              <w:rPr>
                <w:sz w:val="17"/>
              </w:rPr>
              <w:t xml:space="preserve">-0.223</w:t>
            </w:r>
          </w:p>
        </w:tc>
        <w:tc>
          <w:tcPr/>
          <w:p>
            <w:pPr>
              <w:pStyle w:val="Compact"/>
              <w:jc w:val="right"/>
            </w:pPr>
            <w:r>
              <w:rPr>
                <w:sz w:val="17"/>
              </w:rPr>
              <w:t xml:space="preserve">74.19</w:t>
            </w:r>
          </w:p>
        </w:tc>
      </w:tr>
      <w:tr>
        <w:tc>
          <w:tcPr/>
          <w:p>
            <w:pPr>
              <w:pStyle w:val="Compact"/>
              <w:jc w:val="left"/>
            </w:pPr>
            <w:r>
              <w:rPr>
                <w:sz w:val="17"/>
              </w:rPr>
              <w:t xml:space="preserve">unemp</w:t>
            </w:r>
          </w:p>
        </w:tc>
        <w:tc>
          <w:tcPr/>
          <w:p>
            <w:pPr>
              <w:pStyle w:val="Compact"/>
              <w:jc w:val="right"/>
            </w:pPr>
            <w:r>
              <w:rPr>
                <w:sz w:val="17"/>
              </w:rPr>
              <w:t xml:space="preserve">5.43</w:t>
            </w:r>
          </w:p>
        </w:tc>
        <w:tc>
          <w:tcPr/>
          <w:p>
            <w:pPr>
              <w:pStyle w:val="Compact"/>
              <w:jc w:val="right"/>
            </w:pPr>
            <w:r>
              <w:rPr>
                <w:sz w:val="17"/>
              </w:rPr>
              <w:t xml:space="preserve">(5.20, 5.47]</w:t>
            </w:r>
          </w:p>
        </w:tc>
        <w:tc>
          <w:tcPr/>
          <w:p>
            <w:pPr>
              <w:pStyle w:val="Compact"/>
              <w:jc w:val="right"/>
            </w:pPr>
            <w:r>
              <w:rPr>
                <w:sz w:val="17"/>
              </w:rPr>
              <w:t xml:space="preserve">0.126</w:t>
            </w:r>
          </w:p>
        </w:tc>
        <w:tc>
          <w:tcPr/>
          <w:p>
            <w:pPr>
              <w:pStyle w:val="Compact"/>
              <w:jc w:val="right"/>
            </w:pPr>
            <w:r>
              <w:rPr>
                <w:sz w:val="17"/>
              </w:rPr>
              <w:t xml:space="preserve">-0.821</w:t>
            </w:r>
          </w:p>
        </w:tc>
        <w:tc>
          <w:tcPr/>
          <w:p>
            <w:pPr>
              <w:pStyle w:val="Compact"/>
              <w:jc w:val="right"/>
            </w:pPr>
            <w:r>
              <w:rPr>
                <w:sz w:val="17"/>
              </w:rPr>
              <w:t xml:space="preserve">77.91</w:t>
            </w:r>
          </w:p>
        </w:tc>
      </w:tr>
      <w:tr>
        <w:tc>
          <w:tcPr/>
          <w:p>
            <w:pPr>
              <w:pStyle w:val="Compact"/>
              <w:jc w:val="left"/>
            </w:pPr>
            <w:r>
              <w:rPr>
                <w:sz w:val="17"/>
              </w:rPr>
              <w:t xml:space="preserve">unemp_chg_12m</w:t>
            </w:r>
          </w:p>
        </w:tc>
        <w:tc>
          <w:tcPr/>
          <w:p>
            <w:pPr>
              <w:pStyle w:val="Compact"/>
              <w:jc w:val="right"/>
            </w:pPr>
            <w:r>
              <w:rPr>
                <w:sz w:val="17"/>
              </w:rPr>
              <w:t xml:space="preserve">-3.50</w:t>
            </w:r>
          </w:p>
        </w:tc>
        <w:tc>
          <w:tcPr/>
          <w:p>
            <w:pPr>
              <w:pStyle w:val="Compact"/>
              <w:jc w:val="right"/>
            </w:pPr>
            <w:r>
              <w:rPr>
                <w:sz w:val="17"/>
              </w:rPr>
              <w:t xml:space="preserve">(-inf, -0.80]</w:t>
            </w:r>
          </w:p>
        </w:tc>
        <w:tc>
          <w:tcPr/>
          <w:p>
            <w:pPr>
              <w:pStyle w:val="Compact"/>
              <w:jc w:val="right"/>
            </w:pPr>
            <w:r>
              <w:rPr>
                <w:sz w:val="17"/>
              </w:rPr>
              <w:t xml:space="preserve">-0.341</w:t>
            </w:r>
          </w:p>
        </w:tc>
        <w:tc>
          <w:tcPr/>
          <w:p>
            <w:pPr>
              <w:pStyle w:val="Compact"/>
              <w:jc w:val="right"/>
            </w:pPr>
            <w:r>
              <w:rPr>
                <w:sz w:val="17"/>
              </w:rPr>
              <w:t xml:space="preserve">-0.087</w:t>
            </w:r>
          </w:p>
        </w:tc>
        <w:tc>
          <w:tcPr/>
          <w:p>
            <w:pPr>
              <w:pStyle w:val="Compact"/>
              <w:jc w:val="right"/>
            </w:pPr>
            <w:r>
              <w:rPr>
                <w:sz w:val="17"/>
              </w:rPr>
              <w:t xml:space="preserve">74.07</w:t>
            </w:r>
          </w:p>
        </w:tc>
      </w:tr>
    </w:tbl>
    <w:p>
      <w:pPr>
        <w:pStyle w:val="BodyText"/>
      </w:pPr>
      <w:r>
        <w:t xml:space="preserve">The points add up to 627.07, which matches the 627.07 stored in</w:t>
      </w:r>
      <w:r>
        <w:t xml:space="preserve"> </w:t>
      </w:r>
      <w:r>
        <w:rPr>
          <w:rStyle w:val="VerbatimChar"/>
        </w:rPr>
        <w:t xml:space="preserve">excel_inputs/loan_sample.csv</w:t>
      </w:r>
      <w:r>
        <w:t xml:space="preserve">. The raw log-odds of default is</w:t>
      </w:r>
      <w:r>
        <w:t xml:space="preserve"> </w:t>
      </w:r>
      <m:oMath>
        <m:r>
          <m:t>z</m:t>
        </m:r>
        <m:r>
          <m:rPr>
            <m:sty m:val="p"/>
          </m:rPr>
          <m:t>=</m:t>
        </m:r>
        <m:r>
          <m:rPr>
            <m:sty m:val="p"/>
          </m:rPr>
          <m:t>(</m:t>
        </m:r>
        <m:r>
          <m:rPr>
            <m:nor/>
            <m:sty m:val="p"/>
          </m:rPr>
          <m:t>Offset</m:t>
        </m:r>
        <m:r>
          <m:rPr>
            <m:sty m:val="p"/>
          </m:rPr>
          <m:t>−</m:t>
        </m:r>
        <m:r>
          <m:rPr>
            <m:nor/>
            <m:sty m:val="p"/>
          </m:rPr>
          <m:t>Score</m:t>
        </m:r>
        <m:r>
          <m:rPr>
            <m:sty m:val="p"/>
          </m:rPr>
          <m:t>)</m:t>
        </m:r>
        <m:r>
          <m:rPr>
            <m:sty m:val="p"/>
          </m:rPr>
          <m:t>/</m:t>
        </m:r>
        <m:r>
          <m:rPr>
            <m:nor/>
            <m:sty m:val="p"/>
          </m:rPr>
          <m:t>Factor</m:t>
        </m:r>
        <m:r>
          <m:rPr>
            <m:sty m:val="p"/>
          </m:rPr>
          <m:t>=</m:t>
        </m:r>
        <m:r>
          <m:rPr>
            <m:sty m:val="p"/>
          </m:rPr>
          <m:t>−</m:t>
        </m:r>
        <m:r>
          <m:t>4.850</m:t>
        </m:r>
      </m:oMath>
      <w:r>
        <w:t xml:space="preserve">, so the raw PD is 0.777% (good-to-bad odds of about 127.8 to 1). The loan's</w:t>
      </w:r>
      <w:r>
        <w:t xml:space="preserve"> </w:t>
      </w:r>
      <w:r>
        <w:rPr>
          <w:i/>
          <w:iCs/>
        </w:rPr>
        <w:t xml:space="preserve">calibrated</w:t>
      </w:r>
      <w:r>
        <w:t xml:space="preserve"> </w:t>
      </w:r>
      <w:r>
        <w:t xml:space="preserve">scorecard PD is 0.691%: the isotonic or Platt calibration step (section 7.8) maps the raw probability to an observed frequency on the calibration window, which is why the two differ. For reference, LightGBM gives 0.961% for the same loan, and the loan defaulted within twelve months.</w:t>
      </w:r>
    </w:p>
    <w:bookmarkEnd w:id="43"/>
    <w:bookmarkStart w:id="44" w:name="gradient-boosting"/>
    <w:p>
      <w:pPr>
        <w:pStyle w:val="Heading2"/>
      </w:pPr>
      <w:r>
        <w:rPr>
          <w:rStyle w:val="SectionNumber"/>
        </w:rPr>
        <w:t xml:space="preserve">7.4</w:t>
      </w:r>
      <w:r>
        <w:tab/>
      </w:r>
      <w:r>
        <w:t xml:space="preserve">Gradient boosting</w:t>
      </w:r>
    </w:p>
    <w:p>
      <w:pPr>
        <w:pStyle w:val="FirstParagraph"/>
      </w:pPr>
      <w:r>
        <w:rPr>
          <w:i/>
          <w:iCs/>
        </w:rPr>
        <w:t xml:space="preserve">Intuition.</w:t>
      </w:r>
      <w:r>
        <w:t xml:space="preserve"> </w:t>
      </w:r>
      <w:r>
        <w:t xml:space="preserve">A single small decision tree is a weak predictor. Boosting builds trees one after another, each one fitted to the</w:t>
      </w:r>
      <w:r>
        <w:t xml:space="preserve"> </w:t>
      </w:r>
      <w:r>
        <w:rPr>
          <w:b/>
          <w:bCs/>
        </w:rPr>
        <w:t xml:space="preserve">mistakes</w:t>
      </w:r>
      <w:r>
        <w:t xml:space="preserve"> </w:t>
      </w:r>
      <w:r>
        <w:t xml:space="preserve">of the ensemble so far, and adds them up with a small weight. The result is a flexible function that captures interactions (for example, high LTV matters more when unemployment is high) without the analyst specifying them.</w:t>
      </w:r>
    </w:p>
    <w:p>
      <w:pPr>
        <w:pStyle w:val="BodyText"/>
      </w:pPr>
      <w:r>
        <w:rPr>
          <w:i/>
          <w:iCs/>
        </w:rPr>
        <w:t xml:space="preserve">Maths.</w:t>
      </w:r>
      <w:r>
        <w:t xml:space="preserve"> </w:t>
      </w:r>
      <w:r>
        <w:t xml:space="preserve">The prediction is a sum of</w:t>
      </w:r>
      <w:r>
        <w:t xml:space="preserve"> </w:t>
      </w:r>
      <m:oMath>
        <m:r>
          <m:t>M</m:t>
        </m:r>
      </m:oMath>
      <w:r>
        <w:t xml:space="preserve"> </w:t>
      </w:r>
      <w:r>
        <w:t xml:space="preserve">trees on the log-odds scale,</w:t>
      </w:r>
      <w:r>
        <w:t xml:space="preserve"> </w:t>
      </w:r>
      <m:oMath>
        <m:sSub>
          <m:e>
            <m:acc>
              <m:accPr>
                <m:chr m:val="̂"/>
              </m:accPr>
              <m:e>
                <m:r>
                  <m:t>z</m:t>
                </m:r>
              </m:e>
            </m:acc>
          </m:e>
          <m:sub>
            <m:r>
              <m:t>i</m:t>
            </m:r>
          </m:sub>
        </m:sSub>
        <m:r>
          <m:rPr>
            <m:sty m:val="p"/>
          </m:rPr>
          <m:t>=</m:t>
        </m:r>
        <m:nary>
          <m:naryPr>
            <m:chr m:val="∑"/>
            <m:limLoc m:val="undOvr"/>
            <m:subHide m:val="off"/>
            <m:supHide m:val="off"/>
          </m:naryPr>
          <m:sub>
            <m:r>
              <m:t>m</m:t>
            </m:r>
            <m:r>
              <m:rPr>
                <m:sty m:val="p"/>
              </m:rPr>
              <m:t>=</m:t>
            </m:r>
            <m:r>
              <m:t>1</m:t>
            </m:r>
          </m:sub>
          <m:sup>
            <m:r>
              <m:t>M</m:t>
            </m:r>
          </m:sup>
          <m:e>
            <m:sSub>
              <m:e>
                <m:r>
                  <m:t>f</m:t>
                </m:r>
              </m:e>
              <m:sub>
                <m:r>
                  <m:t>m</m:t>
                </m:r>
              </m:sub>
            </m:sSub>
          </m:e>
        </m:nary>
        <m:r>
          <m:rPr>
            <m:sty m:val="p"/>
          </m:rPr>
          <m:t>(</m:t>
        </m:r>
        <m:sSub>
          <m:e>
            <m:r>
              <m:t>x</m:t>
            </m:r>
          </m:e>
          <m:sub>
            <m:r>
              <m:t>i</m:t>
            </m:r>
          </m:sub>
        </m:sSub>
        <m:r>
          <m:rPr>
            <m:sty m:val="p"/>
          </m:rPr>
          <m:t>)</m:t>
        </m:r>
      </m:oMath>
      <w:r>
        <w:t xml:space="preserve">, with</w:t>
      </w:r>
      <w:r>
        <w:t xml:space="preserve"> </w:t>
      </w:r>
      <m:oMath>
        <m:sSub>
          <m:e>
            <m:r>
              <m:t>p</m:t>
            </m:r>
          </m:e>
          <m:sub>
            <m:r>
              <m:t>i</m:t>
            </m:r>
          </m:sub>
        </m:sSub>
        <m:r>
          <m:rPr>
            <m:sty m:val="p"/>
          </m:rPr>
          <m:t>=</m:t>
        </m:r>
        <m:r>
          <m:t>σ</m:t>
        </m:r>
        <m:r>
          <m:rPr>
            <m:sty m:val="p"/>
          </m:rPr>
          <m:t>(</m:t>
        </m:r>
        <m:sSub>
          <m:e>
            <m:acc>
              <m:accPr>
                <m:chr m:val="̂"/>
              </m:accPr>
              <m:e>
                <m:r>
                  <m:t>z</m:t>
                </m:r>
              </m:e>
            </m:acc>
          </m:e>
          <m:sub>
            <m:r>
              <m:t>i</m:t>
            </m:r>
          </m:sub>
        </m:sSub>
        <m:r>
          <m:rPr>
            <m:sty m:val="p"/>
          </m:rPr>
          <m:t>)</m:t>
        </m:r>
      </m:oMath>
      <w:r>
        <w:t xml:space="preserve">. At step</w:t>
      </w:r>
      <w:r>
        <w:t xml:space="preserve"> </w:t>
      </w:r>
      <m:oMath>
        <m:r>
          <m:t>m</m:t>
        </m:r>
      </m:oMath>
      <w:r>
        <w:t xml:space="preserve">, XGBoost minimizes the regularized objective</w:t>
      </w:r>
    </w:p>
    <w:p>
      <w:pPr>
        <w:pStyle w:val="BodyText"/>
      </w:pPr>
      <m:oMathPara>
        <m:oMathParaPr>
          <m:jc m:val="center"/>
        </m:oMathParaPr>
        <m:oMath>
          <m:sSup>
            <m:e>
              <m:r>
                <m:rPr>
                  <m:scr m:val="script"/>
                  <m:sty m:val="p"/>
                </m:rPr>
                <m:t>L</m:t>
              </m:r>
            </m:e>
            <m:sup>
              <m:r>
                <m:rPr>
                  <m:sty m:val="p"/>
                </m:rPr>
                <m:t>(</m:t>
              </m:r>
              <m:r>
                <m:t>m</m:t>
              </m:r>
              <m:r>
                <m:rPr>
                  <m:sty m:val="p"/>
                </m:rPr>
                <m:t>)</m:t>
              </m:r>
            </m:sup>
          </m:sSup>
          <m:r>
            <m:rPr>
              <m:sty m:val="p"/>
            </m:rPr>
            <m:t>=</m:t>
          </m:r>
          <m:nary>
            <m:naryPr>
              <m:chr m:val="∑"/>
              <m:limLoc m:val="undOvr"/>
              <m:subHide m:val="off"/>
              <m:supHide m:val="on"/>
            </m:naryPr>
            <m:sub>
              <m:r>
                <m:t>i</m:t>
              </m:r>
            </m:sub>
            <m:sup>
              <m:r>
                <m:t>​</m:t>
              </m:r>
            </m:sup>
            <m:e>
              <m:r>
                <m:t>ℓ</m:t>
              </m:r>
            </m:e>
          </m:nary>
          <m:d>
            <m:dPr>
              <m:begChr m:val="("/>
              <m:sepChr m:val=""/>
              <m:endChr m:val=")"/>
              <m:grow/>
            </m:dPr>
            <m:e>
              <m:sSub>
                <m:e>
                  <m:r>
                    <m:t>y</m:t>
                  </m:r>
                </m:e>
                <m:sub>
                  <m:r>
                    <m:t>i</m:t>
                  </m:r>
                </m:sub>
              </m:sSub>
              <m:r>
                <m:rPr>
                  <m:sty m:val="p"/>
                </m:rPr>
                <m:t>,</m:t>
              </m:r>
              <m:sSubSup>
                <m:e>
                  <m:acc>
                    <m:accPr>
                      <m:chr m:val="̂"/>
                    </m:accPr>
                    <m:e>
                      <m:r>
                        <m:t>z</m:t>
                      </m:r>
                    </m:e>
                  </m:acc>
                </m:e>
                <m:sub>
                  <m:r>
                    <m:t>i</m:t>
                  </m:r>
                </m:sub>
                <m:sup>
                  <m:r>
                    <m:rPr>
                      <m:sty m:val="p"/>
                    </m:rPr>
                    <m:t>(</m:t>
                  </m:r>
                  <m:r>
                    <m:t>m</m:t>
                  </m:r>
                  <m:r>
                    <m:rPr>
                      <m:sty m:val="p"/>
                    </m:rPr>
                    <m:t>−</m:t>
                  </m:r>
                  <m:r>
                    <m:t>1</m:t>
                  </m:r>
                  <m:r>
                    <m:rPr>
                      <m:sty m:val="p"/>
                    </m:rPr>
                    <m:t>)</m:t>
                  </m:r>
                </m:sup>
              </m:sSubSup>
              <m:r>
                <m:rPr>
                  <m:sty m:val="p"/>
                </m:rPr>
                <m:t>+</m:t>
              </m:r>
              <m:sSub>
                <m:e>
                  <m:r>
                    <m:t>f</m:t>
                  </m:r>
                </m:e>
                <m:sub>
                  <m:r>
                    <m:t>m</m:t>
                  </m:r>
                </m:sub>
              </m:sSub>
              <m:r>
                <m:rPr>
                  <m:sty m:val="p"/>
                </m:rPr>
                <m:t>(</m:t>
              </m:r>
              <m:sSub>
                <m:e>
                  <m:r>
                    <m:t>x</m:t>
                  </m:r>
                </m:e>
                <m:sub>
                  <m:r>
                    <m:t>i</m:t>
                  </m:r>
                </m:sub>
              </m:sSub>
              <m:r>
                <m:rPr>
                  <m:sty m:val="p"/>
                </m:rPr>
                <m:t>)</m:t>
              </m:r>
            </m:e>
          </m:d>
          <m:r>
            <m:rPr>
              <m:sty m:val="p"/>
            </m:rPr>
            <m:t>+</m:t>
          </m:r>
          <m:r>
            <m:rPr>
              <m:sty m:val="p"/>
            </m:rPr>
            <m:t>Ω</m:t>
          </m:r>
          <m:r>
            <m:rPr>
              <m:sty m:val="p"/>
            </m:rPr>
            <m:t>(</m:t>
          </m:r>
          <m:sSub>
            <m:e>
              <m:r>
                <m:t>f</m:t>
              </m:r>
            </m:e>
            <m:sub>
              <m:r>
                <m:t>m</m:t>
              </m:r>
            </m:sub>
          </m:sSub>
          <m:r>
            <m:rPr>
              <m:sty m:val="p"/>
            </m:rPr>
            <m:t>)</m:t>
          </m:r>
          <m:r>
            <m:rPr>
              <m:sty m:val="p"/>
            </m:rPr>
            <m:t>,</m:t>
          </m:r>
          <m:r>
            <m:t>  </m:t>
          </m:r>
          <m:r>
            <m:rPr>
              <m:sty m:val="p"/>
            </m:rPr>
            <m:t>Ω</m:t>
          </m:r>
          <m:r>
            <m:rPr>
              <m:sty m:val="p"/>
            </m:rPr>
            <m:t>(</m:t>
          </m:r>
          <m:r>
            <m:t>f</m:t>
          </m:r>
          <m:r>
            <m:rPr>
              <m:sty m:val="p"/>
            </m:rPr>
            <m:t>)</m:t>
          </m:r>
          <m:r>
            <m:rPr>
              <m:sty m:val="p"/>
            </m:rPr>
            <m:t>=</m:t>
          </m:r>
          <m:r>
            <m:t>γ</m:t>
          </m:r>
          <m:r>
            <m:t>T</m:t>
          </m:r>
          <m:r>
            <m:rPr>
              <m:sty m:val="p"/>
            </m:rPr>
            <m:t>+</m:t>
          </m:r>
          <m:f>
            <m:fPr>
              <m:type m:val="lin"/>
            </m:fPr>
            <m:num>
              <m:r>
                <m:t>1</m:t>
              </m:r>
            </m:num>
            <m:den>
              <m:r>
                <m:t>2</m:t>
              </m:r>
            </m:den>
          </m:f>
          <m:r>
            <m:t>λ</m:t>
          </m:r>
          <m:nary>
            <m:naryPr>
              <m:chr m:val="∑"/>
              <m:limLoc m:val="undOvr"/>
              <m:subHide m:val="off"/>
              <m:supHide m:val="off"/>
            </m:naryPr>
            <m:sub>
              <m:r>
                <m:t>j</m:t>
              </m:r>
              <m:r>
                <m:rPr>
                  <m:sty m:val="p"/>
                </m:rPr>
                <m:t>=</m:t>
              </m:r>
              <m:r>
                <m:t>1</m:t>
              </m:r>
            </m:sub>
            <m:sup>
              <m:r>
                <m:t>T</m:t>
              </m:r>
            </m:sup>
            <m:e>
              <m:sSubSup>
                <m:e>
                  <m:r>
                    <m:t>w</m:t>
                  </m:r>
                </m:e>
                <m:sub>
                  <m:r>
                    <m:t>j</m:t>
                  </m:r>
                </m:sub>
                <m:sup>
                  <m:r>
                    <m:t>2</m:t>
                  </m:r>
                </m:sup>
              </m:sSubSup>
            </m:e>
          </m:nary>
          <m:r>
            <m:rPr>
              <m:sty m:val="p"/>
            </m:rPr>
            <m:t>,</m:t>
          </m:r>
        </m:oMath>
      </m:oMathPara>
    </w:p>
    <w:p>
      <w:pPr>
        <w:pStyle w:val="FirstParagraph"/>
      </w:pPr>
      <w:r>
        <w:t xml:space="preserve">where</w:t>
      </w:r>
      <w:r>
        <w:t xml:space="preserve"> </w:t>
      </w:r>
      <m:oMath>
        <m:r>
          <m:t>T</m:t>
        </m:r>
      </m:oMath>
      <w:r>
        <w:t xml:space="preserve"> </w:t>
      </w:r>
      <w:r>
        <w:t xml:space="preserve">is the number of leaves and</w:t>
      </w:r>
      <w:r>
        <w:t xml:space="preserve"> </w:t>
      </w:r>
      <m:oMath>
        <m:sSub>
          <m:e>
            <m:r>
              <m:t>w</m:t>
            </m:r>
          </m:e>
          <m:sub>
            <m:r>
              <m:t>j</m:t>
            </m:r>
          </m:sub>
        </m:sSub>
      </m:oMath>
      <w:r>
        <w:t xml:space="preserve"> </w:t>
      </w:r>
      <w:r>
        <w:t xml:space="preserve">the leaf values. A second-order Taylor expansion of the loss around the current prediction gives</w:t>
      </w:r>
    </w:p>
    <w:p>
      <w:pPr>
        <w:pStyle w:val="BodyText"/>
      </w:pPr>
      <m:oMathPara>
        <m:oMathParaPr>
          <m:jc m:val="center"/>
        </m:oMathParaPr>
        <m:oMath>
          <m:sSup>
            <m:e>
              <m:r>
                <m:rPr>
                  <m:scr m:val="script"/>
                  <m:sty m:val="p"/>
                </m:rPr>
                <m:t>L</m:t>
              </m:r>
            </m:e>
            <m:sup>
              <m:r>
                <m:rPr>
                  <m:sty m:val="p"/>
                </m:rPr>
                <m:t>(</m:t>
              </m:r>
              <m:r>
                <m:t>m</m:t>
              </m:r>
              <m:r>
                <m:rPr>
                  <m:sty m:val="p"/>
                </m:rPr>
                <m:t>)</m:t>
              </m:r>
            </m:sup>
          </m:sSup>
          <m:r>
            <m:rPr>
              <m:sty m:val="p"/>
            </m:rPr>
            <m:t>≈</m:t>
          </m:r>
          <m:nary>
            <m:naryPr>
              <m:chr m:val="∑"/>
              <m:limLoc m:val="undOvr"/>
              <m:subHide m:val="off"/>
              <m:supHide m:val="on"/>
            </m:naryPr>
            <m:sub>
              <m:r>
                <m:t>i</m:t>
              </m:r>
            </m:sub>
            <m:sup>
              <m:r>
                <m:t>​</m:t>
              </m:r>
            </m:sup>
            <m:e>
              <m:d>
                <m:dPr>
                  <m:begChr m:val="["/>
                  <m:sepChr m:val=""/>
                  <m:endChr m:val="]"/>
                  <m:grow/>
                </m:dPr>
                <m:e>
                  <m:sSub>
                    <m:e>
                      <m:r>
                        <m:t>g</m:t>
                      </m:r>
                    </m:e>
                    <m:sub>
                      <m:r>
                        <m:t>i</m:t>
                      </m:r>
                    </m:sub>
                  </m:sSub>
                  <m:sSub>
                    <m:e>
                      <m:r>
                        <m:t>f</m:t>
                      </m:r>
                    </m:e>
                    <m:sub>
                      <m:r>
                        <m:t>m</m:t>
                      </m:r>
                    </m:sub>
                  </m:sSub>
                  <m:r>
                    <m:rPr>
                      <m:sty m:val="p"/>
                    </m:rPr>
                    <m:t>(</m:t>
                  </m:r>
                  <m:sSub>
                    <m:e>
                      <m:r>
                        <m:t>x</m:t>
                      </m:r>
                    </m:e>
                    <m:sub>
                      <m:r>
                        <m:t>i</m:t>
                      </m:r>
                    </m:sub>
                  </m:sSub>
                  <m:r>
                    <m:rPr>
                      <m:sty m:val="p"/>
                    </m:rPr>
                    <m:t>)</m:t>
                  </m:r>
                  <m:r>
                    <m:rPr>
                      <m:sty m:val="p"/>
                    </m:rPr>
                    <m:t>+</m:t>
                  </m:r>
                  <m:f>
                    <m:fPr>
                      <m:type m:val="lin"/>
                    </m:fPr>
                    <m:num>
                      <m:r>
                        <m:t>1</m:t>
                      </m:r>
                    </m:num>
                    <m:den>
                      <m:r>
                        <m:t>2</m:t>
                      </m:r>
                    </m:den>
                  </m:f>
                  <m:sSub>
                    <m:e>
                      <m:r>
                        <m:t>h</m:t>
                      </m:r>
                    </m:e>
                    <m:sub>
                      <m:r>
                        <m:t>i</m:t>
                      </m:r>
                    </m:sub>
                  </m:sSub>
                  <m:sSub>
                    <m:e>
                      <m:r>
                        <m:t>f</m:t>
                      </m:r>
                    </m:e>
                    <m:sub>
                      <m:r>
                        <m:t>m</m:t>
                      </m:r>
                    </m:sub>
                  </m:sSub>
                  <m:r>
                    <m:rPr>
                      <m:sty m:val="p"/>
                    </m:rPr>
                    <m:t>(</m:t>
                  </m:r>
                  <m:sSub>
                    <m:e>
                      <m:r>
                        <m:t>x</m:t>
                      </m:r>
                    </m:e>
                    <m:sub>
                      <m:r>
                        <m:t>i</m:t>
                      </m:r>
                    </m:sub>
                  </m:sSub>
                  <m:sSup>
                    <m:e>
                      <m:r>
                        <m:rPr>
                          <m:sty m:val="p"/>
                        </m:rPr>
                        <m:t>)</m:t>
                      </m:r>
                    </m:e>
                    <m:sup>
                      <m:r>
                        <m:t>2</m:t>
                      </m:r>
                    </m:sup>
                  </m:sSup>
                </m:e>
              </m:d>
            </m:e>
          </m:nary>
          <m:r>
            <m:rPr>
              <m:sty m:val="p"/>
            </m:rPr>
            <m:t>+</m:t>
          </m:r>
          <m:r>
            <m:rPr>
              <m:sty m:val="p"/>
            </m:rPr>
            <m:t>Ω</m:t>
          </m:r>
          <m:r>
            <m:rPr>
              <m:sty m:val="p"/>
            </m:rPr>
            <m:t>(</m:t>
          </m:r>
          <m:sSub>
            <m:e>
              <m:r>
                <m:t>f</m:t>
              </m:r>
            </m:e>
            <m:sub>
              <m:r>
                <m:t>m</m:t>
              </m:r>
            </m:sub>
          </m:sSub>
          <m:r>
            <m:rPr>
              <m:sty m:val="p"/>
            </m:rPr>
            <m:t>)</m:t>
          </m:r>
          <m:r>
            <m:rPr>
              <m:sty m:val="p"/>
            </m:rPr>
            <m:t>,</m:t>
          </m:r>
          <m:r>
            <m:t>  </m:t>
          </m:r>
          <m:sSub>
            <m:e>
              <m:r>
                <m:t>g</m:t>
              </m:r>
            </m:e>
            <m:sub>
              <m:r>
                <m:t>i</m:t>
              </m:r>
            </m:sub>
          </m:sSub>
          <m:r>
            <m:rPr>
              <m:sty m:val="p"/>
            </m:rPr>
            <m:t>=</m:t>
          </m:r>
          <m:f>
            <m:fPr>
              <m:type m:val="bar"/>
            </m:fPr>
            <m:num>
              <m:r>
                <m:rPr>
                  <m:sty m:val="p"/>
                </m:rPr>
                <m:t>∂</m:t>
              </m:r>
              <m:r>
                <m:t>ℓ</m:t>
              </m:r>
            </m:num>
            <m:den>
              <m:r>
                <m:rPr>
                  <m:sty m:val="p"/>
                </m:rPr>
                <m:t>∂</m:t>
              </m:r>
              <m:sSub>
                <m:e>
                  <m:acc>
                    <m:accPr>
                      <m:chr m:val="̂"/>
                    </m:accPr>
                    <m:e>
                      <m:r>
                        <m:t>z</m:t>
                      </m:r>
                    </m:e>
                  </m:acc>
                </m:e>
                <m:sub>
                  <m:r>
                    <m:t>i</m:t>
                  </m:r>
                </m:sub>
              </m:sSub>
            </m:den>
          </m:f>
          <m:r>
            <m:rPr>
              <m:sty m:val="p"/>
            </m:rPr>
            <m:t>=</m:t>
          </m:r>
          <m:sSub>
            <m:e>
              <m:r>
                <m:t>p</m:t>
              </m:r>
            </m:e>
            <m:sub>
              <m:r>
                <m:t>i</m:t>
              </m:r>
            </m:sub>
          </m:sSub>
          <m:r>
            <m:rPr>
              <m:sty m:val="p"/>
            </m:rPr>
            <m:t>−</m:t>
          </m:r>
          <m:sSub>
            <m:e>
              <m:r>
                <m:t>y</m:t>
              </m:r>
            </m:e>
            <m:sub>
              <m:r>
                <m:t>i</m:t>
              </m:r>
            </m:sub>
          </m:sSub>
          <m:r>
            <m:rPr>
              <m:sty m:val="p"/>
            </m:rPr>
            <m:t>,</m:t>
          </m:r>
          <m:r>
            <m:t> </m:t>
          </m:r>
          <m:sSub>
            <m:e>
              <m:r>
                <m:t>h</m:t>
              </m:r>
            </m:e>
            <m:sub>
              <m:r>
                <m:t>i</m:t>
              </m:r>
            </m:sub>
          </m:sSub>
          <m:r>
            <m:rPr>
              <m:sty m:val="p"/>
            </m:rPr>
            <m:t>=</m:t>
          </m:r>
          <m:f>
            <m:fPr>
              <m:type m:val="bar"/>
            </m:fPr>
            <m:num>
              <m:sSup>
                <m:e>
                  <m:r>
                    <m:rPr>
                      <m:sty m:val="p"/>
                    </m:rPr>
                    <m:t>∂</m:t>
                  </m:r>
                </m:e>
                <m:sup>
                  <m:r>
                    <m:t>2</m:t>
                  </m:r>
                </m:sup>
              </m:sSup>
              <m:r>
                <m:t>ℓ</m:t>
              </m:r>
            </m:num>
            <m:den>
              <m:r>
                <m:rPr>
                  <m:sty m:val="p"/>
                </m:rPr>
                <m:t>∂</m:t>
              </m:r>
              <m:sSubSup>
                <m:e>
                  <m:acc>
                    <m:accPr>
                      <m:chr m:val="̂"/>
                    </m:accPr>
                    <m:e>
                      <m:r>
                        <m:t>z</m:t>
                      </m:r>
                    </m:e>
                  </m:acc>
                </m:e>
                <m:sub>
                  <m:r>
                    <m:t>i</m:t>
                  </m:r>
                </m:sub>
                <m:sup>
                  <m:r>
                    <m:t>2</m:t>
                  </m:r>
                </m:sup>
              </m:sSubSup>
            </m:den>
          </m:f>
          <m:r>
            <m:rPr>
              <m:sty m:val="p"/>
            </m:rPr>
            <m:t>=</m:t>
          </m:r>
          <m:sSub>
            <m:e>
              <m:r>
                <m:t>p</m:t>
              </m:r>
            </m:e>
            <m:sub>
              <m:r>
                <m:t>i</m:t>
              </m:r>
            </m:sub>
          </m:sSub>
          <m:r>
            <m:rPr>
              <m:sty m:val="p"/>
            </m:rPr>
            <m:t>(</m:t>
          </m:r>
          <m:r>
            <m:t>1</m:t>
          </m:r>
          <m:r>
            <m:rPr>
              <m:sty m:val="p"/>
            </m:rPr>
            <m:t>−</m:t>
          </m:r>
          <m:sSub>
            <m:e>
              <m:r>
                <m:t>p</m:t>
              </m:r>
            </m:e>
            <m:sub>
              <m:r>
                <m:t>i</m:t>
              </m:r>
            </m:sub>
          </m:sSub>
          <m:r>
            <m:rPr>
              <m:sty m:val="p"/>
            </m:rPr>
            <m:t>)</m:t>
          </m:r>
        </m:oMath>
      </m:oMathPara>
    </w:p>
    <w:p>
      <w:pPr>
        <w:pStyle w:val="FirstParagraph"/>
      </w:pPr>
      <w:r>
        <w:t xml:space="preserve">for logistic loss. Grouping observations by leaf, with</w:t>
      </w:r>
      <w:r>
        <w:t xml:space="preserve"> </w:t>
      </w:r>
      <m:oMath>
        <m:sSub>
          <m:e>
            <m:r>
              <m:t>G</m:t>
            </m:r>
          </m:e>
          <m:sub>
            <m:r>
              <m:t>j</m:t>
            </m:r>
          </m:sub>
        </m:sSub>
        <m:r>
          <m:rPr>
            <m:sty m:val="p"/>
          </m:rPr>
          <m:t>=</m:t>
        </m:r>
        <m:nary>
          <m:naryPr>
            <m:chr m:val="∑"/>
            <m:limLoc m:val="undOvr"/>
            <m:subHide m:val="off"/>
            <m:supHide m:val="on"/>
          </m:naryPr>
          <m:sub>
            <m:r>
              <m:t>i</m:t>
            </m:r>
            <m:r>
              <m:rPr>
                <m:sty m:val="p"/>
              </m:rPr>
              <m:t>∈</m:t>
            </m:r>
            <m:r>
              <m:t>j</m:t>
            </m:r>
          </m:sub>
          <m:sup>
            <m:r>
              <m:t>​</m:t>
            </m:r>
          </m:sup>
          <m:e>
            <m:sSub>
              <m:e>
                <m:r>
                  <m:t>g</m:t>
                </m:r>
              </m:e>
              <m:sub>
                <m:r>
                  <m:t>i</m:t>
                </m:r>
              </m:sub>
            </m:sSub>
          </m:e>
        </m:nary>
      </m:oMath>
      <w:r>
        <w:t xml:space="preserve"> </w:t>
      </w:r>
      <w:r>
        <w:t xml:space="preserve">and</w:t>
      </w:r>
      <w:r>
        <w:t xml:space="preserve"> </w:t>
      </w:r>
      <m:oMath>
        <m:sSub>
          <m:e>
            <m:r>
              <m:t>H</m:t>
            </m:r>
          </m:e>
          <m:sub>
            <m:r>
              <m:t>j</m:t>
            </m:r>
          </m:sub>
        </m:sSub>
        <m:r>
          <m:rPr>
            <m:sty m:val="p"/>
          </m:rPr>
          <m:t>=</m:t>
        </m:r>
        <m:nary>
          <m:naryPr>
            <m:chr m:val="∑"/>
            <m:limLoc m:val="undOvr"/>
            <m:subHide m:val="off"/>
            <m:supHide m:val="on"/>
          </m:naryPr>
          <m:sub>
            <m:r>
              <m:t>i</m:t>
            </m:r>
            <m:r>
              <m:rPr>
                <m:sty m:val="p"/>
              </m:rPr>
              <m:t>∈</m:t>
            </m:r>
            <m:r>
              <m:t>j</m:t>
            </m:r>
          </m:sub>
          <m:sup>
            <m:r>
              <m:t>​</m:t>
            </m:r>
          </m:sup>
          <m:e>
            <m:sSub>
              <m:e>
                <m:r>
                  <m:t>h</m:t>
                </m:r>
              </m:e>
              <m:sub>
                <m:r>
                  <m:t>i</m:t>
                </m:r>
              </m:sub>
            </m:sSub>
          </m:e>
        </m:nary>
      </m:oMath>
      <w:r>
        <w:t xml:space="preserve">, the best leaf value and the objective value are</w:t>
      </w:r>
    </w:p>
    <w:p>
      <w:pPr>
        <w:pStyle w:val="BodyText"/>
      </w:pPr>
      <m:oMathPara>
        <m:oMathParaPr>
          <m:jc m:val="center"/>
        </m:oMathParaPr>
        <m:oMath>
          <m:sSubSup>
            <m:e>
              <m:r>
                <m:t>w</m:t>
              </m:r>
            </m:e>
            <m:sub>
              <m:r>
                <m:t>j</m:t>
              </m:r>
            </m:sub>
            <m:sup>
              <m:r>
                <m:rPr>
                  <m:sty m:val="p"/>
                </m:rPr>
                <m:t>*</m:t>
              </m:r>
            </m:sup>
          </m:sSubSup>
          <m:r>
            <m:rPr>
              <m:sty m:val="p"/>
            </m:rPr>
            <m:t>=</m:t>
          </m:r>
          <m:r>
            <m:rPr>
              <m:sty m:val="p"/>
            </m:rPr>
            <m:t>−</m:t>
          </m:r>
          <m:f>
            <m:fPr>
              <m:type m:val="bar"/>
            </m:fPr>
            <m:num>
              <m:sSub>
                <m:e>
                  <m:r>
                    <m:t>G</m:t>
                  </m:r>
                </m:e>
                <m:sub>
                  <m:r>
                    <m:t>j</m:t>
                  </m:r>
                </m:sub>
              </m:sSub>
            </m:num>
            <m:den>
              <m:sSub>
                <m:e>
                  <m:r>
                    <m:t>H</m:t>
                  </m:r>
                </m:e>
                <m:sub>
                  <m:r>
                    <m:t>j</m:t>
                  </m:r>
                </m:sub>
              </m:sSub>
              <m:r>
                <m:rPr>
                  <m:sty m:val="p"/>
                </m:rPr>
                <m:t>+</m:t>
              </m:r>
              <m:r>
                <m:t>λ</m:t>
              </m:r>
            </m:den>
          </m:f>
          <m:r>
            <m:rPr>
              <m:sty m:val="p"/>
            </m:rPr>
            <m:t>,</m:t>
          </m:r>
          <m:r>
            <m:t>  </m:t>
          </m:r>
          <m:sSup>
            <m:e>
              <m:r>
                <m:rPr>
                  <m:scr m:val="script"/>
                  <m:sty m:val="p"/>
                </m:rPr>
                <m:t>L</m:t>
              </m:r>
            </m:e>
            <m:sup>
              <m:r>
                <m:rPr>
                  <m:sty m:val="p"/>
                </m:rPr>
                <m:t>*</m:t>
              </m:r>
            </m:sup>
          </m:sSup>
          <m:r>
            <m:rPr>
              <m:sty m:val="p"/>
            </m:rPr>
            <m:t>=</m:t>
          </m:r>
          <m:r>
            <m:rPr>
              <m:sty m:val="p"/>
            </m:rPr>
            <m:t>−</m:t>
          </m:r>
          <m:f>
            <m:fPr>
              <m:type m:val="lin"/>
            </m:fPr>
            <m:num>
              <m:r>
                <m:t>1</m:t>
              </m:r>
            </m:num>
            <m:den>
              <m:r>
                <m:t>2</m:t>
              </m:r>
            </m:den>
          </m:f>
          <m:nary>
            <m:naryPr>
              <m:chr m:val="∑"/>
              <m:limLoc m:val="undOvr"/>
              <m:subHide m:val="off"/>
              <m:supHide m:val="off"/>
            </m:naryPr>
            <m:sub>
              <m:r>
                <m:t>j</m:t>
              </m:r>
              <m:r>
                <m:rPr>
                  <m:sty m:val="p"/>
                </m:rPr>
                <m:t>=</m:t>
              </m:r>
              <m:r>
                <m:t>1</m:t>
              </m:r>
            </m:sub>
            <m:sup>
              <m:r>
                <m:t>T</m:t>
              </m:r>
            </m:sup>
            <m:e>
              <m:f>
                <m:fPr>
                  <m:type m:val="bar"/>
                </m:fPr>
                <m:num>
                  <m:sSubSup>
                    <m:e>
                      <m:r>
                        <m:t>G</m:t>
                      </m:r>
                    </m:e>
                    <m:sub>
                      <m:r>
                        <m:t>j</m:t>
                      </m:r>
                    </m:sub>
                    <m:sup>
                      <m:r>
                        <m:t>2</m:t>
                      </m:r>
                    </m:sup>
                  </m:sSubSup>
                </m:num>
                <m:den>
                  <m:sSub>
                    <m:e>
                      <m:r>
                        <m:t>H</m:t>
                      </m:r>
                    </m:e>
                    <m:sub>
                      <m:r>
                        <m:t>j</m:t>
                      </m:r>
                    </m:sub>
                  </m:sSub>
                  <m:r>
                    <m:rPr>
                      <m:sty m:val="p"/>
                    </m:rPr>
                    <m:t>+</m:t>
                  </m:r>
                  <m:r>
                    <m:t>λ</m:t>
                  </m:r>
                </m:den>
              </m:f>
            </m:e>
          </m:nary>
          <m:r>
            <m:rPr>
              <m:sty m:val="p"/>
            </m:rPr>
            <m:t>+</m:t>
          </m:r>
          <m:r>
            <m:t>γ</m:t>
          </m:r>
          <m:r>
            <m:t>T</m:t>
          </m:r>
          <m:r>
            <m:rPr>
              <m:sty m:val="p"/>
            </m:rPr>
            <m:t>.</m:t>
          </m:r>
        </m:oMath>
      </m:oMathPara>
    </w:p>
    <w:p>
      <w:pPr>
        <w:pStyle w:val="FirstParagraph"/>
      </w:pPr>
      <w:r>
        <w:t xml:space="preserve">A candidate split is scored by the</w:t>
      </w:r>
      <w:r>
        <w:t xml:space="preserve"> </w:t>
      </w:r>
      <w:r>
        <w:rPr>
          <w:b/>
          <w:bCs/>
        </w:rPr>
        <w:t xml:space="preserve">gain</w:t>
      </w:r>
      <w:r>
        <w:t xml:space="preserve"> </w:t>
      </w:r>
      <w:r>
        <w:t xml:space="preserve">in this objective,</w:t>
      </w:r>
    </w:p>
    <w:p>
      <w:pPr>
        <w:pStyle w:val="BodyText"/>
      </w:pPr>
      <m:oMathPara>
        <m:oMathParaPr>
          <m:jc m:val="center"/>
        </m:oMathParaPr>
        <m:oMath>
          <m:r>
            <m:rPr>
              <m:nor/>
              <m:sty m:val="p"/>
            </m:rPr>
            <m:t>Gain</m:t>
          </m:r>
          <m:r>
            <m:rPr>
              <m:sty m:val="p"/>
            </m:rPr>
            <m:t>=</m:t>
          </m:r>
          <m:f>
            <m:fPr>
              <m:type m:val="lin"/>
            </m:fPr>
            <m:num>
              <m:r>
                <m:t>1</m:t>
              </m:r>
            </m:num>
            <m:den>
              <m:r>
                <m:t>2</m:t>
              </m:r>
            </m:den>
          </m:f>
          <m:d>
            <m:dPr>
              <m:begChr m:val="["/>
              <m:sepChr m:val=""/>
              <m:endChr m:val="]"/>
              <m:grow/>
            </m:dPr>
            <m:e>
              <m:f>
                <m:fPr>
                  <m:type m:val="bar"/>
                </m:fPr>
                <m:num>
                  <m:sSubSup>
                    <m:e>
                      <m:r>
                        <m:t>G</m:t>
                      </m:r>
                    </m:e>
                    <m:sub>
                      <m:r>
                        <m:t>L</m:t>
                      </m:r>
                    </m:sub>
                    <m:sup>
                      <m:r>
                        <m:t>2</m:t>
                      </m:r>
                    </m:sup>
                  </m:sSubSup>
                </m:num>
                <m:den>
                  <m:sSub>
                    <m:e>
                      <m:r>
                        <m:t>H</m:t>
                      </m:r>
                    </m:e>
                    <m:sub>
                      <m:r>
                        <m:t>L</m:t>
                      </m:r>
                    </m:sub>
                  </m:sSub>
                  <m:r>
                    <m:rPr>
                      <m:sty m:val="p"/>
                    </m:rPr>
                    <m:t>+</m:t>
                  </m:r>
                  <m:r>
                    <m:t>λ</m:t>
                  </m:r>
                </m:den>
              </m:f>
              <m:r>
                <m:rPr>
                  <m:sty m:val="p"/>
                </m:rPr>
                <m:t>+</m:t>
              </m:r>
              <m:f>
                <m:fPr>
                  <m:type m:val="bar"/>
                </m:fPr>
                <m:num>
                  <m:sSubSup>
                    <m:e>
                      <m:r>
                        <m:t>G</m:t>
                      </m:r>
                    </m:e>
                    <m:sub>
                      <m:r>
                        <m:t>R</m:t>
                      </m:r>
                    </m:sub>
                    <m:sup>
                      <m:r>
                        <m:t>2</m:t>
                      </m:r>
                    </m:sup>
                  </m:sSubSup>
                </m:num>
                <m:den>
                  <m:sSub>
                    <m:e>
                      <m:r>
                        <m:t>H</m:t>
                      </m:r>
                    </m:e>
                    <m:sub>
                      <m:r>
                        <m:t>R</m:t>
                      </m:r>
                    </m:sub>
                  </m:sSub>
                  <m:r>
                    <m:rPr>
                      <m:sty m:val="p"/>
                    </m:rPr>
                    <m:t>+</m:t>
                  </m:r>
                  <m:r>
                    <m:t>λ</m:t>
                  </m:r>
                </m:den>
              </m:f>
              <m:r>
                <m:rPr>
                  <m:sty m:val="p"/>
                </m:rPr>
                <m:t>−</m:t>
              </m:r>
              <m:f>
                <m:fPr>
                  <m:type m:val="bar"/>
                </m:fPr>
                <m:num>
                  <m:r>
                    <m:rPr>
                      <m:sty m:val="p"/>
                    </m:rPr>
                    <m:t>(</m:t>
                  </m:r>
                  <m:sSub>
                    <m:e>
                      <m:r>
                        <m:t>G</m:t>
                      </m:r>
                    </m:e>
                    <m:sub>
                      <m:r>
                        <m:t>L</m:t>
                      </m:r>
                    </m:sub>
                  </m:sSub>
                  <m:r>
                    <m:rPr>
                      <m:sty m:val="p"/>
                    </m:rPr>
                    <m:t>+</m:t>
                  </m:r>
                  <m:sSub>
                    <m:e>
                      <m:r>
                        <m:t>G</m:t>
                      </m:r>
                    </m:e>
                    <m:sub>
                      <m:r>
                        <m:t>R</m:t>
                      </m:r>
                    </m:sub>
                  </m:sSub>
                  <m:sSup>
                    <m:e>
                      <m:r>
                        <m:rPr>
                          <m:sty m:val="p"/>
                        </m:rPr>
                        <m:t>)</m:t>
                      </m:r>
                    </m:e>
                    <m:sup>
                      <m:r>
                        <m:t>2</m:t>
                      </m:r>
                    </m:sup>
                  </m:sSup>
                </m:num>
                <m:den>
                  <m:sSub>
                    <m:e>
                      <m:r>
                        <m:t>H</m:t>
                      </m:r>
                    </m:e>
                    <m:sub>
                      <m:r>
                        <m:t>L</m:t>
                      </m:r>
                    </m:sub>
                  </m:sSub>
                  <m:r>
                    <m:rPr>
                      <m:sty m:val="p"/>
                    </m:rPr>
                    <m:t>+</m:t>
                  </m:r>
                  <m:sSub>
                    <m:e>
                      <m:r>
                        <m:t>H</m:t>
                      </m:r>
                    </m:e>
                    <m:sub>
                      <m:r>
                        <m:t>R</m:t>
                      </m:r>
                    </m:sub>
                  </m:sSub>
                  <m:r>
                    <m:rPr>
                      <m:sty m:val="p"/>
                    </m:rPr>
                    <m:t>+</m:t>
                  </m:r>
                  <m:r>
                    <m:t>λ</m:t>
                  </m:r>
                </m:den>
              </m:f>
            </m:e>
          </m:d>
          <m:r>
            <m:rPr>
              <m:sty m:val="p"/>
            </m:rPr>
            <m:t>−</m:t>
          </m:r>
          <m:r>
            <m:t>γ</m:t>
          </m:r>
          <m:r>
            <m:rPr>
              <m:sty m:val="p"/>
            </m:rPr>
            <m:t>.</m:t>
          </m:r>
        </m:oMath>
      </m:oMathPara>
    </w:p>
    <w:p>
      <w:pPr>
        <w:pStyle w:val="FirstParagraph"/>
      </w:pPr>
      <w:r>
        <w:t xml:space="preserve">The</w:t>
      </w:r>
      <w:r>
        <w:t xml:space="preserve"> </w:t>
      </w:r>
      <m:oMath>
        <m:r>
          <m:t>λ</m:t>
        </m:r>
      </m:oMath>
      <w:r>
        <w:t xml:space="preserve"> </w:t>
      </w:r>
      <w:r>
        <w:t xml:space="preserve">penalty shrinks leaf values toward zero (guarding against overfitting on small leaves), the Hessian sum</w:t>
      </w:r>
      <w:r>
        <w:t xml:space="preserve"> </w:t>
      </w:r>
      <m:oMath>
        <m:r>
          <m:t>H</m:t>
        </m:r>
      </m:oMath>
      <w:r>
        <w:t xml:space="preserve"> </w:t>
      </w:r>
      <w:r>
        <w:t xml:space="preserve">acts as a "weighted sample count" for the minimum child size, and a learning rate (shrinkage) scales each tree's contribution. Row and column subsampling add randomness for generalization (Chen and Guestrin 2016).</w:t>
      </w:r>
    </w:p>
    <w:p>
      <w:pPr>
        <w:pStyle w:val="BodyText"/>
      </w:pPr>
      <w:r>
        <w:rPr>
          <w:i/>
          <w:iCs/>
        </w:rPr>
        <w:t xml:space="preserve">Implementation.</w:t>
      </w:r>
      <w:r>
        <w:t xml:space="preserve"> </w:t>
      </w:r>
      <w:r>
        <w:rPr>
          <w:rStyle w:val="VerbatimChar"/>
        </w:rPr>
        <w:t xml:space="preserve">models.fit_gbm</w:t>
      </w:r>
      <w:r>
        <w:t xml:space="preserve"> </w:t>
      </w:r>
      <w:r>
        <w:t xml:space="preserve">builds either learner through</w:t>
      </w:r>
      <w:r>
        <w:t xml:space="preserve"> </w:t>
      </w:r>
      <w:r>
        <w:rPr>
          <w:rStyle w:val="VerbatimChar"/>
        </w:rPr>
        <w:t xml:space="preserve">models._make_estimator</w:t>
      </w:r>
      <w:r>
        <w:t xml:space="preserve">; defaults are learning rate 0.08, depth 4, 15 leaves, subsample 0.8, column sample 0.8, L2 lambda 5 and 250 trees, replaced by tuned values (section 7.7).</w:t>
      </w:r>
    </w:p>
    <w:bookmarkEnd w:id="44"/>
    <w:bookmarkStart w:id="45" w:name="monotone-constraints"/>
    <w:p>
      <w:pPr>
        <w:pStyle w:val="Heading2"/>
      </w:pPr>
      <w:r>
        <w:rPr>
          <w:rStyle w:val="SectionNumber"/>
        </w:rPr>
        <w:t xml:space="preserve">7.5</w:t>
      </w:r>
      <w:r>
        <w:tab/>
      </w:r>
      <w:r>
        <w:t xml:space="preserve">Monotone constraints</w:t>
      </w:r>
    </w:p>
    <w:p>
      <w:pPr>
        <w:pStyle w:val="FirstParagraph"/>
      </w:pPr>
      <w:r>
        <w:rPr>
          <w:i/>
          <w:iCs/>
        </w:rPr>
        <w:t xml:space="preserve">Intuition.</w:t>
      </w:r>
      <w:r>
        <w:t xml:space="preserve"> </w:t>
      </w:r>
      <w:r>
        <w:t xml:space="preserve">A lender will not accept a model in which a higher FICO score can raise the default probability. Trees fitted to noisy data can produce such wiggles. A monotone constraint forbids them.</w:t>
      </w:r>
    </w:p>
    <w:p>
      <w:pPr>
        <w:pStyle w:val="BodyText"/>
      </w:pPr>
      <w:r>
        <w:rPr>
          <w:i/>
          <w:iCs/>
        </w:rPr>
        <w:t xml:space="preserve">Maths.</w:t>
      </w:r>
      <w:r>
        <w:t xml:space="preserve"> </w:t>
      </w:r>
      <w:r>
        <w:t xml:space="preserve">For a constrained feature the learner only accepts a split if the left child's value is not larger than the right child's (for a feature that should raise risk), and the allowed value interval is propagated to all descendants so that the whole function stays monotone in that feature. The constraints used are in</w:t>
      </w:r>
      <w:r>
        <w:t xml:space="preserve"> </w:t>
      </w:r>
      <w:r>
        <w:rPr>
          <w:rStyle w:val="VerbatimChar"/>
        </w:rPr>
        <w:t xml:space="preserve">models.MONOTONE</w:t>
      </w:r>
      <w:r>
        <w:t xml:space="preserve">:</w:t>
      </w:r>
    </w:p>
    <w:p>
      <w:pPr>
        <w:pStyle w:val="Compact"/>
        <w:numPr>
          <w:ilvl w:val="0"/>
          <w:numId w:val="1003"/>
        </w:numPr>
      </w:pPr>
      <w:r>
        <w:t xml:space="preserve">PD:</w:t>
      </w:r>
      <w:r>
        <w:t xml:space="preserve"> </w:t>
      </w:r>
      <w:r>
        <w:rPr>
          <w:rStyle w:val="VerbatimChar"/>
        </w:rPr>
        <w:t xml:space="preserve">fico</w:t>
      </w:r>
      <w:r>
        <w:t xml:space="preserve"> </w:t>
      </w:r>
      <w:r>
        <w:t xml:space="preserve">decreasing;</w:t>
      </w:r>
      <w:r>
        <w:t xml:space="preserve"> </w:t>
      </w:r>
      <w:r>
        <w:rPr>
          <w:rStyle w:val="VerbatimChar"/>
        </w:rPr>
        <w:t xml:space="preserve">mtm_ltv</w:t>
      </w:r>
      <w:r>
        <w:t xml:space="preserve">,</w:t>
      </w:r>
      <w:r>
        <w:t xml:space="preserve"> </w:t>
      </w:r>
      <w:r>
        <w:rPr>
          <w:rStyle w:val="VerbatimChar"/>
        </w:rPr>
        <w:t xml:space="preserve">dti</w:t>
      </w:r>
      <w:r>
        <w:t xml:space="preserve">,</w:t>
      </w:r>
      <w:r>
        <w:t xml:space="preserve"> </w:t>
      </w:r>
      <w:r>
        <w:rPr>
          <w:rStyle w:val="VerbatimChar"/>
        </w:rPr>
        <w:t xml:space="preserve">unemp</w:t>
      </w:r>
      <w:r>
        <w:t xml:space="preserve">,</w:t>
      </w:r>
      <w:r>
        <w:t xml:space="preserve"> </w:t>
      </w:r>
      <w:r>
        <w:rPr>
          <w:rStyle w:val="VerbatimChar"/>
        </w:rPr>
        <w:t xml:space="preserve">times_30dpd_12m</w:t>
      </w:r>
      <w:r>
        <w:t xml:space="preserve"> </w:t>
      </w:r>
      <w:r>
        <w:t xml:space="preserve">increasing.</w:t>
      </w:r>
    </w:p>
    <w:p>
      <w:pPr>
        <w:pStyle w:val="Compact"/>
        <w:numPr>
          <w:ilvl w:val="0"/>
          <w:numId w:val="1003"/>
        </w:numPr>
      </w:pPr>
      <w:r>
        <w:t xml:space="preserve">Prepay:</w:t>
      </w:r>
      <w:r>
        <w:t xml:space="preserve"> </w:t>
      </w:r>
      <w:r>
        <w:rPr>
          <w:rStyle w:val="VerbatimChar"/>
        </w:rPr>
        <w:t xml:space="preserve">incentive</w:t>
      </w:r>
      <w:r>
        <w:t xml:space="preserve"> </w:t>
      </w:r>
      <w:r>
        <w:t xml:space="preserve">increasing;</w:t>
      </w:r>
      <w:r>
        <w:t xml:space="preserve"> </w:t>
      </w:r>
      <w:r>
        <w:rPr>
          <w:rStyle w:val="VerbatimChar"/>
        </w:rPr>
        <w:t xml:space="preserve">burnout</w:t>
      </w:r>
      <w:r>
        <w:t xml:space="preserve"> </w:t>
      </w:r>
      <w:r>
        <w:t xml:space="preserve">decreasing.</w:t>
      </w:r>
    </w:p>
    <w:p>
      <w:pPr>
        <w:pStyle w:val="FirstParagraph"/>
      </w:pPr>
      <w:r>
        <w:t xml:space="preserve">A constraint is a restriction on the</w:t>
      </w:r>
      <w:r>
        <w:t xml:space="preserve"> </w:t>
      </w:r>
      <w:r>
        <w:rPr>
          <w:i/>
          <w:iCs/>
        </w:rPr>
        <w:t xml:space="preserve">shape</w:t>
      </w:r>
      <w:r>
        <w:t xml:space="preserve"> </w:t>
      </w:r>
      <w:r>
        <w:t xml:space="preserve">of the response, not on its extent: beyond the training range a tree is flat, so the model cannot extrapolate (section 10.4 shows the consequence).</w:t>
      </w:r>
    </w:p>
    <w:bookmarkEnd w:id="45"/>
    <w:bookmarkStart w:id="46" w:name="xgboost-compared-with-lightgbm"/>
    <w:p>
      <w:pPr>
        <w:pStyle w:val="Heading2"/>
      </w:pPr>
      <w:r>
        <w:rPr>
          <w:rStyle w:val="SectionNumber"/>
        </w:rPr>
        <w:t xml:space="preserve">7.6</w:t>
      </w:r>
      <w:r>
        <w:tab/>
      </w:r>
      <w:r>
        <w:t xml:space="preserve">XGBoost compared with LightGBM</w:t>
      </w:r>
    </w:p>
    <w:p>
      <w:pPr>
        <w:pStyle w:val="FirstParagraph"/>
      </w:pPr>
      <w:r>
        <w:t xml:space="preserve">Both libraries implement the same boosting objective with histogram-based split search, so the differences are in how trees are grown and in practical details.</w:t>
      </w:r>
    </w:p>
    <w:p>
      <w:pPr>
        <w:pStyle w:val="TableCaption"/>
      </w:pPr>
      <w:r>
        <w:t xml:space="preserve">Practical differences between the two learners.</w:t>
      </w:r>
    </w:p>
    <w:tbl>
      <w:tblPr>
        <w:tblStyle w:val="Table"/>
        <w:tblW w:type="pct" w:w="5000"/>
        <w:tblLayout w:type="fixed"/>
        <w:tblLook w:firstRow="1" w:lastRow="0" w:firstColumn="0" w:lastColumn="0" w:noHBand="0" w:noVBand="0" w:val="0020"/>
        <w:tblCaption w:val="Practical differences between the two learn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Aspect</w:t>
            </w:r>
          </w:p>
        </w:tc>
        <w:tc>
          <w:tcPr/>
          <w:p>
            <w:pPr>
              <w:pStyle w:val="Compact"/>
              <w:jc w:val="left"/>
            </w:pPr>
            <w:r>
              <w:rPr>
                <w:sz w:val="17"/>
              </w:rPr>
              <w:t xml:space="preserve">XGBoost</w:t>
            </w:r>
          </w:p>
        </w:tc>
        <w:tc>
          <w:tcPr/>
          <w:p>
            <w:pPr>
              <w:pStyle w:val="Compact"/>
              <w:jc w:val="left"/>
            </w:pPr>
            <w:r>
              <w:rPr>
                <w:sz w:val="17"/>
              </w:rPr>
              <w:t xml:space="preserve">LightGBM</w:t>
            </w:r>
          </w:p>
        </w:tc>
      </w:tr>
      <w:tr>
        <w:tc>
          <w:tcPr/>
          <w:p>
            <w:pPr>
              <w:pStyle w:val="Compact"/>
              <w:jc w:val="left"/>
            </w:pPr>
            <w:r>
              <w:rPr>
                <w:sz w:val="17"/>
              </w:rPr>
              <w:t xml:space="preserve">Tree growth</w:t>
            </w:r>
          </w:p>
        </w:tc>
        <w:tc>
          <w:tcPr/>
          <w:p>
            <w:pPr>
              <w:pStyle w:val="Compact"/>
              <w:jc w:val="left"/>
            </w:pPr>
            <w:r>
              <w:rPr>
                <w:sz w:val="17"/>
              </w:rPr>
              <w:t xml:space="preserve">level-wise (grow all nodes at a depth), limited by</w:t>
            </w:r>
            <w:r>
              <w:rPr>
                <w:sz w:val="17"/>
              </w:rPr>
              <w:t xml:space="preserve"> </w:t>
            </w:r>
            <w:r>
              <w:rPr>
                <w:rStyle w:val="VerbatimChar"/>
                <w:sz w:val="17"/>
              </w:rPr>
              <w:t xml:space="preserve">max_depth</w:t>
            </w:r>
          </w:p>
        </w:tc>
        <w:tc>
          <w:tcPr/>
          <w:p>
            <w:pPr>
              <w:pStyle w:val="Compact"/>
              <w:jc w:val="left"/>
            </w:pPr>
            <w:r>
              <w:rPr>
                <w:sz w:val="17"/>
              </w:rPr>
              <w:t xml:space="preserve">leaf-wise (always split the leaf with the largest gain), limited by</w:t>
            </w:r>
            <w:r>
              <w:rPr>
                <w:sz w:val="17"/>
              </w:rPr>
              <w:t xml:space="preserve"> </w:t>
            </w:r>
            <w:r>
              <w:rPr>
                <w:rStyle w:val="VerbatimChar"/>
                <w:sz w:val="17"/>
              </w:rPr>
              <w:t xml:space="preserve">num_leaves</w:t>
            </w:r>
          </w:p>
        </w:tc>
      </w:tr>
      <w:tr>
        <w:tc>
          <w:tcPr/>
          <w:p>
            <w:pPr>
              <w:pStyle w:val="Compact"/>
              <w:jc w:val="left"/>
            </w:pPr>
            <w:r>
              <w:rPr>
                <w:sz w:val="17"/>
              </w:rPr>
              <w:t xml:space="preserve">Typical effect</w:t>
            </w:r>
          </w:p>
        </w:tc>
        <w:tc>
          <w:tcPr/>
          <w:p>
            <w:pPr>
              <w:pStyle w:val="Compact"/>
              <w:jc w:val="left"/>
            </w:pPr>
            <w:r>
              <w:rPr>
                <w:sz w:val="17"/>
              </w:rPr>
              <w:t xml:space="preserve">balanced trees, a little slower</w:t>
            </w:r>
          </w:p>
        </w:tc>
        <w:tc>
          <w:tcPr/>
          <w:p>
            <w:pPr>
              <w:pStyle w:val="Compact"/>
              <w:jc w:val="left"/>
            </w:pPr>
            <w:r>
              <w:rPr>
                <w:sz w:val="17"/>
              </w:rPr>
              <w:t xml:space="preserve">deeper, asymmetric trees that can fit more with fewer splits, with higher overfitting risk on small data</w:t>
            </w:r>
          </w:p>
        </w:tc>
      </w:tr>
      <w:tr>
        <w:tc>
          <w:tcPr/>
          <w:p>
            <w:pPr>
              <w:pStyle w:val="Compact"/>
              <w:jc w:val="left"/>
            </w:pPr>
            <w:r>
              <w:rPr>
                <w:sz w:val="17"/>
              </w:rPr>
              <w:t xml:space="preserve">Categorical features</w:t>
            </w:r>
          </w:p>
        </w:tc>
        <w:tc>
          <w:tcPr/>
          <w:p>
            <w:pPr>
              <w:pStyle w:val="Compact"/>
              <w:jc w:val="left"/>
            </w:pPr>
            <w:r>
              <w:rPr>
                <w:sz w:val="17"/>
              </w:rPr>
              <w:t xml:space="preserve">needs one-hot encoding (used here)</w:t>
            </w:r>
          </w:p>
        </w:tc>
        <w:tc>
          <w:tcPr/>
          <w:p>
            <w:pPr>
              <w:pStyle w:val="Compact"/>
              <w:jc w:val="left"/>
            </w:pPr>
            <w:r>
              <w:rPr>
                <w:sz w:val="17"/>
              </w:rPr>
              <w:t xml:space="preserve">native categorical splits (used here)</w:t>
            </w:r>
          </w:p>
        </w:tc>
      </w:tr>
      <w:tr>
        <w:tc>
          <w:tcPr/>
          <w:p>
            <w:pPr>
              <w:pStyle w:val="Compact"/>
              <w:jc w:val="left"/>
            </w:pPr>
            <w:r>
              <w:rPr>
                <w:sz w:val="17"/>
              </w:rPr>
              <w:t xml:space="preserve">Minimum leaf size</w:t>
            </w:r>
          </w:p>
        </w:tc>
        <w:tc>
          <w:tcPr/>
          <w:p>
            <w:pPr>
              <w:pStyle w:val="Compact"/>
              <w:jc w:val="left"/>
            </w:pPr>
            <w:r>
              <w:rPr>
                <w:rStyle w:val="VerbatimChar"/>
                <w:sz w:val="17"/>
              </w:rPr>
              <w:t xml:space="preserve">min_child_weight</w:t>
            </w:r>
            <w:r>
              <w:rPr>
                <w:sz w:val="17"/>
              </w:rPr>
              <w:t xml:space="preserve"> </w:t>
            </w:r>
            <w:r>
              <w:rPr>
                <w:sz w:val="17"/>
              </w:rPr>
              <w:t xml:space="preserve">on the Hessian sum (set to</w:t>
            </w:r>
            <w:r>
              <w:rPr>
                <w:sz w:val="17"/>
              </w:rPr>
              <w:t xml:space="preserve"> </w:t>
            </w:r>
            <w:r>
              <w:rPr>
                <w:rStyle w:val="VerbatimChar"/>
                <w:sz w:val="17"/>
              </w:rPr>
              <w:t xml:space="preserve">min_child / 10</w:t>
            </w:r>
            <w:r>
              <w:rPr>
                <w:sz w:val="17"/>
              </w:rPr>
              <w:t xml:space="preserve"> </w:t>
            </w:r>
            <w:r>
              <w:rPr>
                <w:sz w:val="17"/>
              </w:rPr>
              <w:t xml:space="preserve">here)</w:t>
            </w:r>
          </w:p>
        </w:tc>
        <w:tc>
          <w:tcPr/>
          <w:p>
            <w:pPr>
              <w:pStyle w:val="Compact"/>
              <w:jc w:val="left"/>
            </w:pPr>
            <w:r>
              <w:rPr>
                <w:rStyle w:val="VerbatimChar"/>
                <w:sz w:val="17"/>
              </w:rPr>
              <w:t xml:space="preserve">min_child_samples</w:t>
            </w:r>
            <w:r>
              <w:rPr>
                <w:sz w:val="17"/>
              </w:rPr>
              <w:t xml:space="preserve"> </w:t>
            </w:r>
            <w:r>
              <w:rPr>
                <w:sz w:val="17"/>
              </w:rPr>
              <w:t xml:space="preserve">on row counts</w:t>
            </w:r>
          </w:p>
        </w:tc>
      </w:tr>
      <w:tr>
        <w:tc>
          <w:tcPr/>
          <w:p>
            <w:pPr>
              <w:pStyle w:val="Compact"/>
              <w:jc w:val="left"/>
            </w:pPr>
            <w:r>
              <w:rPr>
                <w:sz w:val="17"/>
              </w:rPr>
              <w:t xml:space="preserve">Speed tricks</w:t>
            </w:r>
          </w:p>
        </w:tc>
        <w:tc>
          <w:tcPr/>
          <w:p>
            <w:pPr>
              <w:pStyle w:val="Compact"/>
              <w:jc w:val="left"/>
            </w:pPr>
            <w:r>
              <w:rPr>
                <w:sz w:val="17"/>
              </w:rPr>
              <w:t xml:space="preserve">approximate histograms, sparsity-aware splits</w:t>
            </w:r>
          </w:p>
        </w:tc>
        <w:tc>
          <w:tcPr/>
          <w:p>
            <w:pPr>
              <w:pStyle w:val="Compact"/>
              <w:jc w:val="left"/>
            </w:pPr>
            <w:r>
              <w:rPr>
                <w:sz w:val="17"/>
              </w:rPr>
              <w:t xml:space="preserve">histogram subtraction, optional gradient-based one-side sampling, exclusive feature bundling</w:t>
            </w:r>
          </w:p>
        </w:tc>
      </w:tr>
    </w:tbl>
    <w:p>
      <w:pPr>
        <w:pStyle w:val="BodyText"/>
      </w:pPr>
      <w:r>
        <w:t xml:space="preserve">LightGBM's design is described in Ke et al. (2017). In this repo the one-hot XGBoost design matrix is turned back into the original features when SHAP values are computed (</w:t>
      </w:r>
      <w:r>
        <w:rPr>
          <w:rStyle w:val="VerbatimChar"/>
        </w:rPr>
        <w:t xml:space="preserve">explain.shap_values</w:t>
      </w:r>
      <w:r>
        <w:t xml:space="preserve"> </w:t>
      </w:r>
      <w:r>
        <w:t xml:space="preserve">sums the one-hot columns by source feature), so both learners can be explained in terms of the same variables.</w:t>
      </w:r>
    </w:p>
    <w:bookmarkEnd w:id="46"/>
    <w:bookmarkStart w:id="47" w:name="time-aware-hyperparameter-tuning"/>
    <w:p>
      <w:pPr>
        <w:pStyle w:val="Heading2"/>
      </w:pPr>
      <w:r>
        <w:rPr>
          <w:rStyle w:val="SectionNumber"/>
        </w:rPr>
        <w:t xml:space="preserve">7.7</w:t>
      </w:r>
      <w:r>
        <w:tab/>
      </w:r>
      <w:r>
        <w:t xml:space="preserve">Time-aware hyperparameter tuning</w:t>
      </w:r>
    </w:p>
    <w:p>
      <w:pPr>
        <w:pStyle w:val="FirstParagraph"/>
      </w:pPr>
      <w:r>
        <w:rPr>
          <w:i/>
          <w:iCs/>
        </w:rPr>
        <w:t xml:space="preserve">Intuition.</w:t>
      </w:r>
      <w:r>
        <w:t xml:space="preserve"> </w:t>
      </w:r>
      <w:r>
        <w:t xml:space="preserve">Hyperparameters (depth, learning rate, regularization) must be chosen without touching the out-of-time test. The honest way for time-ordered data is to train on the past and validate on the next period, repeatedly.</w:t>
      </w:r>
    </w:p>
    <w:p>
      <w:pPr>
        <w:pStyle w:val="BodyText"/>
      </w:pPr>
      <w:r>
        <w:rPr>
          <w:i/>
          <w:iCs/>
        </w:rPr>
        <w:t xml:space="preserve">Method.</w:t>
      </w:r>
      <w:r>
        <w:t xml:space="preserve"> </w:t>
      </w:r>
      <w:r>
        <w:rPr>
          <w:rStyle w:val="VerbatimChar"/>
        </w:rPr>
        <w:t xml:space="preserve">models.tune_time_cv</w:t>
      </w:r>
      <w:r>
        <w:t xml:space="preserve"> </w:t>
      </w:r>
      <w:r>
        <w:t xml:space="preserve">draws 12 random candidates (3 in quick mode) from the ranges in</w:t>
      </w:r>
      <w:r>
        <w:t xml:space="preserve"> </w:t>
      </w:r>
      <w:r>
        <w:rPr>
          <w:rStyle w:val="VerbatimChar"/>
        </w:rPr>
        <w:t xml:space="preserve">models.SEARCH</w:t>
      </w:r>
      <w:r>
        <w:t xml:space="preserve">, with learning rate and lambda sampled on a log scale. Each candidate is scored by the average</w:t>
      </w:r>
      <w:r>
        <w:t xml:space="preserve"> </w:t>
      </w:r>
      <w:r>
        <w:rPr>
          <w:b/>
          <w:bCs/>
        </w:rPr>
        <w:t xml:space="preserve">log-loss</w:t>
      </w:r>
      <w:r>
        <w:t xml:space="preserve"> </w:t>
      </w:r>
      <w:r>
        <w:t xml:space="preserve">across 3 expanding-window folds: the first 40% of months form the initial training window, each fold validates on the next block of months, and training rows are cut off a</w:t>
      </w:r>
      <w:r>
        <w:t xml:space="preserve"> </w:t>
      </w:r>
      <w:r>
        <w:rPr>
          <w:b/>
          <w:bCs/>
        </w:rPr>
        <w:t xml:space="preserve">gap</w:t>
      </w:r>
      <w:r>
        <w:t xml:space="preserve"> </w:t>
      </w:r>
      <w:r>
        <w:t xml:space="preserve">before the validation start (12 months for PD, because label windows are 12 months long and would otherwise overlap; 1 month for prepay). Early stopping on the validation fold gives the number of trees; the final tree count is 1.15 times the median early-stopped count. Tuning uses at most 200,000 rows for speed.</w:t>
      </w:r>
    </w:p>
    <w:p>
      <w:pPr>
        <w:pStyle w:val="BodyText"/>
      </w:pPr>
      <w:r>
        <w:t xml:space="preserve">The final tuned parameters and the calibrator selected for each bundle (read from the saved</w:t>
      </w:r>
      <w:r>
        <w:t xml:space="preserve"> </w:t>
      </w:r>
      <w:r>
        <w:rPr>
          <w:rStyle w:val="VerbatimChar"/>
        </w:rPr>
        <w:t xml:space="preserve">joblib</w:t>
      </w:r>
      <w:r>
        <w:t xml:space="preserve"> </w:t>
      </w:r>
      <w:r>
        <w:t xml:space="preserve">files):</w:t>
      </w:r>
    </w:p>
    <w:p>
      <w:pPr>
        <w:pStyle w:val="TableCaption"/>
      </w:pPr>
      <w:r>
        <w:t xml:space="preserve">Tuned boosting parameters and selected calibrators.</w:t>
      </w:r>
    </w:p>
    <w:tbl>
      <w:tblPr>
        <w:tblStyle w:val="Table"/>
        <w:tblW w:type="pct" w:w="5000"/>
        <w:tblLayout w:type="fixed"/>
        <w:tblLook w:firstRow="1" w:lastRow="0" w:firstColumn="0" w:lastColumn="0" w:noHBand="0" w:noVBand="0" w:val="0020"/>
        <w:tblCaption w:val="Tuned boosting parameters and selected calibrato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73"/>
        <w:gridCol w:w="1150"/>
        <w:gridCol w:w="880"/>
        <w:gridCol w:w="1286"/>
        <w:gridCol w:w="1150"/>
        <w:gridCol w:w="338"/>
        <w:gridCol w:w="609"/>
        <w:gridCol w:w="2030"/>
      </w:tblGrid>
      <w:tr>
        <w:trPr>
          <w:tblHeader w:val="on"/>
        </w:trPr>
        <w:tc>
          <w:tcPr/>
          <w:p>
            <w:pPr>
              <w:pStyle w:val="Compact"/>
              <w:jc w:val="left"/>
            </w:pPr>
            <w:r>
              <w:rPr>
                <w:sz w:val="17"/>
              </w:rPr>
              <w:t xml:space="preserve">Bundle</w:t>
            </w:r>
          </w:p>
        </w:tc>
        <w:tc>
          <w:tcPr/>
          <w:p>
            <w:pPr>
              <w:pStyle w:val="Compact"/>
              <w:jc w:val="right"/>
            </w:pPr>
            <w:r>
              <w:rPr>
                <w:sz w:val="17"/>
              </w:rPr>
              <w:t xml:space="preserve">Calibrator chosen</w:t>
            </w:r>
          </w:p>
        </w:tc>
        <w:tc>
          <w:tcPr/>
          <w:p>
            <w:pPr>
              <w:pStyle w:val="Compact"/>
              <w:jc w:val="right"/>
            </w:pPr>
            <w:r>
              <w:rPr>
                <w:sz w:val="17"/>
              </w:rPr>
              <w:t xml:space="preserve">Learning rate</w:t>
            </w:r>
          </w:p>
        </w:tc>
        <w:tc>
          <w:tcPr/>
          <w:p>
            <w:pPr>
              <w:pStyle w:val="Compact"/>
              <w:jc w:val="right"/>
            </w:pPr>
            <w:r>
              <w:rPr>
                <w:sz w:val="17"/>
              </w:rPr>
              <w:t xml:space="preserve">Max depth (XGBoost)</w:t>
            </w:r>
          </w:p>
        </w:tc>
        <w:tc>
          <w:tcPr/>
          <w:p>
            <w:pPr>
              <w:pStyle w:val="Compact"/>
              <w:jc w:val="right"/>
            </w:pPr>
            <w:r>
              <w:rPr>
                <w:sz w:val="17"/>
              </w:rPr>
              <w:t xml:space="preserve">Leaves (LightGBM)</w:t>
            </w:r>
          </w:p>
        </w:tc>
        <w:tc>
          <w:tcPr/>
          <w:p>
            <w:pPr>
              <w:pStyle w:val="Compact"/>
              <w:jc w:val="right"/>
            </w:pPr>
            <w:r>
              <w:rPr>
                <w:sz w:val="17"/>
              </w:rPr>
              <w:t xml:space="preserve">Trees</w:t>
            </w:r>
          </w:p>
        </w:tc>
        <w:tc>
          <w:tcPr/>
          <w:p>
            <w:pPr>
              <w:pStyle w:val="Compact"/>
              <w:jc w:val="right"/>
            </w:pPr>
            <w:r>
              <w:rPr>
                <w:sz w:val="17"/>
              </w:rPr>
              <w:t xml:space="preserve">L2 lambda</w:t>
            </w:r>
          </w:p>
        </w:tc>
        <w:tc>
          <w:tcPr/>
          <w:p>
            <w:pPr>
              <w:pStyle w:val="Compact"/>
              <w:jc w:val="right"/>
            </w:pPr>
            <w:r>
              <w:rPr>
                <w:sz w:val="17"/>
              </w:rPr>
              <w:t xml:space="preserve">Min child (samples/10 for XGB)</w:t>
            </w:r>
          </w:p>
        </w:tc>
      </w:tr>
      <w:tr>
        <w:tc>
          <w:tcPr/>
          <w:p>
            <w:pPr>
              <w:pStyle w:val="Compact"/>
              <w:jc w:val="left"/>
            </w:pPr>
            <w:r>
              <w:rPr>
                <w:sz w:val="17"/>
              </w:rPr>
              <w:t xml:space="preserve">pd_lgbm</w:t>
            </w:r>
          </w:p>
        </w:tc>
        <w:tc>
          <w:tcPr/>
          <w:p>
            <w:pPr>
              <w:pStyle w:val="Compact"/>
              <w:jc w:val="right"/>
            </w:pPr>
            <w:r>
              <w:rPr>
                <w:sz w:val="17"/>
              </w:rPr>
              <w:t xml:space="preserve">platt</w:t>
            </w:r>
          </w:p>
        </w:tc>
        <w:tc>
          <w:tcPr/>
          <w:p>
            <w:pPr>
              <w:pStyle w:val="Compact"/>
              <w:jc w:val="right"/>
            </w:pPr>
            <w:r>
              <w:rPr>
                <w:sz w:val="17"/>
              </w:rPr>
              <w:t xml:space="preserve">0.084</w:t>
            </w:r>
          </w:p>
        </w:tc>
        <w:tc>
          <w:tcPr/>
          <w:p>
            <w:pPr>
              <w:pStyle w:val="Compact"/>
              <w:jc w:val="right"/>
            </w:pPr>
            <w:r>
              <w:rPr>
                <w:sz w:val="17"/>
              </w:rPr>
              <w:t xml:space="preserve">4</w:t>
            </w:r>
          </w:p>
        </w:tc>
        <w:tc>
          <w:tcPr/>
          <w:p>
            <w:pPr>
              <w:pStyle w:val="Compact"/>
              <w:jc w:val="right"/>
            </w:pPr>
            <w:r>
              <w:rPr>
                <w:sz w:val="17"/>
              </w:rPr>
              <w:t xml:space="preserve">40</w:t>
            </w:r>
          </w:p>
        </w:tc>
        <w:tc>
          <w:tcPr/>
          <w:p>
            <w:pPr>
              <w:pStyle w:val="Compact"/>
              <w:jc w:val="right"/>
            </w:pPr>
            <w:r>
              <w:rPr>
                <w:sz w:val="17"/>
              </w:rPr>
              <w:t xml:space="preserve">89</w:t>
            </w:r>
          </w:p>
        </w:tc>
        <w:tc>
          <w:tcPr/>
          <w:p>
            <w:pPr>
              <w:pStyle w:val="Compact"/>
              <w:jc w:val="right"/>
            </w:pPr>
            <w:r>
              <w:rPr>
                <w:sz w:val="17"/>
              </w:rPr>
              <w:t xml:space="preserve">6.4</w:t>
            </w:r>
          </w:p>
        </w:tc>
        <w:tc>
          <w:tcPr/>
          <w:p>
            <w:pPr>
              <w:pStyle w:val="Compact"/>
              <w:jc w:val="right"/>
            </w:pPr>
            <w:r>
              <w:rPr>
                <w:sz w:val="17"/>
              </w:rPr>
              <w:t xml:space="preserve">89</w:t>
            </w:r>
          </w:p>
        </w:tc>
      </w:tr>
      <w:tr>
        <w:tc>
          <w:tcPr/>
          <w:p>
            <w:pPr>
              <w:pStyle w:val="Compact"/>
              <w:jc w:val="left"/>
            </w:pPr>
            <w:r>
              <w:rPr>
                <w:sz w:val="17"/>
              </w:rPr>
              <w:t xml:space="preserve">pd_xgb</w:t>
            </w:r>
          </w:p>
        </w:tc>
        <w:tc>
          <w:tcPr/>
          <w:p>
            <w:pPr>
              <w:pStyle w:val="Compact"/>
              <w:jc w:val="right"/>
            </w:pPr>
            <w:r>
              <w:rPr>
                <w:sz w:val="17"/>
              </w:rPr>
              <w:t xml:space="preserve">platt</w:t>
            </w:r>
          </w:p>
        </w:tc>
        <w:tc>
          <w:tcPr/>
          <w:p>
            <w:pPr>
              <w:pStyle w:val="Compact"/>
              <w:jc w:val="right"/>
            </w:pPr>
            <w:r>
              <w:rPr>
                <w:sz w:val="17"/>
              </w:rPr>
              <w:t xml:space="preserve">0.084</w:t>
            </w:r>
          </w:p>
        </w:tc>
        <w:tc>
          <w:tcPr/>
          <w:p>
            <w:pPr>
              <w:pStyle w:val="Compact"/>
              <w:jc w:val="right"/>
            </w:pPr>
            <w:r>
              <w:rPr>
                <w:sz w:val="17"/>
              </w:rPr>
              <w:t xml:space="preserve">4</w:t>
            </w:r>
          </w:p>
        </w:tc>
        <w:tc>
          <w:tcPr/>
          <w:p>
            <w:pPr>
              <w:pStyle w:val="Compact"/>
              <w:jc w:val="right"/>
            </w:pPr>
            <w:r>
              <w:rPr>
                <w:sz w:val="17"/>
              </w:rPr>
              <w:t xml:space="preserve">40</w:t>
            </w:r>
          </w:p>
        </w:tc>
        <w:tc>
          <w:tcPr/>
          <w:p>
            <w:pPr>
              <w:pStyle w:val="Compact"/>
              <w:jc w:val="right"/>
            </w:pPr>
            <w:r>
              <w:rPr>
                <w:sz w:val="17"/>
              </w:rPr>
              <w:t xml:space="preserve">85</w:t>
            </w:r>
          </w:p>
        </w:tc>
        <w:tc>
          <w:tcPr/>
          <w:p>
            <w:pPr>
              <w:pStyle w:val="Compact"/>
              <w:jc w:val="right"/>
            </w:pPr>
            <w:r>
              <w:rPr>
                <w:sz w:val="17"/>
              </w:rPr>
              <w:t xml:space="preserve">6.4</w:t>
            </w:r>
          </w:p>
        </w:tc>
        <w:tc>
          <w:tcPr/>
          <w:p>
            <w:pPr>
              <w:pStyle w:val="Compact"/>
              <w:jc w:val="right"/>
            </w:pPr>
            <w:r>
              <w:rPr>
                <w:sz w:val="17"/>
              </w:rPr>
              <w:t xml:space="preserve">89</w:t>
            </w:r>
          </w:p>
        </w:tc>
      </w:tr>
      <w:tr>
        <w:tc>
          <w:tcPr/>
          <w:p>
            <w:pPr>
              <w:pStyle w:val="Compact"/>
              <w:jc w:val="left"/>
            </w:pPr>
            <w:r>
              <w:rPr>
                <w:sz w:val="17"/>
              </w:rPr>
              <w:t xml:space="preserve">pp_lgbm</w:t>
            </w:r>
          </w:p>
        </w:tc>
        <w:tc>
          <w:tcPr/>
          <w:p>
            <w:pPr>
              <w:pStyle w:val="Compact"/>
              <w:jc w:val="right"/>
            </w:pPr>
            <w:r>
              <w:rPr>
                <w:sz w:val="17"/>
              </w:rPr>
              <w:t xml:space="preserve">platt</w:t>
            </w:r>
          </w:p>
        </w:tc>
        <w:tc>
          <w:tcPr/>
          <w:p>
            <w:pPr>
              <w:pStyle w:val="Compact"/>
              <w:jc w:val="right"/>
            </w:pPr>
            <w:r>
              <w:rPr>
                <w:sz w:val="17"/>
              </w:rPr>
              <w:t xml:space="preserve">0.035</w:t>
            </w:r>
          </w:p>
        </w:tc>
        <w:tc>
          <w:tcPr/>
          <w:p>
            <w:pPr>
              <w:pStyle w:val="Compact"/>
              <w:jc w:val="right"/>
            </w:pPr>
            <w:r>
              <w:rPr>
                <w:sz w:val="17"/>
              </w:rPr>
              <w:t xml:space="preserve">4</w:t>
            </w:r>
          </w:p>
        </w:tc>
        <w:tc>
          <w:tcPr/>
          <w:p>
            <w:pPr>
              <w:pStyle w:val="Compact"/>
              <w:jc w:val="right"/>
            </w:pPr>
            <w:r>
              <w:rPr>
                <w:sz w:val="17"/>
              </w:rPr>
              <w:t xml:space="preserve">10</w:t>
            </w:r>
          </w:p>
        </w:tc>
        <w:tc>
          <w:tcPr/>
          <w:p>
            <w:pPr>
              <w:pStyle w:val="Compact"/>
              <w:jc w:val="right"/>
            </w:pPr>
            <w:r>
              <w:rPr>
                <w:sz w:val="17"/>
              </w:rPr>
              <w:t xml:space="preserve">158</w:t>
            </w:r>
          </w:p>
        </w:tc>
        <w:tc>
          <w:tcPr/>
          <w:p>
            <w:pPr>
              <w:pStyle w:val="Compact"/>
              <w:jc w:val="right"/>
            </w:pPr>
            <w:r>
              <w:rPr>
                <w:sz w:val="17"/>
              </w:rPr>
              <w:t xml:space="preserve">14.9</w:t>
            </w:r>
          </w:p>
        </w:tc>
        <w:tc>
          <w:tcPr/>
          <w:p>
            <w:pPr>
              <w:pStyle w:val="Compact"/>
              <w:jc w:val="right"/>
            </w:pPr>
            <w:r>
              <w:rPr>
                <w:sz w:val="17"/>
              </w:rPr>
              <w:t xml:space="preserve">122</w:t>
            </w:r>
          </w:p>
        </w:tc>
      </w:tr>
      <w:tr>
        <w:tc>
          <w:tcPr/>
          <w:p>
            <w:pPr>
              <w:pStyle w:val="Compact"/>
              <w:jc w:val="left"/>
            </w:pPr>
            <w:r>
              <w:rPr>
                <w:sz w:val="17"/>
              </w:rPr>
              <w:t xml:space="preserve">pp_xgb</w:t>
            </w:r>
          </w:p>
        </w:tc>
        <w:tc>
          <w:tcPr/>
          <w:p>
            <w:pPr>
              <w:pStyle w:val="Compact"/>
              <w:jc w:val="right"/>
            </w:pPr>
            <w:r>
              <w:rPr>
                <w:sz w:val="17"/>
              </w:rPr>
              <w:t xml:space="preserve">platt</w:t>
            </w:r>
          </w:p>
        </w:tc>
        <w:tc>
          <w:tcPr/>
          <w:p>
            <w:pPr>
              <w:pStyle w:val="Compact"/>
              <w:jc w:val="right"/>
            </w:pPr>
            <w:r>
              <w:rPr>
                <w:sz w:val="17"/>
              </w:rPr>
              <w:t xml:space="preserve">0.044</w:t>
            </w:r>
          </w:p>
        </w:tc>
        <w:tc>
          <w:tcPr/>
          <w:p>
            <w:pPr>
              <w:pStyle w:val="Compact"/>
              <w:jc w:val="right"/>
            </w:pPr>
            <w:r>
              <w:rPr>
                <w:sz w:val="17"/>
              </w:rPr>
              <w:t xml:space="preserve">3</w:t>
            </w:r>
          </w:p>
        </w:tc>
        <w:tc>
          <w:tcPr/>
          <w:p>
            <w:pPr>
              <w:pStyle w:val="Compact"/>
              <w:jc w:val="right"/>
            </w:pPr>
            <w:r>
              <w:rPr>
                <w:sz w:val="17"/>
              </w:rPr>
              <w:t xml:space="preserve">32</w:t>
            </w:r>
          </w:p>
        </w:tc>
        <w:tc>
          <w:tcPr/>
          <w:p>
            <w:pPr>
              <w:pStyle w:val="Compact"/>
              <w:jc w:val="right"/>
            </w:pPr>
            <w:r>
              <w:rPr>
                <w:sz w:val="17"/>
              </w:rPr>
              <w:t xml:space="preserve">106</w:t>
            </w:r>
          </w:p>
        </w:tc>
        <w:tc>
          <w:tcPr/>
          <w:p>
            <w:pPr>
              <w:pStyle w:val="Compact"/>
              <w:jc w:val="right"/>
            </w:pPr>
            <w:r>
              <w:rPr>
                <w:sz w:val="17"/>
              </w:rPr>
              <w:t xml:space="preserve">6.9</w:t>
            </w:r>
          </w:p>
        </w:tc>
        <w:tc>
          <w:tcPr/>
          <w:p>
            <w:pPr>
              <w:pStyle w:val="Compact"/>
              <w:jc w:val="right"/>
            </w:pPr>
            <w:r>
              <w:rPr>
                <w:sz w:val="17"/>
              </w:rPr>
              <w:t xml:space="preserve">124</w:t>
            </w:r>
          </w:p>
        </w:tc>
      </w:tr>
    </w:tbl>
    <w:bookmarkEnd w:id="47"/>
    <w:bookmarkStart w:id="48" w:name="probability-calibration"/>
    <w:p>
      <w:pPr>
        <w:pStyle w:val="Heading2"/>
      </w:pPr>
      <w:r>
        <w:rPr>
          <w:rStyle w:val="SectionNumber"/>
        </w:rPr>
        <w:t xml:space="preserve">7.8</w:t>
      </w:r>
      <w:r>
        <w:tab/>
      </w:r>
      <w:r>
        <w:t xml:space="preserve">Probability calibration</w:t>
      </w:r>
    </w:p>
    <w:p>
      <w:pPr>
        <w:pStyle w:val="FirstParagraph"/>
      </w:pPr>
      <w:r>
        <w:rPr>
          <w:i/>
          <w:iCs/>
        </w:rPr>
        <w:t xml:space="preserve">Intuition.</w:t>
      </w:r>
      <w:r>
        <w:t xml:space="preserve"> </w:t>
      </w:r>
      <w:r>
        <w:t xml:space="preserve">A model can rank loans correctly while its numbers are wrong: if it says 2% for a group that defaults 3%, the ranking (AUC) is fine but any expected-loss calculation is understated. Calibration is a post-processing map from the model's raw score to an observed frequency.</w:t>
      </w:r>
    </w:p>
    <w:p>
      <w:pPr>
        <w:pStyle w:val="BodyText"/>
      </w:pPr>
      <w:r>
        <w:rPr>
          <w:i/>
          <w:iCs/>
        </w:rPr>
        <w:t xml:space="preserve">Maths.</w:t>
      </w:r>
      <w:r>
        <w:t xml:space="preserve"> </w:t>
      </w:r>
      <w:r>
        <w:t xml:space="preserve">Let</w:t>
      </w:r>
      <w:r>
        <w:t xml:space="preserve"> </w:t>
      </w:r>
      <m:oMath>
        <m:r>
          <m:t>m</m:t>
        </m:r>
      </m:oMath>
      <w:r>
        <w:t xml:space="preserve"> </w:t>
      </w:r>
      <w:r>
        <w:t xml:space="preserve">be the raw margin (log-odds).</w:t>
      </w:r>
      <w:r>
        <w:t xml:space="preserve"> </w:t>
      </w:r>
      <w:r>
        <w:rPr>
          <w:b/>
          <w:bCs/>
        </w:rPr>
        <w:t xml:space="preserve">Platt scaling</w:t>
      </w:r>
      <w:r>
        <w:t xml:space="preserve"> </w:t>
      </w:r>
      <w:r>
        <w:t xml:space="preserve">fits</w:t>
      </w:r>
      <w:r>
        <w:t xml:space="preserve"> </w:t>
      </w:r>
      <m:oMath>
        <m:r>
          <m:t>p</m:t>
        </m:r>
        <m:r>
          <m:rPr>
            <m:sty m:val="p"/>
          </m:rPr>
          <m:t>=</m:t>
        </m:r>
        <m:r>
          <m:t>σ</m:t>
        </m:r>
        <m:r>
          <m:rPr>
            <m:sty m:val="p"/>
          </m:rPr>
          <m:t>(</m:t>
        </m:r>
        <m:r>
          <m:t>A</m:t>
        </m:r>
        <m:r>
          <m:t>m</m:t>
        </m:r>
        <m:r>
          <m:rPr>
            <m:sty m:val="p"/>
          </m:rPr>
          <m:t>+</m:t>
        </m:r>
        <m:r>
          <m:t>B</m:t>
        </m:r>
        <m:r>
          <m:rPr>
            <m:sty m:val="p"/>
          </m:rPr>
          <m:t>)</m:t>
        </m:r>
      </m:oMath>
      <w:r>
        <w:t xml:space="preserve"> </w:t>
      </w:r>
      <w:r>
        <w:t xml:space="preserve">by logistic regression.</w:t>
      </w:r>
      <w:r>
        <w:t xml:space="preserve"> </w:t>
      </w:r>
      <w:r>
        <w:rPr>
          <w:b/>
          <w:bCs/>
        </w:rPr>
        <w:t xml:space="preserve">Isotonic regression</w:t>
      </w:r>
      <w:r>
        <w:t xml:space="preserve"> </w:t>
      </w:r>
      <w:r>
        <w:t xml:space="preserve">fits a non-decreasing step function</w:t>
      </w:r>
      <w:r>
        <w:t xml:space="preserve"> </w:t>
      </w:r>
      <m:oMath>
        <m:acc>
          <m:accPr>
            <m:chr m:val="̂"/>
          </m:accPr>
          <m:e>
            <m:r>
              <m:t>p</m:t>
            </m:r>
          </m:e>
        </m:acc>
        <m:r>
          <m:rPr>
            <m:sty m:val="p"/>
          </m:rPr>
          <m:t>=</m:t>
        </m:r>
        <m:r>
          <m:t>ϕ</m:t>
        </m:r>
        <m:r>
          <m:rPr>
            <m:sty m:val="p"/>
          </m:rPr>
          <m:t>(</m:t>
        </m:r>
        <m:r>
          <m:t>σ</m:t>
        </m:r>
        <m:r>
          <m:rPr>
            <m:sty m:val="p"/>
          </m:rPr>
          <m:t>(</m:t>
        </m:r>
        <m:r>
          <m:t>m</m:t>
        </m:r>
        <m:r>
          <m:rPr>
            <m:sty m:val="p"/>
          </m:rPr>
          <m:t>)</m:t>
        </m:r>
        <m:r>
          <m:rPr>
            <m:sty m:val="p"/>
          </m:rPr>
          <m:t>)</m:t>
        </m:r>
      </m:oMath>
      <w:r>
        <w:t xml:space="preserve"> </w:t>
      </w:r>
      <w:r>
        <w:t xml:space="preserve">minimizing</w:t>
      </w:r>
      <w:r>
        <w:t xml:space="preserve"> </w:t>
      </w:r>
      <m:oMath>
        <m:nary>
          <m:naryPr>
            <m:chr m:val="∑"/>
            <m:limLoc m:val="undOvr"/>
            <m:subHide m:val="off"/>
            <m:supHide m:val="on"/>
          </m:naryPr>
          <m:sub>
            <m:r>
              <m:t>i</m:t>
            </m:r>
          </m:sub>
          <m:sup>
            <m:r>
              <m:t>​</m:t>
            </m:r>
          </m:sup>
          <m:e>
            <m:r>
              <m:rPr>
                <m:sty m:val="p"/>
              </m:rPr>
              <m:t>(</m:t>
            </m:r>
          </m:e>
        </m:nary>
        <m:sSub>
          <m:e>
            <m:r>
              <m:t>y</m:t>
            </m:r>
          </m:e>
          <m:sub>
            <m:r>
              <m:t>i</m:t>
            </m:r>
          </m:sub>
        </m:sSub>
        <m:r>
          <m:rPr>
            <m:sty m:val="p"/>
          </m:rPr>
          <m:t>−</m:t>
        </m:r>
        <m:r>
          <m:t>ϕ</m:t>
        </m:r>
        <m:r>
          <m:rPr>
            <m:sty m:val="p"/>
          </m:rPr>
          <m:t>(</m:t>
        </m:r>
        <m:sSub>
          <m:e>
            <m:r>
              <m:t>s</m:t>
            </m:r>
          </m:e>
          <m:sub>
            <m:r>
              <m:t>i</m:t>
            </m:r>
          </m:sub>
        </m:sSub>
        <m:r>
          <m:rPr>
            <m:sty m:val="p"/>
          </m:rPr>
          <m:t>)</m:t>
        </m:r>
        <m:sSup>
          <m:e>
            <m:r>
              <m:rPr>
                <m:sty m:val="p"/>
              </m:rPr>
              <m:t>)</m:t>
            </m:r>
          </m:e>
          <m:sup>
            <m:r>
              <m:t>2</m:t>
            </m:r>
          </m:sup>
        </m:sSup>
      </m:oMath>
      <w:r>
        <w:t xml:space="preserve"> </w:t>
      </w:r>
      <w:r>
        <w:t xml:space="preserve">with the pool-adjacent-violators algorithm; it is more flexible but needs more data.</w:t>
      </w:r>
    </w:p>
    <w:p>
      <w:pPr>
        <w:pStyle w:val="BodyText"/>
      </w:pPr>
      <w:r>
        <w:rPr>
          <w:i/>
          <w:iCs/>
        </w:rPr>
        <w:t xml:space="preserve">Implementation.</w:t>
      </w:r>
      <w:r>
        <w:t xml:space="preserve"> </w:t>
      </w:r>
      <w:r>
        <w:rPr>
          <w:rStyle w:val="VerbatimChar"/>
        </w:rPr>
        <w:t xml:space="preserve">models.calibrate</w:t>
      </w:r>
      <w:r>
        <w:t xml:space="preserve"> </w:t>
      </w:r>
      <w:r>
        <w:t xml:space="preserve">fits both on the</w:t>
      </w:r>
      <w:r>
        <w:t xml:space="preserve"> </w:t>
      </w:r>
      <w:r>
        <w:rPr>
          <w:b/>
          <w:bCs/>
        </w:rPr>
        <w:t xml:space="preserve">calibration window</w:t>
      </w:r>
      <w:r>
        <w:t xml:space="preserve">, which is separate from training, and chooses between them by Brier score using a two-fold, date-ordered cross-fit (fit on one half of the window, score on the other, and swap). Probabilities are clipped to</w:t>
      </w:r>
      <w:r>
        <w:t xml:space="preserve"> </w:t>
      </w:r>
      <m:oMath>
        <m:r>
          <m:rPr>
            <m:sty m:val="p"/>
          </m:rPr>
          <m:t>[</m:t>
        </m:r>
        <m:sSup>
          <m:e>
            <m:r>
              <m:t>10</m:t>
            </m:r>
          </m:e>
          <m:sup>
            <m:r>
              <m:rPr>
                <m:sty m:val="p"/>
              </m:rPr>
              <m:t>−</m:t>
            </m:r>
            <m:r>
              <m:t>6</m:t>
            </m:r>
          </m:sup>
        </m:sSup>
        <m:r>
          <m:rPr>
            <m:sty m:val="p"/>
          </m:rPr>
          <m:t>,</m:t>
        </m:r>
        <m:r>
          <m:t>1</m:t>
        </m:r>
        <m:r>
          <m:rPr>
            <m:sty m:val="p"/>
          </m:rPr>
          <m:t>−</m:t>
        </m:r>
        <m:sSup>
          <m:e>
            <m:r>
              <m:t>10</m:t>
            </m:r>
          </m:e>
          <m:sup>
            <m:r>
              <m:rPr>
                <m:sty m:val="p"/>
              </m:rPr>
              <m:t>−</m:t>
            </m:r>
            <m:r>
              <m:t>6</m:t>
            </m:r>
          </m:sup>
        </m:sSup>
        <m:r>
          <m:rPr>
            <m:sty m:val="p"/>
          </m:rPr>
          <m:t>]</m:t>
        </m:r>
      </m:oMath>
      <w:r>
        <w:t xml:space="preserve">. The selected methods are: scorecard PD platt, XGBoost PD platt, LightGBM PD platt, prepay hinge logit platt, XGBoost prepay platt, LightGBM prepay platt. A</w:t>
      </w:r>
      <w:r>
        <w:t xml:space="preserve"> </w:t>
      </w:r>
      <w:r>
        <w:rPr>
          <w:b/>
          <w:bCs/>
        </w:rPr>
        <w:t xml:space="preserve">class-weighted</w:t>
      </w:r>
      <w:r>
        <w:t xml:space="preserve"> </w:t>
      </w:r>
      <w:r>
        <w:t xml:space="preserve">XGBoost variant (positive class up-weighted by the inverse event rate) is also fitted as a sensitivity row; it ranks about as well (OOT AUC 0.813) but, uncalibrated, has an out-of-time Brier score of 0.1406, far worse than the calibrated models, illustrating why weighting rare events distorts probabilities.</w:t>
      </w:r>
    </w:p>
    <w:bookmarkEnd w:id="48"/>
    <w:bookmarkStart w:id="49" w:name="discrimination-and-calibration-metrics"/>
    <w:p>
      <w:pPr>
        <w:pStyle w:val="Heading2"/>
      </w:pPr>
      <w:r>
        <w:rPr>
          <w:rStyle w:val="SectionNumber"/>
        </w:rPr>
        <w:t xml:space="preserve">7.9</w:t>
      </w:r>
      <w:r>
        <w:tab/>
      </w:r>
      <w:r>
        <w:t xml:space="preserve">Discrimination and calibration metrics</w:t>
      </w:r>
    </w:p>
    <w:p>
      <w:pPr>
        <w:pStyle w:val="FirstParagraph"/>
      </w:pPr>
      <w:r>
        <w:rPr>
          <w:b/>
          <w:bCs/>
        </w:rPr>
        <w:t xml:space="preserve">AUC</w:t>
      </w:r>
      <w:r>
        <w:t xml:space="preserve"> </w:t>
      </w:r>
      <w:r>
        <w:t xml:space="preserve">is the probability that a randomly chosen defaulted loan has a higher score than a randomly chosen non-defaulted loan (ties count one half):</w:t>
      </w:r>
    </w:p>
    <w:p>
      <w:pPr>
        <w:pStyle w:val="BodyText"/>
      </w:pPr>
      <m:oMathPara>
        <m:oMathParaPr>
          <m:jc m:val="center"/>
        </m:oMathParaPr>
        <m:oMath>
          <m:r>
            <m:rPr>
              <m:nor/>
              <m:sty m:val="p"/>
            </m:rPr>
            <m:t>AUC</m:t>
          </m:r>
          <m:r>
            <m:rPr>
              <m:sty m:val="p"/>
            </m:rPr>
            <m:t>=</m:t>
          </m:r>
          <m:f>
            <m:fPr>
              <m:type m:val="bar"/>
            </m:fPr>
            <m:num>
              <m:r>
                <m:t>1</m:t>
              </m:r>
            </m:num>
            <m:den>
              <m:sSub>
                <m:e>
                  <m:r>
                    <m:t>n</m:t>
                  </m:r>
                </m:e>
                <m:sub>
                  <m:r>
                    <m:t>1</m:t>
                  </m:r>
                </m:sub>
              </m:sSub>
              <m:sSub>
                <m:e>
                  <m:r>
                    <m:t>n</m:t>
                  </m:r>
                </m:e>
                <m:sub>
                  <m:r>
                    <m:t>0</m:t>
                  </m:r>
                </m:sub>
              </m:sSub>
            </m:den>
          </m:f>
          <m:nary>
            <m:naryPr>
              <m:chr m:val="∑"/>
              <m:limLoc m:val="undOvr"/>
              <m:subHide m:val="off"/>
              <m:supHide m:val="on"/>
            </m:naryPr>
            <m:sub>
              <m:r>
                <m:t>i</m:t>
              </m:r>
              <m:r>
                <m:rPr>
                  <m:sty m:val="p"/>
                </m:rPr>
                <m:t>:</m:t>
              </m:r>
              <m:r>
                <m:t> </m:t>
              </m:r>
              <m:sSub>
                <m:e>
                  <m:r>
                    <m:t>y</m:t>
                  </m:r>
                </m:e>
                <m:sub>
                  <m:r>
                    <m:t>i</m:t>
                  </m:r>
                </m:sub>
              </m:sSub>
              <m:r>
                <m:rPr>
                  <m:sty m:val="p"/>
                </m:rPr>
                <m:t>=</m:t>
              </m:r>
              <m:r>
                <m:t>1</m:t>
              </m:r>
            </m:sub>
            <m:sup>
              <m:r>
                <m:t>​</m:t>
              </m:r>
            </m:sup>
            <m:e>
              <m:r>
                <m:t> </m:t>
              </m:r>
            </m:e>
          </m:nary>
          <m:nary>
            <m:naryPr>
              <m:chr m:val="∑"/>
              <m:limLoc m:val="undOvr"/>
              <m:subHide m:val="off"/>
              <m:supHide m:val="on"/>
            </m:naryPr>
            <m:sub>
              <m:r>
                <m:t>j</m:t>
              </m:r>
              <m:r>
                <m:rPr>
                  <m:sty m:val="p"/>
                </m:rPr>
                <m:t>:</m:t>
              </m:r>
              <m:r>
                <m:t> </m:t>
              </m:r>
              <m:sSub>
                <m:e>
                  <m:r>
                    <m:t>y</m:t>
                  </m:r>
                </m:e>
                <m:sub>
                  <m:r>
                    <m:t>j</m:t>
                  </m:r>
                </m:sub>
              </m:sSub>
              <m:r>
                <m:rPr>
                  <m:sty m:val="p"/>
                </m:rPr>
                <m:t>=</m:t>
              </m:r>
              <m:r>
                <m:t>0</m:t>
              </m:r>
            </m:sub>
            <m:sup>
              <m:r>
                <m:t>​</m:t>
              </m:r>
            </m:sup>
            <m:e>
              <m:d>
                <m:dPr>
                  <m:begChr m:val="["/>
                  <m:sepChr m:val=""/>
                  <m:endChr m:val="]"/>
                  <m:grow/>
                </m:dPr>
                <m:e>
                  <m:r>
                    <m:rPr>
                      <m:sty m:val="b"/>
                    </m:rPr>
                    <m:t>1</m:t>
                  </m:r>
                  <m:r>
                    <m:rPr>
                      <m:sty m:val="p"/>
                    </m:rPr>
                    <m:t>(</m:t>
                  </m:r>
                  <m:sSub>
                    <m:e>
                      <m:r>
                        <m:t>s</m:t>
                      </m:r>
                    </m:e>
                    <m:sub>
                      <m:r>
                        <m:t>i</m:t>
                      </m:r>
                    </m:sub>
                  </m:sSub>
                  <m:r>
                    <m:rPr>
                      <m:sty m:val="p"/>
                    </m:rPr>
                    <m:t>&gt;</m:t>
                  </m:r>
                  <m:sSub>
                    <m:e>
                      <m:r>
                        <m:t>s</m:t>
                      </m:r>
                    </m:e>
                    <m:sub>
                      <m:r>
                        <m:t>j</m:t>
                      </m:r>
                    </m:sub>
                  </m:sSub>
                  <m:r>
                    <m:rPr>
                      <m:sty m:val="p"/>
                    </m:rPr>
                    <m:t>)</m:t>
                  </m:r>
                  <m:r>
                    <m:rPr>
                      <m:sty m:val="p"/>
                    </m:rPr>
                    <m:t>+</m:t>
                  </m:r>
                  <m:f>
                    <m:fPr>
                      <m:type m:val="lin"/>
                    </m:fPr>
                    <m:num>
                      <m:r>
                        <m:t>1</m:t>
                      </m:r>
                    </m:num>
                    <m:den>
                      <m:r>
                        <m:t>2</m:t>
                      </m:r>
                    </m:den>
                  </m:f>
                  <m:r>
                    <m:rPr>
                      <m:sty m:val="b"/>
                    </m:rPr>
                    <m:t>1</m:t>
                  </m:r>
                  <m:r>
                    <m:rPr>
                      <m:sty m:val="p"/>
                    </m:rPr>
                    <m:t>(</m:t>
                  </m:r>
                  <m:sSub>
                    <m:e>
                      <m:r>
                        <m:t>s</m:t>
                      </m:r>
                    </m:e>
                    <m:sub>
                      <m:r>
                        <m:t>i</m:t>
                      </m:r>
                    </m:sub>
                  </m:sSub>
                  <m:r>
                    <m:rPr>
                      <m:sty m:val="p"/>
                    </m:rPr>
                    <m:t>=</m:t>
                  </m:r>
                  <m:sSub>
                    <m:e>
                      <m:r>
                        <m:t>s</m:t>
                      </m:r>
                    </m:e>
                    <m:sub>
                      <m:r>
                        <m:t>j</m:t>
                      </m:r>
                    </m:sub>
                  </m:sSub>
                  <m:r>
                    <m:rPr>
                      <m:sty m:val="p"/>
                    </m:rPr>
                    <m:t>)</m:t>
                  </m:r>
                </m:e>
              </m:d>
            </m:e>
          </m:nary>
          <m:r>
            <m:rPr>
              <m:sty m:val="p"/>
            </m:rPr>
            <m:t>,</m:t>
          </m:r>
          <m:r>
            <m:t>  </m:t>
          </m:r>
          <m:r>
            <m:rPr>
              <m:nor/>
              <m:sty m:val="p"/>
            </m:rPr>
            <m:t>Gini</m:t>
          </m:r>
          <m:r>
            <m:rPr>
              <m:sty m:val="p"/>
            </m:rPr>
            <m:t>=</m:t>
          </m:r>
          <m:r>
            <m:t>2</m:t>
          </m:r>
          <m:r>
            <m:t> </m:t>
          </m:r>
          <m:r>
            <m:rPr>
              <m:nor/>
              <m:sty m:val="p"/>
            </m:rPr>
            <m:t>AUC</m:t>
          </m:r>
          <m:r>
            <m:rPr>
              <m:sty m:val="p"/>
            </m:rPr>
            <m:t>−</m:t>
          </m:r>
          <m:r>
            <m:t>1</m:t>
          </m:r>
          <m:r>
            <m:rPr>
              <m:sty m:val="p"/>
            </m:rPr>
            <m:t>.</m:t>
          </m:r>
        </m:oMath>
      </m:oMathPara>
    </w:p>
    <w:p>
      <w:pPr>
        <w:pStyle w:val="FirstParagraph"/>
      </w:pPr>
      <w:r>
        <w:rPr>
          <w:rStyle w:val="VerbatimChar"/>
        </w:rPr>
        <w:t xml:space="preserve">evaluation.auc</w:t>
      </w:r>
      <w:r>
        <w:t xml:space="preserve"> </w:t>
      </w:r>
      <w:r>
        <w:t xml:space="preserve">computes this from average ranks without forming all pairs.</w:t>
      </w:r>
      <w:r>
        <w:t xml:space="preserve"> </w:t>
      </w:r>
      <w:r>
        <w:rPr>
          <w:b/>
          <w:bCs/>
        </w:rPr>
        <w:t xml:space="preserve">KS</w:t>
      </w:r>
      <w:r>
        <w:t xml:space="preserve"> </w:t>
      </w:r>
      <w:r>
        <w:t xml:space="preserve">is the largest vertical gap between the cumulative distribution of scores for defaulted and for performing loans when loans are ordered from riskiest,</w:t>
      </w:r>
      <w:r>
        <w:t xml:space="preserve"> </w:t>
      </w:r>
      <m:oMath>
        <m:r>
          <m:rPr>
            <m:nor/>
            <m:sty m:val="p"/>
          </m:rPr>
          <m:t>KS</m:t>
        </m:r>
        <m:r>
          <m:rPr>
            <m:sty m:val="p"/>
          </m:rPr>
          <m:t>=</m:t>
        </m:r>
        <m:sSub>
          <m:e>
            <m:r>
              <m:rPr>
                <m:sty m:val="p"/>
              </m:rPr>
              <m:t>max</m:t>
            </m:r>
          </m:e>
          <m:sub>
            <m:r>
              <m:t>s</m:t>
            </m:r>
          </m:sub>
        </m:sSub>
        <m:r>
          <m:rPr>
            <m:sty m:val="p"/>
          </m:rPr>
          <m:t>|</m:t>
        </m:r>
        <m:sSub>
          <m:e>
            <m:r>
              <m:t>F</m:t>
            </m:r>
          </m:e>
          <m:sub>
            <m:r>
              <m:t>1</m:t>
            </m:r>
          </m:sub>
        </m:sSub>
        <m:r>
          <m:rPr>
            <m:sty m:val="p"/>
          </m:rPr>
          <m:t>(</m:t>
        </m:r>
        <m:r>
          <m:t>s</m:t>
        </m:r>
        <m:r>
          <m:rPr>
            <m:sty m:val="p"/>
          </m:rPr>
          <m:t>)</m:t>
        </m:r>
        <m:r>
          <m:rPr>
            <m:sty m:val="p"/>
          </m:rPr>
          <m:t>−</m:t>
        </m:r>
        <m:sSub>
          <m:e>
            <m:r>
              <m:t>F</m:t>
            </m:r>
          </m:e>
          <m:sub>
            <m:r>
              <m:t>0</m:t>
            </m:r>
          </m:sub>
        </m:sSub>
        <m:r>
          <m:rPr>
            <m:sty m:val="p"/>
          </m:rPr>
          <m:t>(</m:t>
        </m:r>
        <m:r>
          <m:t>s</m:t>
        </m:r>
        <m:r>
          <m:rPr>
            <m:sty m:val="p"/>
          </m:rPr>
          <m:t>)</m:t>
        </m:r>
        <m:r>
          <m:rPr>
            <m:sty m:val="p"/>
          </m:rPr>
          <m:t>|</m:t>
        </m:r>
      </m:oMath>
      <w:r>
        <w:t xml:space="preserve">. The</w:t>
      </w:r>
      <w:r>
        <w:t xml:space="preserve"> </w:t>
      </w:r>
      <w:r>
        <w:rPr>
          <w:b/>
          <w:bCs/>
        </w:rPr>
        <w:t xml:space="preserve">Brier score</w:t>
      </w:r>
      <w:r>
        <w:t xml:space="preserve"> </w:t>
      </w:r>
      <w:r>
        <w:t xml:space="preserve">is the mean squared error of the probabilities,</w:t>
      </w:r>
      <w:r>
        <w:t xml:space="preserve"> </w:t>
      </w:r>
      <m:oMath>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r>
              <m:t>y</m:t>
            </m:r>
          </m:e>
          <m:sub>
            <m:r>
              <m:t>i</m:t>
            </m:r>
          </m:sub>
        </m:sSub>
        <m:sSup>
          <m:e>
            <m:r>
              <m:rPr>
                <m:sty m:val="p"/>
              </m:rPr>
              <m:t>)</m:t>
            </m:r>
          </m:e>
          <m:sup>
            <m:r>
              <m:t>2</m:t>
            </m:r>
          </m:sup>
        </m:sSup>
      </m:oMath>
      <w:r>
        <w:t xml:space="preserve">; it blends discrimination and calibration. The</w:t>
      </w:r>
      <w:r>
        <w:t xml:space="preserve"> </w:t>
      </w:r>
      <w:r>
        <w:rPr>
          <w:b/>
          <w:bCs/>
        </w:rPr>
        <w:t xml:space="preserve">Hosmer-Lemeshow</w:t>
      </w:r>
      <w:r>
        <w:t xml:space="preserve"> </w:t>
      </w:r>
      <w:r>
        <w:t xml:space="preserve">statistic groups loans into</w:t>
      </w:r>
      <w:r>
        <w:t xml:space="preserve"> </w:t>
      </w:r>
      <m:oMath>
        <m:r>
          <m:t>g</m:t>
        </m:r>
      </m:oMath>
      <w:r>
        <w:t xml:space="preserve"> </w:t>
      </w:r>
      <w:r>
        <w:t xml:space="preserve">bins of predicted PD and compares expected with observed events,</w:t>
      </w:r>
    </w:p>
    <w:p>
      <w:pPr>
        <w:pStyle w:val="BodyText"/>
      </w:pPr>
      <m:oMathPara>
        <m:oMathParaPr>
          <m:jc m:val="center"/>
        </m:oMathParaPr>
        <m:oMath>
          <m:r>
            <m:rPr>
              <m:nor/>
              <m:sty m:val="p"/>
            </m:rPr>
            <m:t>HL</m:t>
          </m:r>
          <m:r>
            <m:rPr>
              <m:sty m:val="p"/>
            </m:rPr>
            <m:t>=</m:t>
          </m:r>
          <m:nary>
            <m:naryPr>
              <m:chr m:val="∑"/>
              <m:limLoc m:val="undOvr"/>
              <m:subHide m:val="off"/>
              <m:supHide m:val="off"/>
            </m:naryPr>
            <m:sub>
              <m:r>
                <m:t>k</m:t>
              </m:r>
              <m:r>
                <m:rPr>
                  <m:sty m:val="p"/>
                </m:rPr>
                <m:t>=</m:t>
              </m:r>
              <m:r>
                <m:t>1</m:t>
              </m:r>
            </m:sub>
            <m:sup>
              <m:r>
                <m:t>g</m:t>
              </m:r>
            </m:sup>
            <m:e>
              <m:f>
                <m:fPr>
                  <m:type m:val="bar"/>
                </m:fPr>
                <m:num>
                  <m:sSub>
                    <m:e>
                      <m:r>
                        <m:t>n</m:t>
                      </m:r>
                    </m:e>
                    <m:sub>
                      <m:r>
                        <m:t>k</m:t>
                      </m:r>
                    </m:sub>
                  </m:sSub>
                  <m:r>
                    <m:rPr>
                      <m:sty m:val="p"/>
                    </m:rPr>
                    <m:t>(</m:t>
                  </m:r>
                  <m:sSub>
                    <m:e>
                      <m:acc>
                        <m:accPr>
                          <m:chr m:val="‾"/>
                        </m:accPr>
                        <m:e>
                          <m:r>
                            <m:t>o</m:t>
                          </m:r>
                        </m:e>
                      </m:acc>
                    </m:e>
                    <m:sub>
                      <m:r>
                        <m:t>k</m:t>
                      </m:r>
                    </m:sub>
                  </m:sSub>
                  <m:r>
                    <m:rPr>
                      <m:sty m:val="p"/>
                    </m:rPr>
                    <m:t>−</m:t>
                  </m:r>
                  <m:sSub>
                    <m:e>
                      <m:acc>
                        <m:accPr>
                          <m:chr m:val="‾"/>
                        </m:accPr>
                        <m:e>
                          <m:r>
                            <m:t>p</m:t>
                          </m:r>
                        </m:e>
                      </m:acc>
                    </m:e>
                    <m:sub>
                      <m:r>
                        <m:t>k</m:t>
                      </m:r>
                    </m:sub>
                  </m:sSub>
                  <m:sSup>
                    <m:e>
                      <m:r>
                        <m:rPr>
                          <m:sty m:val="p"/>
                        </m:rPr>
                        <m:t>)</m:t>
                      </m:r>
                    </m:e>
                    <m:sup>
                      <m:r>
                        <m:t>2</m:t>
                      </m:r>
                    </m:sup>
                  </m:sSup>
                </m:num>
                <m:den>
                  <m:sSub>
                    <m:e>
                      <m:acc>
                        <m:accPr>
                          <m:chr m:val="‾"/>
                        </m:accPr>
                        <m:e>
                          <m:r>
                            <m:t>p</m:t>
                          </m:r>
                        </m:e>
                      </m:acc>
                    </m:e>
                    <m:sub>
                      <m:r>
                        <m:t>k</m:t>
                      </m:r>
                    </m:sub>
                  </m:sSub>
                  <m:r>
                    <m:rPr>
                      <m:sty m:val="p"/>
                    </m:rPr>
                    <m:t>(</m:t>
                  </m:r>
                  <m:r>
                    <m:t>1</m:t>
                  </m:r>
                  <m:r>
                    <m:rPr>
                      <m:sty m:val="p"/>
                    </m:rPr>
                    <m:t>−</m:t>
                  </m:r>
                  <m:sSub>
                    <m:e>
                      <m:acc>
                        <m:accPr>
                          <m:chr m:val="‾"/>
                        </m:accPr>
                        <m:e>
                          <m:r>
                            <m:t>p</m:t>
                          </m:r>
                        </m:e>
                      </m:acc>
                    </m:e>
                    <m:sub>
                      <m:r>
                        <m:t>k</m:t>
                      </m:r>
                    </m:sub>
                  </m:sSub>
                  <m:r>
                    <m:rPr>
                      <m:sty m:val="p"/>
                    </m:rPr>
                    <m:t>)</m:t>
                  </m:r>
                </m:den>
              </m:f>
            </m:e>
          </m:nary>
          <m:r>
            <m:rPr>
              <m:sty m:val="p"/>
            </m:rPr>
            <m:t>,</m:t>
          </m:r>
        </m:oMath>
      </m:oMathPara>
    </w:p>
    <w:p>
      <w:pPr>
        <w:pStyle w:val="FirstParagraph"/>
      </w:pPr>
      <w:r>
        <w:t xml:space="preserve">with</w:t>
      </w:r>
      <w:r>
        <w:t xml:space="preserve"> </w:t>
      </w:r>
      <m:oMath>
        <m:r>
          <m:t>g</m:t>
        </m:r>
      </m:oMath>
      <w:r>
        <w:t xml:space="preserve"> </w:t>
      </w:r>
      <w:r>
        <w:t xml:space="preserve">degrees of freedom when evaluated on held-out data (the usual</w:t>
      </w:r>
      <w:r>
        <w:t xml:space="preserve"> </w:t>
      </w:r>
      <m:oMath>
        <m:r>
          <m:t>g</m:t>
        </m:r>
        <m:r>
          <m:rPr>
            <m:sty m:val="p"/>
          </m:rPr>
          <m:t>−</m:t>
        </m:r>
        <m:r>
          <m:t>2</m:t>
        </m:r>
      </m:oMath>
      <w:r>
        <w:t xml:space="preserve"> </w:t>
      </w:r>
      <w:r>
        <w:t xml:space="preserve">applies to the fitting sample). With over a hundred thousand loans the test rejects any visible miscalibration, so the observed-to-predicted ratio in each bin is the more useful diagnostic.</w:t>
      </w:r>
    </w:p>
    <w:p>
      <w:pPr>
        <w:pStyle w:val="BodyText"/>
      </w:pPr>
      <w:r>
        <w:rPr>
          <w:i/>
          <w:iCs/>
        </w:rPr>
        <w:t xml:space="preserve">Worked example.</w:t>
      </w:r>
      <w:r>
        <w:t xml:space="preserve"> </w:t>
      </w:r>
      <w:r>
        <w:t xml:space="preserve">Six loans, scored by a model, three of which defaulted:</w:t>
      </w:r>
    </w:p>
    <w:p>
      <w:pPr>
        <w:pStyle w:val="TableCaption"/>
      </w:pPr>
      <w:r>
        <w:t xml:space="preserve">Six-point example. AUC = 8 concordant pairs of 9 = 0.889, Gini = 0.778, KS = 0.667.</w:t>
      </w:r>
    </w:p>
    <w:tbl>
      <w:tblPr>
        <w:tblStyle w:val="Table"/>
        <w:tblW w:type="pct" w:w="5000"/>
        <w:tblLayout w:type="fixed"/>
        <w:tblLook w:firstRow="1" w:lastRow="0" w:firstColumn="0" w:lastColumn="0" w:noHBand="0" w:noVBand="0" w:val="0020"/>
        <w:tblCaption w:val="Six-point example. AUC = 8 concordant pairs of 9 = 0.889, Gini = 0.778, KS = 0.667."/>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33"/>
        <w:gridCol w:w="460"/>
        <w:gridCol w:w="828"/>
        <w:gridCol w:w="2026"/>
        <w:gridCol w:w="2210"/>
        <w:gridCol w:w="460"/>
      </w:tblGrid>
      <w:tr>
        <w:trPr>
          <w:tblHeader w:val="on"/>
        </w:trPr>
        <w:tc>
          <w:tcPr/>
          <w:p>
            <w:pPr>
              <w:pStyle w:val="Compact"/>
              <w:jc w:val="left"/>
            </w:pPr>
            <w:r>
              <w:rPr>
                <w:sz w:val="17"/>
              </w:rPr>
              <w:t xml:space="preserve">Rank (riskiest first)</w:t>
            </w:r>
          </w:p>
        </w:tc>
        <w:tc>
          <w:tcPr/>
          <w:p>
            <w:pPr>
              <w:pStyle w:val="Compact"/>
              <w:jc w:val="right"/>
            </w:pPr>
            <w:r>
              <w:rPr>
                <w:sz w:val="17"/>
              </w:rPr>
              <w:t xml:space="preserve">Score</w:t>
            </w:r>
          </w:p>
        </w:tc>
        <w:tc>
          <w:tcPr/>
          <w:p>
            <w:pPr>
              <w:pStyle w:val="Compact"/>
              <w:jc w:val="right"/>
            </w:pPr>
            <w:r>
              <w:rPr>
                <w:sz w:val="17"/>
              </w:rPr>
              <w:t xml:space="preserve">Defaulted</w:t>
            </w:r>
          </w:p>
        </w:tc>
        <w:tc>
          <w:tcPr/>
          <w:p>
            <w:pPr>
              <w:pStyle w:val="Compact"/>
              <w:jc w:val="right"/>
            </w:pPr>
            <w:r>
              <w:rPr>
                <w:sz w:val="17"/>
              </w:rPr>
              <w:t xml:space="preserve">Cum. share of defaults</w:t>
            </w:r>
          </w:p>
        </w:tc>
        <w:tc>
          <w:tcPr/>
          <w:p>
            <w:pPr>
              <w:pStyle w:val="Compact"/>
              <w:jc w:val="right"/>
            </w:pPr>
            <w:r>
              <w:rPr>
                <w:sz w:val="17"/>
              </w:rPr>
              <w:t xml:space="preserve">Cum. share of performing</w:t>
            </w:r>
          </w:p>
        </w:tc>
        <w:tc>
          <w:tcPr/>
          <w:p>
            <w:pPr>
              <w:pStyle w:val="Compact"/>
              <w:jc w:val="right"/>
            </w:pPr>
            <w:r>
              <w:rPr>
                <w:sz w:val="17"/>
              </w:rPr>
              <w:t xml:space="preserve">Gap</w:t>
            </w:r>
          </w:p>
        </w:tc>
      </w:tr>
      <w:tr>
        <w:tc>
          <w:tcPr/>
          <w:p>
            <w:pPr>
              <w:pStyle w:val="Compact"/>
              <w:jc w:val="left"/>
            </w:pPr>
            <w:r>
              <w:rPr>
                <w:sz w:val="17"/>
              </w:rPr>
              <w:t xml:space="preserve">1.0</w:t>
            </w:r>
          </w:p>
        </w:tc>
        <w:tc>
          <w:tcPr/>
          <w:p>
            <w:pPr>
              <w:pStyle w:val="Compact"/>
              <w:jc w:val="right"/>
            </w:pPr>
            <w:r>
              <w:rPr>
                <w:sz w:val="17"/>
              </w:rPr>
              <w:t xml:space="preserve">0.95</w:t>
            </w:r>
          </w:p>
        </w:tc>
        <w:tc>
          <w:tcPr/>
          <w:p>
            <w:pPr>
              <w:pStyle w:val="Compact"/>
              <w:jc w:val="right"/>
            </w:pPr>
            <w:r>
              <w:rPr>
                <w:sz w:val="17"/>
              </w:rPr>
              <w:t xml:space="preserve">1.0</w:t>
            </w:r>
          </w:p>
        </w:tc>
        <w:tc>
          <w:tcPr/>
          <w:p>
            <w:pPr>
              <w:pStyle w:val="Compact"/>
              <w:jc w:val="right"/>
            </w:pPr>
            <w:r>
              <w:rPr>
                <w:sz w:val="17"/>
              </w:rPr>
              <w:t xml:space="preserve">0.333</w:t>
            </w:r>
          </w:p>
        </w:tc>
        <w:tc>
          <w:tcPr/>
          <w:p>
            <w:pPr>
              <w:pStyle w:val="Compact"/>
              <w:jc w:val="right"/>
            </w:pPr>
            <w:r>
              <w:rPr>
                <w:sz w:val="17"/>
              </w:rPr>
              <w:t xml:space="preserve">0.000</w:t>
            </w:r>
          </w:p>
        </w:tc>
        <w:tc>
          <w:tcPr/>
          <w:p>
            <w:pPr>
              <w:pStyle w:val="Compact"/>
              <w:jc w:val="right"/>
            </w:pPr>
            <w:r>
              <w:rPr>
                <w:sz w:val="17"/>
              </w:rPr>
              <w:t xml:space="preserve">0.333</w:t>
            </w:r>
          </w:p>
        </w:tc>
      </w:tr>
      <w:tr>
        <w:tc>
          <w:tcPr/>
          <w:p>
            <w:pPr>
              <w:pStyle w:val="Compact"/>
              <w:jc w:val="left"/>
            </w:pPr>
            <w:r>
              <w:rPr>
                <w:sz w:val="17"/>
              </w:rPr>
              <w:t xml:space="preserve">2.0</w:t>
            </w:r>
          </w:p>
        </w:tc>
        <w:tc>
          <w:tcPr/>
          <w:p>
            <w:pPr>
              <w:pStyle w:val="Compact"/>
              <w:jc w:val="right"/>
            </w:pPr>
            <w:r>
              <w:rPr>
                <w:sz w:val="17"/>
              </w:rPr>
              <w:t xml:space="preserve">0.85</w:t>
            </w:r>
          </w:p>
        </w:tc>
        <w:tc>
          <w:tcPr/>
          <w:p>
            <w:pPr>
              <w:pStyle w:val="Compact"/>
              <w:jc w:val="right"/>
            </w:pPr>
            <w:r>
              <w:rPr>
                <w:sz w:val="17"/>
              </w:rPr>
              <w:t xml:space="preserve">1.0</w:t>
            </w:r>
          </w:p>
        </w:tc>
        <w:tc>
          <w:tcPr/>
          <w:p>
            <w:pPr>
              <w:pStyle w:val="Compact"/>
              <w:jc w:val="right"/>
            </w:pPr>
            <w:r>
              <w:rPr>
                <w:sz w:val="17"/>
              </w:rPr>
              <w:t xml:space="preserve">0.667</w:t>
            </w:r>
          </w:p>
        </w:tc>
        <w:tc>
          <w:tcPr/>
          <w:p>
            <w:pPr>
              <w:pStyle w:val="Compact"/>
              <w:jc w:val="right"/>
            </w:pPr>
            <w:r>
              <w:rPr>
                <w:sz w:val="17"/>
              </w:rPr>
              <w:t xml:space="preserve">0.000</w:t>
            </w:r>
          </w:p>
        </w:tc>
        <w:tc>
          <w:tcPr/>
          <w:p>
            <w:pPr>
              <w:pStyle w:val="Compact"/>
              <w:jc w:val="right"/>
            </w:pPr>
            <w:r>
              <w:rPr>
                <w:sz w:val="17"/>
              </w:rPr>
              <w:t xml:space="preserve">0.667</w:t>
            </w:r>
          </w:p>
        </w:tc>
      </w:tr>
      <w:tr>
        <w:tc>
          <w:tcPr/>
          <w:p>
            <w:pPr>
              <w:pStyle w:val="Compact"/>
              <w:jc w:val="left"/>
            </w:pPr>
            <w:r>
              <w:rPr>
                <w:sz w:val="17"/>
              </w:rPr>
              <w:t xml:space="preserve">3.0</w:t>
            </w:r>
          </w:p>
        </w:tc>
        <w:tc>
          <w:tcPr/>
          <w:p>
            <w:pPr>
              <w:pStyle w:val="Compact"/>
              <w:jc w:val="right"/>
            </w:pPr>
            <w:r>
              <w:rPr>
                <w:sz w:val="17"/>
              </w:rPr>
              <w:t xml:space="preserve">0.70</w:t>
            </w:r>
          </w:p>
        </w:tc>
        <w:tc>
          <w:tcPr/>
          <w:p>
            <w:pPr>
              <w:pStyle w:val="Compact"/>
              <w:jc w:val="right"/>
            </w:pPr>
            <w:r>
              <w:rPr>
                <w:sz w:val="17"/>
              </w:rPr>
              <w:t xml:space="preserve">0.0</w:t>
            </w:r>
          </w:p>
        </w:tc>
        <w:tc>
          <w:tcPr/>
          <w:p>
            <w:pPr>
              <w:pStyle w:val="Compact"/>
              <w:jc w:val="right"/>
            </w:pPr>
            <w:r>
              <w:rPr>
                <w:sz w:val="17"/>
              </w:rPr>
              <w:t xml:space="preserve">0.667</w:t>
            </w:r>
          </w:p>
        </w:tc>
        <w:tc>
          <w:tcPr/>
          <w:p>
            <w:pPr>
              <w:pStyle w:val="Compact"/>
              <w:jc w:val="right"/>
            </w:pPr>
            <w:r>
              <w:rPr>
                <w:sz w:val="17"/>
              </w:rPr>
              <w:t xml:space="preserve">0.333</w:t>
            </w:r>
          </w:p>
        </w:tc>
        <w:tc>
          <w:tcPr/>
          <w:p>
            <w:pPr>
              <w:pStyle w:val="Compact"/>
              <w:jc w:val="right"/>
            </w:pPr>
            <w:r>
              <w:rPr>
                <w:sz w:val="17"/>
              </w:rPr>
              <w:t xml:space="preserve">0.333</w:t>
            </w:r>
          </w:p>
        </w:tc>
      </w:tr>
      <w:tr>
        <w:tc>
          <w:tcPr/>
          <w:p>
            <w:pPr>
              <w:pStyle w:val="Compact"/>
              <w:jc w:val="left"/>
            </w:pPr>
            <w:r>
              <w:rPr>
                <w:sz w:val="17"/>
              </w:rPr>
              <w:t xml:space="preserve">4.0</w:t>
            </w:r>
          </w:p>
        </w:tc>
        <w:tc>
          <w:tcPr/>
          <w:p>
            <w:pPr>
              <w:pStyle w:val="Compact"/>
              <w:jc w:val="right"/>
            </w:pPr>
            <w:r>
              <w:rPr>
                <w:sz w:val="17"/>
              </w:rPr>
              <w:t xml:space="preserve">0.55</w:t>
            </w:r>
          </w:p>
        </w:tc>
        <w:tc>
          <w:tcPr/>
          <w:p>
            <w:pPr>
              <w:pStyle w:val="Compact"/>
              <w:jc w:val="right"/>
            </w:pPr>
            <w:r>
              <w:rPr>
                <w:sz w:val="17"/>
              </w:rPr>
              <w:t xml:space="preserve">1.0</w:t>
            </w:r>
          </w:p>
        </w:tc>
        <w:tc>
          <w:tcPr/>
          <w:p>
            <w:pPr>
              <w:pStyle w:val="Compact"/>
              <w:jc w:val="right"/>
            </w:pPr>
            <w:r>
              <w:rPr>
                <w:sz w:val="17"/>
              </w:rPr>
              <w:t xml:space="preserve">1.000</w:t>
            </w:r>
          </w:p>
        </w:tc>
        <w:tc>
          <w:tcPr/>
          <w:p>
            <w:pPr>
              <w:pStyle w:val="Compact"/>
              <w:jc w:val="right"/>
            </w:pPr>
            <w:r>
              <w:rPr>
                <w:sz w:val="17"/>
              </w:rPr>
              <w:t xml:space="preserve">0.333</w:t>
            </w:r>
          </w:p>
        </w:tc>
        <w:tc>
          <w:tcPr/>
          <w:p>
            <w:pPr>
              <w:pStyle w:val="Compact"/>
              <w:jc w:val="right"/>
            </w:pPr>
            <w:r>
              <w:rPr>
                <w:sz w:val="17"/>
              </w:rPr>
              <w:t xml:space="preserve">0.667</w:t>
            </w:r>
          </w:p>
        </w:tc>
      </w:tr>
      <w:tr>
        <w:tc>
          <w:tcPr/>
          <w:p>
            <w:pPr>
              <w:pStyle w:val="Compact"/>
              <w:jc w:val="left"/>
            </w:pPr>
            <w:r>
              <w:rPr>
                <w:sz w:val="17"/>
              </w:rPr>
              <w:t xml:space="preserve">5.0</w:t>
            </w:r>
          </w:p>
        </w:tc>
        <w:tc>
          <w:tcPr/>
          <w:p>
            <w:pPr>
              <w:pStyle w:val="Compact"/>
              <w:jc w:val="right"/>
            </w:pPr>
            <w:r>
              <w:rPr>
                <w:sz w:val="17"/>
              </w:rPr>
              <w:t xml:space="preserve">0.40</w:t>
            </w:r>
          </w:p>
        </w:tc>
        <w:tc>
          <w:tcPr/>
          <w:p>
            <w:pPr>
              <w:pStyle w:val="Compact"/>
              <w:jc w:val="right"/>
            </w:pPr>
            <w:r>
              <w:rPr>
                <w:sz w:val="17"/>
              </w:rPr>
              <w:t xml:space="preserve">0.0</w:t>
            </w:r>
          </w:p>
        </w:tc>
        <w:tc>
          <w:tcPr/>
          <w:p>
            <w:pPr>
              <w:pStyle w:val="Compact"/>
              <w:jc w:val="right"/>
            </w:pPr>
            <w:r>
              <w:rPr>
                <w:sz w:val="17"/>
              </w:rPr>
              <w:t xml:space="preserve">1.000</w:t>
            </w:r>
          </w:p>
        </w:tc>
        <w:tc>
          <w:tcPr/>
          <w:p>
            <w:pPr>
              <w:pStyle w:val="Compact"/>
              <w:jc w:val="right"/>
            </w:pPr>
            <w:r>
              <w:rPr>
                <w:sz w:val="17"/>
              </w:rPr>
              <w:t xml:space="preserve">0.667</w:t>
            </w:r>
          </w:p>
        </w:tc>
        <w:tc>
          <w:tcPr/>
          <w:p>
            <w:pPr>
              <w:pStyle w:val="Compact"/>
              <w:jc w:val="right"/>
            </w:pPr>
            <w:r>
              <w:rPr>
                <w:sz w:val="17"/>
              </w:rPr>
              <w:t xml:space="preserve">0.333</w:t>
            </w:r>
          </w:p>
        </w:tc>
      </w:tr>
      <w:tr>
        <w:tc>
          <w:tcPr/>
          <w:p>
            <w:pPr>
              <w:pStyle w:val="Compact"/>
              <w:jc w:val="left"/>
            </w:pPr>
            <w:r>
              <w:rPr>
                <w:sz w:val="17"/>
              </w:rPr>
              <w:t xml:space="preserve">6.0</w:t>
            </w:r>
          </w:p>
        </w:tc>
        <w:tc>
          <w:tcPr/>
          <w:p>
            <w:pPr>
              <w:pStyle w:val="Compact"/>
              <w:jc w:val="right"/>
            </w:pPr>
            <w:r>
              <w:rPr>
                <w:sz w:val="17"/>
              </w:rPr>
              <w:t xml:space="preserve">0.20</w:t>
            </w:r>
          </w:p>
        </w:tc>
        <w:tc>
          <w:tcPr/>
          <w:p>
            <w:pPr>
              <w:pStyle w:val="Compact"/>
              <w:jc w:val="right"/>
            </w:pPr>
            <w:r>
              <w:rPr>
                <w:sz w:val="17"/>
              </w:rPr>
              <w:t xml:space="preserve">0.0</w:t>
            </w:r>
          </w:p>
        </w:tc>
        <w:tc>
          <w:tcPr/>
          <w:p>
            <w:pPr>
              <w:pStyle w:val="Compact"/>
              <w:jc w:val="right"/>
            </w:pPr>
            <w:r>
              <w:rPr>
                <w:sz w:val="17"/>
              </w:rPr>
              <w:t xml:space="preserve">1.000</w:t>
            </w:r>
          </w:p>
        </w:tc>
        <w:tc>
          <w:tcPr/>
          <w:p>
            <w:pPr>
              <w:pStyle w:val="Compact"/>
              <w:jc w:val="right"/>
            </w:pPr>
            <w:r>
              <w:rPr>
                <w:sz w:val="17"/>
              </w:rPr>
              <w:t xml:space="preserve">1.000</w:t>
            </w:r>
          </w:p>
        </w:tc>
        <w:tc>
          <w:tcPr/>
          <w:p>
            <w:pPr>
              <w:pStyle w:val="Compact"/>
              <w:jc w:val="right"/>
            </w:pPr>
            <w:r>
              <w:rPr>
                <w:sz w:val="17"/>
              </w:rPr>
              <w:t xml:space="preserve">0.000</w:t>
            </w:r>
          </w:p>
        </w:tc>
      </w:tr>
    </w:tbl>
    <w:p>
      <w:pPr>
        <w:pStyle w:val="BodyText"/>
      </w:pPr>
      <w:r>
        <w:t xml:space="preserve">Counting pairs: there are 3 defaulted and 3 performing loans, so 9 pairs; in 8 of them the defaulted loan has the higher score, so AUC = 8/9. For KS, walk down the ranking and track the two cumulative shares; the largest gap is the KS statistic.</w:t>
      </w:r>
    </w:p>
    <w:bookmarkEnd w:id="49"/>
    <w:bookmarkStart w:id="50" w:name="delong-test-and-loan-clustered-bootstrap"/>
    <w:p>
      <w:pPr>
        <w:pStyle w:val="Heading2"/>
      </w:pPr>
      <w:r>
        <w:rPr>
          <w:rStyle w:val="SectionNumber"/>
        </w:rPr>
        <w:t xml:space="preserve">7.10</w:t>
      </w:r>
      <w:r>
        <w:tab/>
      </w:r>
      <w:r>
        <w:t xml:space="preserve">DeLong test and loan-clustered bootstrap</w:t>
      </w:r>
    </w:p>
    <w:p>
      <w:pPr>
        <w:pStyle w:val="FirstParagraph"/>
      </w:pPr>
      <w:r>
        <w:rPr>
          <w:i/>
          <w:iCs/>
        </w:rPr>
        <w:t xml:space="preserve">DeLong.</w:t>
      </w:r>
      <w:r>
        <w:t xml:space="preserve"> </w:t>
      </w:r>
      <w:r>
        <w:t xml:space="preserve">Two models scored on the same loans have correlated AUCs, so a simple difference test is wrong. DeLong, DeLong and Clarke-Pearson (1988) express the AUC as a mean of "structural components" per positive and per negative,</w:t>
      </w:r>
      <w:r>
        <w:t xml:space="preserve"> </w:t>
      </w:r>
      <m:oMath>
        <m:sSub>
          <m:e>
            <m:r>
              <m:t>V</m:t>
            </m:r>
          </m:e>
          <m:sub>
            <m:r>
              <m:t>10</m:t>
            </m:r>
          </m:sub>
        </m:sSub>
        <m:r>
          <m:rPr>
            <m:sty m:val="p"/>
          </m:rPr>
          <m:t>(</m:t>
        </m:r>
        <m:sSub>
          <m:e>
            <m:r>
              <m:t>x</m:t>
            </m:r>
          </m:e>
          <m:sub>
            <m:r>
              <m:t>i</m:t>
            </m:r>
          </m:sub>
        </m:sSub>
        <m:r>
          <m:rPr>
            <m:sty m:val="p"/>
          </m:rPr>
          <m:t>)</m:t>
        </m:r>
      </m:oMath>
      <w:r>
        <w:t xml:space="preserve"> </w:t>
      </w:r>
      <w:r>
        <w:t xml:space="preserve">and</w:t>
      </w:r>
      <w:r>
        <w:t xml:space="preserve"> </w:t>
      </w:r>
      <m:oMath>
        <m:sSub>
          <m:e>
            <m:r>
              <m:t>V</m:t>
            </m:r>
          </m:e>
          <m:sub>
            <m:r>
              <m:t>01</m:t>
            </m:r>
          </m:sub>
        </m:sSub>
        <m:r>
          <m:rPr>
            <m:sty m:val="p"/>
          </m:rPr>
          <m:t>(</m:t>
        </m:r>
        <m:sSub>
          <m:e>
            <m:r>
              <m:t>y</m:t>
            </m:r>
          </m:e>
          <m:sub>
            <m:r>
              <m:t>j</m:t>
            </m:r>
          </m:sub>
        </m:sSub>
        <m:r>
          <m:rPr>
            <m:sty m:val="p"/>
          </m:rPr>
          <m:t>)</m:t>
        </m:r>
      </m:oMath>
      <w:r>
        <w:t xml:space="preserve">, estimate the covariance of the two models' AUCs from those components, and test</w:t>
      </w:r>
      <w:r>
        <w:t xml:space="preserve"> </w:t>
      </w:r>
      <m:oMath>
        <m:r>
          <m:t>z</m:t>
        </m:r>
        <m:r>
          <m:rPr>
            <m:sty m:val="p"/>
          </m:rPr>
          <m:t>=</m:t>
        </m:r>
        <m:r>
          <m:rPr>
            <m:sty m:val="p"/>
          </m:rPr>
          <m:t>(</m:t>
        </m:r>
        <m:sSub>
          <m:e>
            <m:acc>
              <m:accPr>
                <m:chr m:val="̂"/>
              </m:accPr>
              <m:e>
                <m:r>
                  <m:rPr>
                    <m:nor/>
                    <m:sty m:val="p"/>
                  </m:rPr>
                  <m:t>AUC</m:t>
                </m:r>
              </m:e>
            </m:acc>
          </m:e>
          <m:sub>
            <m:r>
              <m:t>1</m:t>
            </m:r>
          </m:sub>
        </m:sSub>
        <m:r>
          <m:rPr>
            <m:sty m:val="p"/>
          </m:rPr>
          <m:t>−</m:t>
        </m:r>
        <m:sSub>
          <m:e>
            <m:acc>
              <m:accPr>
                <m:chr m:val="̂"/>
              </m:accPr>
              <m:e>
                <m:r>
                  <m:rPr>
                    <m:nor/>
                    <m:sty m:val="p"/>
                  </m:rPr>
                  <m:t>AUC</m:t>
                </m:r>
              </m:e>
            </m:acc>
          </m:e>
          <m:sub>
            <m:r>
              <m:t>2</m:t>
            </m:r>
          </m:sub>
        </m:sSub>
        <m:r>
          <m:rPr>
            <m:sty m:val="p"/>
          </m:rPr>
          <m:t>)</m:t>
        </m:r>
        <m:r>
          <m:rPr>
            <m:sty m:val="p"/>
          </m:rPr>
          <m:t>/</m:t>
        </m:r>
        <m:rad>
          <m:radPr>
            <m:degHide m:val="on"/>
          </m:radPr>
          <m:deg/>
          <m:e>
            <m:acc>
              <m:accPr>
                <m:chr m:val="̂"/>
              </m:accPr>
              <m:e>
                <m:r>
                  <m:rPr>
                    <m:nor/>
                    <m:sty m:val="p"/>
                  </m:rPr>
                  <m:t>Var</m:t>
                </m:r>
              </m:e>
            </m:acc>
            <m:r>
              <m:rPr>
                <m:sty m:val="p"/>
              </m:rPr>
              <m:t>(</m:t>
            </m:r>
            <m:sSub>
              <m:e>
                <m:acc>
                  <m:accPr>
                    <m:chr m:val="̂"/>
                  </m:accPr>
                  <m:e>
                    <m:r>
                      <m:rPr>
                        <m:nor/>
                        <m:sty m:val="p"/>
                      </m:rPr>
                      <m:t>AUC</m:t>
                    </m:r>
                  </m:e>
                </m:acc>
              </m:e>
              <m:sub>
                <m:r>
                  <m:t>1</m:t>
                </m:r>
              </m:sub>
            </m:sSub>
            <m:r>
              <m:rPr>
                <m:sty m:val="p"/>
              </m:rPr>
              <m:t>−</m:t>
            </m:r>
            <m:sSub>
              <m:e>
                <m:acc>
                  <m:accPr>
                    <m:chr m:val="̂"/>
                  </m:accPr>
                  <m:e>
                    <m:r>
                      <m:rPr>
                        <m:nor/>
                        <m:sty m:val="p"/>
                      </m:rPr>
                      <m:t>AUC</m:t>
                    </m:r>
                  </m:e>
                </m:acc>
              </m:e>
              <m:sub>
                <m:r>
                  <m:t>2</m:t>
                </m:r>
              </m:sub>
            </m:sSub>
            <m:r>
              <m:rPr>
                <m:sty m:val="p"/>
              </m:rPr>
              <m:t>)</m:t>
            </m:r>
          </m:e>
        </m:rad>
      </m:oMath>
      <w:r>
        <w:t xml:space="preserve"> </w:t>
      </w:r>
      <w:r>
        <w:t xml:space="preserve">against a standard normal.</w:t>
      </w:r>
      <w:r>
        <w:t xml:space="preserve"> </w:t>
      </w:r>
      <w:r>
        <w:rPr>
          <w:rStyle w:val="VerbatimChar"/>
        </w:rPr>
        <w:t xml:space="preserve">evaluation.delong_test</w:t>
      </w:r>
      <w:r>
        <w:t xml:space="preserve"> </w:t>
      </w:r>
      <w:r>
        <w:t xml:space="preserve">implements it with rank-based components.</w:t>
      </w:r>
    </w:p>
    <w:p>
      <w:pPr>
        <w:pStyle w:val="BodyText"/>
      </w:pPr>
      <w:r>
        <w:rPr>
          <w:i/>
          <w:iCs/>
        </w:rPr>
        <w:t xml:space="preserve">Bootstrap.</w:t>
      </w:r>
      <w:r>
        <w:t xml:space="preserve"> </w:t>
      </w:r>
      <w:r>
        <w:t xml:space="preserve">Because the same loan appears in several snapshots, rows are not independent, and a row bootstrap would give intervals that are too narrow.</w:t>
      </w:r>
      <w:r>
        <w:t xml:space="preserve"> </w:t>
      </w:r>
      <w:r>
        <w:rPr>
          <w:rStyle w:val="VerbatimChar"/>
        </w:rPr>
        <w:t xml:space="preserve">evaluation.bootstrap_ci</w:t>
      </w:r>
      <w:r>
        <w:t xml:space="preserve"> </w:t>
      </w:r>
      <w:r>
        <w:t xml:space="preserve">resamples</w:t>
      </w:r>
      <w:r>
        <w:t xml:space="preserve"> </w:t>
      </w:r>
      <w:r>
        <w:rPr>
          <w:b/>
          <w:bCs/>
        </w:rPr>
        <w:t xml:space="preserve">loans</w:t>
      </w:r>
      <w:r>
        <w:t xml:space="preserve"> </w:t>
      </w:r>
      <w:r>
        <w:t xml:space="preserve">(all of a loan's rows together) 500 times and reports the 2.5th and 97.5th percentiles of the metric. To keep it fast, at most 25,000 rows enter the bootstrap, which makes intervals slightly conservative.</w:t>
      </w:r>
    </w:p>
    <w:bookmarkEnd w:id="50"/>
    <w:bookmarkStart w:id="51" w:name="X2b4413ffff4302f8fd20b9202c29e64e097c76b"/>
    <w:p>
      <w:pPr>
        <w:pStyle w:val="Heading2"/>
      </w:pPr>
      <w:r>
        <w:rPr>
          <w:rStyle w:val="SectionNumber"/>
        </w:rPr>
        <w:t xml:space="preserve">7.11</w:t>
      </w:r>
      <w:r>
        <w:tab/>
      </w:r>
      <w:r>
        <w:t xml:space="preserve">Population stability index and characteristic stability index</w:t>
      </w:r>
    </w:p>
    <w:p>
      <w:pPr>
        <w:pStyle w:val="FirstParagraph"/>
      </w:pPr>
      <w:r>
        <w:rPr>
          <w:i/>
          <w:iCs/>
        </w:rPr>
        <w:t xml:space="preserve">Intuition.</w:t>
      </w:r>
      <w:r>
        <w:t xml:space="preserve"> </w:t>
      </w:r>
      <w:r>
        <w:t xml:space="preserve">After deployment the population drifts. PSI compares the distribution of the score (or of one feature, in which case it is called CSI) today with the distribution at development.</w:t>
      </w:r>
    </w:p>
    <w:p>
      <w:pPr>
        <w:pStyle w:val="BodyText"/>
      </w:pPr>
      <w:r>
        <w:rPr>
          <w:i/>
          <w:iCs/>
        </w:rPr>
        <w:t xml:space="preserve">Maths.</w:t>
      </w:r>
      <w:r>
        <w:t xml:space="preserve"> </w:t>
      </w:r>
      <w:r>
        <w:t xml:space="preserve">Cut the development data into</w:t>
      </w:r>
      <w:r>
        <w:t xml:space="preserve"> </w:t>
      </w:r>
      <m:oMath>
        <m:r>
          <m:t>K</m:t>
        </m:r>
      </m:oMath>
      <w:r>
        <w:t xml:space="preserve"> </w:t>
      </w:r>
      <w:r>
        <w:t xml:space="preserve">quantile bins (ten here). Let</w:t>
      </w:r>
      <w:r>
        <w:t xml:space="preserve"> </w:t>
      </w:r>
      <m:oMath>
        <m:sSub>
          <m:e>
            <m:r>
              <m:t>e</m:t>
            </m:r>
          </m:e>
          <m:sub>
            <m:r>
              <m:t>k</m:t>
            </m:r>
          </m:sub>
        </m:sSub>
      </m:oMath>
      <w:r>
        <w:t xml:space="preserve"> </w:t>
      </w:r>
      <w:r>
        <w:t xml:space="preserve">be each bin's share of the development sample and</w:t>
      </w:r>
      <w:r>
        <w:t xml:space="preserve"> </w:t>
      </w:r>
      <m:oMath>
        <m:sSub>
          <m:e>
            <m:r>
              <m:t>a</m:t>
            </m:r>
          </m:e>
          <m:sub>
            <m:r>
              <m:t>k</m:t>
            </m:r>
          </m:sub>
        </m:sSub>
      </m:oMath>
      <w:r>
        <w:t xml:space="preserve"> </w:t>
      </w:r>
      <w:r>
        <w:t xml:space="preserve">its share of the new sample:</w:t>
      </w:r>
    </w:p>
    <w:p>
      <w:pPr>
        <w:pStyle w:val="BodyText"/>
      </w:pPr>
      <m:oMathPara>
        <m:oMathParaPr>
          <m:jc m:val="center"/>
        </m:oMathParaPr>
        <m:oMath>
          <m:r>
            <m:rPr>
              <m:nor/>
              <m:sty m:val="p"/>
            </m:rPr>
            <m:t>PSI</m:t>
          </m:r>
          <m:r>
            <m:rPr>
              <m:sty m:val="p"/>
            </m:rPr>
            <m:t>=</m:t>
          </m:r>
          <m:nary>
            <m:naryPr>
              <m:chr m:val="∑"/>
              <m:limLoc m:val="undOvr"/>
              <m:subHide m:val="off"/>
              <m:supHide m:val="off"/>
            </m:naryPr>
            <m:sub>
              <m:r>
                <m:t>k</m:t>
              </m:r>
              <m:r>
                <m:rPr>
                  <m:sty m:val="p"/>
                </m:rPr>
                <m:t>=</m:t>
              </m:r>
              <m:r>
                <m:t>1</m:t>
              </m:r>
            </m:sub>
            <m:sup>
              <m:r>
                <m:t>K</m:t>
              </m:r>
            </m:sup>
            <m:e>
              <m:r>
                <m:rPr>
                  <m:sty m:val="p"/>
                </m:rPr>
                <m:t>(</m:t>
              </m:r>
            </m:e>
          </m:nary>
          <m:sSub>
            <m:e>
              <m:r>
                <m:t>a</m:t>
              </m:r>
            </m:e>
            <m:sub>
              <m:r>
                <m:t>k</m:t>
              </m:r>
            </m:sub>
          </m:sSub>
          <m:r>
            <m:rPr>
              <m:sty m:val="p"/>
            </m:rPr>
            <m:t>−</m:t>
          </m:r>
          <m:sSub>
            <m:e>
              <m:r>
                <m:t>e</m:t>
              </m:r>
            </m:e>
            <m:sub>
              <m:r>
                <m:t>k</m:t>
              </m:r>
            </m:sub>
          </m:sSub>
          <m:r>
            <m:rPr>
              <m:sty m:val="p"/>
            </m:rPr>
            <m:t>)</m:t>
          </m:r>
          <m:r>
            <m:rPr>
              <m:sty m:val="p"/>
            </m:rPr>
            <m:t>ln</m:t>
          </m:r>
          <m:f>
            <m:fPr>
              <m:type m:val="bar"/>
            </m:fPr>
            <m:num>
              <m:sSub>
                <m:e>
                  <m:r>
                    <m:t>a</m:t>
                  </m:r>
                </m:e>
                <m:sub>
                  <m:r>
                    <m:t>k</m:t>
                  </m:r>
                </m:sub>
              </m:sSub>
            </m:num>
            <m:den>
              <m:sSub>
                <m:e>
                  <m:r>
                    <m:t>e</m:t>
                  </m:r>
                </m:e>
                <m:sub>
                  <m:r>
                    <m:t>k</m:t>
                  </m:r>
                </m:sub>
              </m:sSub>
            </m:den>
          </m:f>
          <m:r>
            <m:rPr>
              <m:sty m:val="p"/>
            </m:rPr>
            <m:t>.</m:t>
          </m:r>
        </m:oMath>
      </m:oMathPara>
    </w:p>
    <w:p>
      <w:pPr>
        <w:pStyle w:val="FirstParagraph"/>
      </w:pPr>
      <w:r>
        <w:t xml:space="preserve">It is a symmetric divergence, equal to the sum of the two Kullback-Leibler divergences between the distributions, and is zero only when the shares match. Shares are floored at</w:t>
      </w:r>
      <w:r>
        <w:t xml:space="preserve"> </w:t>
      </w:r>
      <m:oMath>
        <m:sSup>
          <m:e>
            <m:r>
              <m:t>10</m:t>
            </m:r>
          </m:e>
          <m:sup>
            <m:r>
              <m:rPr>
                <m:sty m:val="p"/>
              </m:rPr>
              <m:t>−</m:t>
            </m:r>
            <m:r>
              <m:t>4</m:t>
            </m:r>
          </m:sup>
        </m:sSup>
      </m:oMath>
      <w:r>
        <w:t xml:space="preserve"> </w:t>
      </w:r>
      <w:r>
        <w:t xml:space="preserve">to avoid a log of zero. The conventional bands, held in</w:t>
      </w:r>
      <w:r>
        <w:t xml:space="preserve"> </w:t>
      </w:r>
      <w:r>
        <w:rPr>
          <w:rStyle w:val="VerbatimChar"/>
        </w:rPr>
        <w:t xml:space="preserve">config.PSI_BANDS</w:t>
      </w:r>
      <w:r>
        <w:t xml:space="preserve">, are below 0.10 stable, 0.10 to 0.25 moderate shift and above 0.25 significant shift.</w:t>
      </w:r>
    </w:p>
    <w:p>
      <w:pPr>
        <w:pStyle w:val="BodyText"/>
      </w:pPr>
      <w:r>
        <w:rPr>
          <w:i/>
          <w:iCs/>
        </w:rPr>
        <w:t xml:space="preserve">Worked example.</w:t>
      </w:r>
      <w:r>
        <w:t xml:space="preserve"> </w:t>
      </w:r>
      <w:r>
        <w:t xml:space="preserve">Expected shares of 50%, 30% and 20% against actual shares of 40%, 30% and 30%:</w:t>
      </w:r>
    </w:p>
    <w:p>
      <w:pPr>
        <w:pStyle w:val="TableCaption"/>
      </w:pPr>
      <w:r>
        <w:t xml:space="preserve">PSI worked example. PSI = 0.0629, in the stable band.</w:t>
      </w:r>
    </w:p>
    <w:tbl>
      <w:tblPr>
        <w:tblStyle w:val="Table"/>
        <w:tblW w:type="pct" w:w="5000"/>
        <w:tblLayout w:type="fixed"/>
        <w:tblLook w:firstRow="1" w:lastRow="0" w:firstColumn="0" w:lastColumn="0" w:noHBand="0" w:noVBand="0" w:val="0020"/>
        <w:tblCaption w:val="PSI worked example. PSI = 0.0629, in the stable ban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35"/>
        <w:gridCol w:w="1498"/>
        <w:gridCol w:w="1284"/>
        <w:gridCol w:w="1070"/>
        <w:gridCol w:w="2247"/>
        <w:gridCol w:w="1284"/>
      </w:tblGrid>
      <w:tr>
        <w:trPr>
          <w:tblHeader w:val="on"/>
        </w:trPr>
        <w:tc>
          <w:tcPr/>
          <w:p>
            <w:pPr>
              <w:pStyle w:val="Compact"/>
              <w:jc w:val="left"/>
            </w:pPr>
            <w:r>
              <w:rPr>
                <w:sz w:val="17"/>
              </w:rPr>
              <w:t xml:space="preserve">Bin</w:t>
            </w:r>
          </w:p>
        </w:tc>
        <w:tc>
          <w:tcPr/>
          <w:p>
            <w:pPr>
              <w:pStyle w:val="Compact"/>
              <w:jc w:val="right"/>
            </w:pPr>
            <w:r>
              <w:rPr>
                <w:sz w:val="17"/>
              </w:rPr>
              <w:t xml:space="preserve">Expected share</w:t>
            </w:r>
          </w:p>
        </w:tc>
        <w:tc>
          <w:tcPr/>
          <w:p>
            <w:pPr>
              <w:pStyle w:val="Compact"/>
              <w:jc w:val="right"/>
            </w:pPr>
            <w:r>
              <w:rPr>
                <w:sz w:val="17"/>
              </w:rPr>
              <w:t xml:space="preserve">Actual share</w:t>
            </w:r>
          </w:p>
        </w:tc>
        <w:tc>
          <w:tcPr/>
          <w:p>
            <w:pPr>
              <w:pStyle w:val="Compact"/>
              <w:jc w:val="right"/>
            </w:pPr>
            <w:r>
              <w:rPr>
                <w:sz w:val="17"/>
              </w:rPr>
              <w:t xml:space="preserve">Difference</w:t>
            </w:r>
          </w:p>
        </w:tc>
        <w:tc>
          <w:tcPr/>
          <w:p>
            <w:pPr>
              <w:pStyle w:val="Compact"/>
              <w:jc w:val="right"/>
            </w:pPr>
            <w:r>
              <w:rPr>
                <w:sz w:val="17"/>
              </w:rPr>
              <w:t xml:space="preserve">ln(actual / expected)</w:t>
            </w:r>
          </w:p>
        </w:tc>
        <w:tc>
          <w:tcPr/>
          <w:p>
            <w:pPr>
              <w:pStyle w:val="Compact"/>
              <w:jc w:val="right"/>
            </w:pPr>
            <w:r>
              <w:rPr>
                <w:sz w:val="17"/>
              </w:rPr>
              <w:t xml:space="preserve">Contribution</w:t>
            </w:r>
          </w:p>
        </w:tc>
      </w:tr>
      <w:tr>
        <w:tc>
          <w:tcPr/>
          <w:p>
            <w:pPr>
              <w:pStyle w:val="Compact"/>
              <w:jc w:val="left"/>
            </w:pPr>
            <w:r>
              <w:rPr>
                <w:sz w:val="17"/>
              </w:rPr>
              <w:t xml:space="preserve">Bin 1</w:t>
            </w:r>
          </w:p>
        </w:tc>
        <w:tc>
          <w:tcPr/>
          <w:p>
            <w:pPr>
              <w:pStyle w:val="Compact"/>
              <w:jc w:val="right"/>
            </w:pPr>
            <w:r>
              <w:rPr>
                <w:sz w:val="17"/>
              </w:rPr>
              <w:t xml:space="preserve">50%</w:t>
            </w:r>
          </w:p>
        </w:tc>
        <w:tc>
          <w:tcPr/>
          <w:p>
            <w:pPr>
              <w:pStyle w:val="Compact"/>
              <w:jc w:val="right"/>
            </w:pPr>
            <w:r>
              <w:rPr>
                <w:sz w:val="17"/>
              </w:rPr>
              <w:t xml:space="preserve">40%</w:t>
            </w:r>
          </w:p>
        </w:tc>
        <w:tc>
          <w:tcPr/>
          <w:p>
            <w:pPr>
              <w:pStyle w:val="Compact"/>
              <w:jc w:val="right"/>
            </w:pPr>
            <w:r>
              <w:rPr>
                <w:sz w:val="17"/>
              </w:rPr>
              <w:t xml:space="preserve">-10 pp</w:t>
            </w:r>
          </w:p>
        </w:tc>
        <w:tc>
          <w:tcPr/>
          <w:p>
            <w:pPr>
              <w:pStyle w:val="Compact"/>
              <w:jc w:val="right"/>
            </w:pPr>
            <w:r>
              <w:rPr>
                <w:sz w:val="17"/>
              </w:rPr>
              <w:t xml:space="preserve">-0.2231</w:t>
            </w:r>
          </w:p>
        </w:tc>
        <w:tc>
          <w:tcPr/>
          <w:p>
            <w:pPr>
              <w:pStyle w:val="Compact"/>
              <w:jc w:val="right"/>
            </w:pPr>
            <w:r>
              <w:rPr>
                <w:sz w:val="17"/>
              </w:rPr>
              <w:t xml:space="preserve">0.0223</w:t>
            </w:r>
          </w:p>
        </w:tc>
      </w:tr>
      <w:tr>
        <w:tc>
          <w:tcPr/>
          <w:p>
            <w:pPr>
              <w:pStyle w:val="Compact"/>
              <w:jc w:val="left"/>
            </w:pPr>
            <w:r>
              <w:rPr>
                <w:sz w:val="17"/>
              </w:rPr>
              <w:t xml:space="preserve">Bin 2</w:t>
            </w:r>
          </w:p>
        </w:tc>
        <w:tc>
          <w:tcPr/>
          <w:p>
            <w:pPr>
              <w:pStyle w:val="Compact"/>
              <w:jc w:val="right"/>
            </w:pPr>
            <w:r>
              <w:rPr>
                <w:sz w:val="17"/>
              </w:rPr>
              <w:t xml:space="preserve">30%</w:t>
            </w:r>
          </w:p>
        </w:tc>
        <w:tc>
          <w:tcPr/>
          <w:p>
            <w:pPr>
              <w:pStyle w:val="Compact"/>
              <w:jc w:val="right"/>
            </w:pPr>
            <w:r>
              <w:rPr>
                <w:sz w:val="17"/>
              </w:rPr>
              <w:t xml:space="preserve">30%</w:t>
            </w:r>
          </w:p>
        </w:tc>
        <w:tc>
          <w:tcPr/>
          <w:p>
            <w:pPr>
              <w:pStyle w:val="Compact"/>
              <w:jc w:val="right"/>
            </w:pPr>
            <w:r>
              <w:rPr>
                <w:sz w:val="17"/>
              </w:rPr>
              <w:t xml:space="preserve">+0 pp</w:t>
            </w:r>
          </w:p>
        </w:tc>
        <w:tc>
          <w:tcPr/>
          <w:p>
            <w:pPr>
              <w:pStyle w:val="Compact"/>
              <w:jc w:val="right"/>
            </w:pPr>
            <w:r>
              <w:rPr>
                <w:sz w:val="17"/>
              </w:rPr>
              <w:t xml:space="preserve">0.0000</w:t>
            </w:r>
          </w:p>
        </w:tc>
        <w:tc>
          <w:tcPr/>
          <w:p>
            <w:pPr>
              <w:pStyle w:val="Compact"/>
              <w:jc w:val="right"/>
            </w:pPr>
            <w:r>
              <w:rPr>
                <w:sz w:val="17"/>
              </w:rPr>
              <w:t xml:space="preserve">0.0000</w:t>
            </w:r>
          </w:p>
        </w:tc>
      </w:tr>
      <w:tr>
        <w:tc>
          <w:tcPr/>
          <w:p>
            <w:pPr>
              <w:pStyle w:val="Compact"/>
              <w:jc w:val="left"/>
            </w:pPr>
            <w:r>
              <w:rPr>
                <w:sz w:val="17"/>
              </w:rPr>
              <w:t xml:space="preserve">Bin 3</w:t>
            </w:r>
          </w:p>
        </w:tc>
        <w:tc>
          <w:tcPr/>
          <w:p>
            <w:pPr>
              <w:pStyle w:val="Compact"/>
              <w:jc w:val="right"/>
            </w:pPr>
            <w:r>
              <w:rPr>
                <w:sz w:val="17"/>
              </w:rPr>
              <w:t xml:space="preserve">20%</w:t>
            </w:r>
          </w:p>
        </w:tc>
        <w:tc>
          <w:tcPr/>
          <w:p>
            <w:pPr>
              <w:pStyle w:val="Compact"/>
              <w:jc w:val="right"/>
            </w:pPr>
            <w:r>
              <w:rPr>
                <w:sz w:val="17"/>
              </w:rPr>
              <w:t xml:space="preserve">30%</w:t>
            </w:r>
          </w:p>
        </w:tc>
        <w:tc>
          <w:tcPr/>
          <w:p>
            <w:pPr>
              <w:pStyle w:val="Compact"/>
              <w:jc w:val="right"/>
            </w:pPr>
            <w:r>
              <w:rPr>
                <w:sz w:val="17"/>
              </w:rPr>
              <w:t xml:space="preserve">+10 pp</w:t>
            </w:r>
          </w:p>
        </w:tc>
        <w:tc>
          <w:tcPr/>
          <w:p>
            <w:pPr>
              <w:pStyle w:val="Compact"/>
              <w:jc w:val="right"/>
            </w:pPr>
            <w:r>
              <w:rPr>
                <w:sz w:val="17"/>
              </w:rPr>
              <w:t xml:space="preserve">0.4055</w:t>
            </w:r>
          </w:p>
        </w:tc>
        <w:tc>
          <w:tcPr/>
          <w:p>
            <w:pPr>
              <w:pStyle w:val="Compact"/>
              <w:jc w:val="right"/>
            </w:pPr>
            <w:r>
              <w:rPr>
                <w:sz w:val="17"/>
              </w:rPr>
              <w:t xml:space="preserve">0.0405</w:t>
            </w:r>
          </w:p>
        </w:tc>
      </w:tr>
    </w:tbl>
    <w:p>
      <w:pPr>
        <w:pStyle w:val="BodyText"/>
      </w:pPr>
      <w:r>
        <w:rPr>
          <w:i/>
          <w:iCs/>
        </w:rPr>
        <w:t xml:space="preserve">Implementation.</w:t>
      </w:r>
      <w:r>
        <w:t xml:space="preserve"> </w:t>
      </w:r>
      <w:r>
        <w:rPr>
          <w:rStyle w:val="VerbatimChar"/>
        </w:rPr>
        <w:t xml:space="preserve">evaluation.psi</w:t>
      </w:r>
      <w:r>
        <w:t xml:space="preserve"> </w:t>
      </w:r>
      <w:r>
        <w:t xml:space="preserve">builds the bin edges from the expected sample;</w:t>
      </w:r>
      <w:r>
        <w:t xml:space="preserve"> </w:t>
      </w:r>
      <w:r>
        <w:rPr>
          <w:rStyle w:val="VerbatimChar"/>
        </w:rPr>
        <w:t xml:space="preserve">evaluation.csi</w:t>
      </w:r>
      <w:r>
        <w:t xml:space="preserve"> </w:t>
      </w:r>
      <w:r>
        <w:t xml:space="preserve">applies it to each feature (categorical features use category shares). Section 8.5 reports both.</w:t>
      </w:r>
    </w:p>
    <w:bookmarkEnd w:id="51"/>
    <w:bookmarkStart w:id="52" w:name="shap-values"/>
    <w:p>
      <w:pPr>
        <w:pStyle w:val="Heading2"/>
      </w:pPr>
      <w:r>
        <w:rPr>
          <w:rStyle w:val="SectionNumber"/>
        </w:rPr>
        <w:t xml:space="preserve">7.12</w:t>
      </w:r>
      <w:r>
        <w:tab/>
      </w:r>
      <w:r>
        <w:t xml:space="preserve">SHAP values</w:t>
      </w:r>
    </w:p>
    <w:p>
      <w:pPr>
        <w:pStyle w:val="FirstParagraph"/>
      </w:pPr>
      <w:r>
        <w:rPr>
          <w:i/>
          <w:iCs/>
        </w:rPr>
        <w:t xml:space="preserve">Intuition.</w:t>
      </w:r>
      <w:r>
        <w:t xml:space="preserve"> </w:t>
      </w:r>
      <w:r>
        <w:t xml:space="preserve">SHAP answers "how much did each feature push this loan's score up or down compared with an average loan?" It borrows the Shapley value from cooperative game theory: treat the features as players who jointly produce the prediction, and split the payout fairly according to each player's average marginal contribution over all possible orders in which the players could join.</w:t>
      </w:r>
    </w:p>
    <w:p>
      <w:pPr>
        <w:pStyle w:val="BodyText"/>
      </w:pPr>
      <w:r>
        <w:rPr>
          <w:i/>
          <w:iCs/>
        </w:rPr>
        <w:t xml:space="preserve">Maths.</w:t>
      </w:r>
      <w:r>
        <w:t xml:space="preserve"> </w:t>
      </w:r>
      <w:r>
        <w:t xml:space="preserve">For a model</w:t>
      </w:r>
      <w:r>
        <w:t xml:space="preserve"> </w:t>
      </w:r>
      <m:oMath>
        <m:r>
          <m:t>f</m:t>
        </m:r>
      </m:oMath>
      <w:r>
        <w:t xml:space="preserve"> </w:t>
      </w:r>
      <w:r>
        <w:t xml:space="preserve">with feature set</w:t>
      </w:r>
      <w:r>
        <w:t xml:space="preserve"> </w:t>
      </w:r>
      <m:oMath>
        <m:r>
          <m:t>F</m:t>
        </m:r>
      </m:oMath>
      <w:r>
        <w:t xml:space="preserve"> </w:t>
      </w:r>
      <w:r>
        <w:t xml:space="preserve">(</w:t>
      </w:r>
      <m:oMath>
        <m:r>
          <m:rPr>
            <m:sty m:val="p"/>
          </m:rPr>
          <m:t>|</m:t>
        </m:r>
        <m:r>
          <m:t>F</m:t>
        </m:r>
        <m:r>
          <m:rPr>
            <m:sty m:val="p"/>
          </m:rPr>
          <m:t>|</m:t>
        </m:r>
        <m:r>
          <m:rPr>
            <m:sty m:val="p"/>
          </m:rPr>
          <m:t>=</m:t>
        </m:r>
        <m:r>
          <m:t>M</m:t>
        </m:r>
      </m:oMath>
      <w:r>
        <w:t xml:space="preserve">), the contribution of feature</w:t>
      </w:r>
      <w:r>
        <w:t xml:space="preserve"> </w:t>
      </w:r>
      <m:oMath>
        <m:r>
          <m:t>j</m:t>
        </m:r>
      </m:oMath>
      <w:r>
        <w:t xml:space="preserve"> </w:t>
      </w:r>
      <w:r>
        <w:t xml:space="preserve">for input</w:t>
      </w:r>
      <w:r>
        <w:t xml:space="preserve"> </w:t>
      </w:r>
      <m:oMath>
        <m:r>
          <m:t>x</m:t>
        </m:r>
      </m:oMath>
      <w:r>
        <w:t xml:space="preserve"> </w:t>
      </w:r>
      <w:r>
        <w:t xml:space="preserve">is</w:t>
      </w:r>
    </w:p>
    <w:p>
      <w:pPr>
        <w:pStyle w:val="BodyText"/>
      </w:pPr>
      <m:oMathPara>
        <m:oMathParaPr>
          <m:jc m:val="center"/>
        </m:oMathParaPr>
        <m:oMath>
          <m:sSub>
            <m:e>
              <m:r>
                <m:t>ϕ</m:t>
              </m:r>
            </m:e>
            <m:sub>
              <m:r>
                <m:t>j</m:t>
              </m:r>
            </m:sub>
          </m:sSub>
          <m:r>
            <m:rPr>
              <m:sty m:val="p"/>
            </m:rPr>
            <m:t>=</m:t>
          </m:r>
          <m:nary>
            <m:naryPr>
              <m:chr m:val="∑"/>
              <m:limLoc m:val="undOvr"/>
              <m:subHide m:val="off"/>
              <m:supHide m:val="on"/>
            </m:naryPr>
            <m:sub>
              <m:r>
                <m:t>S</m:t>
              </m:r>
              <m:r>
                <m:rPr>
                  <m:sty m:val="p"/>
                </m:rPr>
                <m:t>⊆</m:t>
              </m:r>
              <m:r>
                <m:t>F</m:t>
              </m:r>
              <m:r>
                <m:rPr>
                  <m:sty m:val="p"/>
                </m:rPr>
                <m:t>\</m:t>
              </m:r>
              <m:r>
                <m:rPr>
                  <m:sty m:val="p"/>
                </m:rPr>
                <m:t>{</m:t>
              </m:r>
              <m:r>
                <m:t>j</m:t>
              </m:r>
              <m:r>
                <m:rPr>
                  <m:sty m:val="p"/>
                </m:rPr>
                <m:t>}</m:t>
              </m:r>
            </m:sub>
            <m:sup>
              <m:r>
                <m:t>​</m:t>
              </m:r>
            </m:sup>
            <m:e>
              <m:f>
                <m:fPr>
                  <m:type m:val="bar"/>
                </m:fPr>
                <m:num>
                  <m:r>
                    <m:rPr>
                      <m:sty m:val="p"/>
                    </m:rPr>
                    <m:t>|</m:t>
                  </m:r>
                  <m:r>
                    <m:t>S</m:t>
                  </m:r>
                  <m:r>
                    <m:rPr>
                      <m:sty m:val="p"/>
                    </m:rPr>
                    <m:t>|</m:t>
                  </m:r>
                  <m:r>
                    <m:rPr>
                      <m:sty m:val="p"/>
                    </m:rPr>
                    <m:t>!</m:t>
                  </m:r>
                  <m:r>
                    <m:t> </m:t>
                  </m:r>
                  <m:r>
                    <m:rPr>
                      <m:sty m:val="p"/>
                    </m:rPr>
                    <m:t>(</m:t>
                  </m:r>
                  <m:r>
                    <m:t>M</m:t>
                  </m:r>
                  <m:r>
                    <m:rPr>
                      <m:sty m:val="p"/>
                    </m:rPr>
                    <m:t>−</m:t>
                  </m:r>
                  <m:r>
                    <m:rPr>
                      <m:sty m:val="p"/>
                    </m:rPr>
                    <m:t>|</m:t>
                  </m:r>
                  <m:r>
                    <m:t>S</m:t>
                  </m:r>
                  <m:r>
                    <m:rPr>
                      <m:sty m:val="p"/>
                    </m:rPr>
                    <m:t>|</m:t>
                  </m:r>
                  <m:r>
                    <m:rPr>
                      <m:sty m:val="p"/>
                    </m:rPr>
                    <m:t>−</m:t>
                  </m:r>
                  <m:r>
                    <m:t>1</m:t>
                  </m:r>
                  <m:r>
                    <m:rPr>
                      <m:sty m:val="p"/>
                    </m:rPr>
                    <m:t>)</m:t>
                  </m:r>
                  <m:r>
                    <m:rPr>
                      <m:sty m:val="p"/>
                    </m:rPr>
                    <m:t>!</m:t>
                  </m:r>
                </m:num>
                <m:den>
                  <m:r>
                    <m:t>M</m:t>
                  </m:r>
                  <m:r>
                    <m:rPr>
                      <m:sty m:val="p"/>
                    </m:rPr>
                    <m:t>!</m:t>
                  </m:r>
                </m:den>
              </m:f>
            </m:e>
          </m:nary>
          <m:d>
            <m:dPr>
              <m:begChr m:val="["/>
              <m:sepChr m:val=""/>
              <m:endChr m:val="]"/>
              <m:grow/>
            </m:dPr>
            <m:e>
              <m:r>
                <m:t>v</m:t>
              </m:r>
              <m:r>
                <m:rPr>
                  <m:sty m:val="p"/>
                </m:rPr>
                <m:t>(</m:t>
              </m:r>
              <m:r>
                <m:t>S</m:t>
              </m:r>
              <m:r>
                <m:rPr>
                  <m:sty m:val="p"/>
                </m:rPr>
                <m:t>∪</m:t>
              </m:r>
              <m:r>
                <m:rPr>
                  <m:sty m:val="p"/>
                </m:rPr>
                <m:t>{</m:t>
              </m:r>
              <m:r>
                <m:t>j</m:t>
              </m:r>
              <m:r>
                <m:rPr>
                  <m:sty m:val="p"/>
                </m:rPr>
                <m:t>}</m:t>
              </m:r>
              <m:r>
                <m:rPr>
                  <m:sty m:val="p"/>
                </m:rPr>
                <m:t>)</m:t>
              </m:r>
              <m:r>
                <m:rPr>
                  <m:sty m:val="p"/>
                </m:rPr>
                <m:t>−</m:t>
              </m:r>
              <m:r>
                <m:t>v</m:t>
              </m:r>
              <m:r>
                <m:rPr>
                  <m:sty m:val="p"/>
                </m:rPr>
                <m:t>(</m:t>
              </m:r>
              <m:r>
                <m:t>S</m:t>
              </m:r>
              <m:r>
                <m:rPr>
                  <m:sty m:val="p"/>
                </m:rPr>
                <m:t>)</m:t>
              </m:r>
            </m:e>
          </m:d>
          <m:r>
            <m:rPr>
              <m:sty m:val="p"/>
            </m:rPr>
            <m:t>,</m:t>
          </m:r>
          <m:r>
            <m:t>  </m:t>
          </m:r>
          <m:r>
            <m:t>v</m:t>
          </m:r>
          <m:r>
            <m:rPr>
              <m:sty m:val="p"/>
            </m:rPr>
            <m:t>(</m:t>
          </m:r>
          <m:r>
            <m:t>S</m:t>
          </m:r>
          <m:r>
            <m:rPr>
              <m:sty m:val="p"/>
            </m:rPr>
            <m:t>)</m:t>
          </m:r>
          <m:r>
            <m:rPr>
              <m:sty m:val="p"/>
            </m:rPr>
            <m:t>=</m:t>
          </m:r>
          <m:r>
            <m:t>E</m:t>
          </m:r>
          <m:d>
            <m:dPr>
              <m:begChr m:val="["/>
              <m:sepChr m:val=""/>
              <m:endChr m:val="]"/>
              <m:grow/>
            </m:dPr>
            <m:e>
              <m:r>
                <m:t>f</m:t>
              </m:r>
              <m:r>
                <m:rPr>
                  <m:sty m:val="p"/>
                </m:rPr>
                <m:t>(</m:t>
              </m:r>
              <m:r>
                <m:t>x</m:t>
              </m:r>
              <m:r>
                <m:rPr>
                  <m:sty m:val="p"/>
                </m:rPr>
                <m:t>)</m:t>
              </m:r>
              <m:r>
                <m:rPr>
                  <m:sty m:val="p"/>
                </m:rPr>
                <m:t>∣</m:t>
              </m:r>
              <m:sSub>
                <m:e>
                  <m:r>
                    <m:t>x</m:t>
                  </m:r>
                </m:e>
                <m:sub>
                  <m:r>
                    <m:t>S</m:t>
                  </m:r>
                </m:sub>
              </m:sSub>
            </m:e>
          </m:d>
          <m:r>
            <m:rPr>
              <m:sty m:val="p"/>
            </m:rPr>
            <m:t>.</m:t>
          </m:r>
        </m:oMath>
      </m:oMathPara>
    </w:p>
    <w:p>
      <w:pPr>
        <w:pStyle w:val="FirstParagraph"/>
      </w:pPr>
      <w:r>
        <w:t xml:space="preserve">The attributions satisfy</w:t>
      </w:r>
      <w:r>
        <w:t xml:space="preserve"> </w:t>
      </w:r>
      <w:r>
        <w:rPr>
          <w:b/>
          <w:bCs/>
        </w:rPr>
        <w:t xml:space="preserve">efficiency</w:t>
      </w:r>
      <w:r>
        <w:t xml:space="preserve"> </w:t>
      </w:r>
      <w:r>
        <w:t xml:space="preserve">(local accuracy):</w:t>
      </w:r>
      <w:r>
        <w:t xml:space="preserve"> </w:t>
      </w:r>
      <m:oMath>
        <m:r>
          <m:t>f</m:t>
        </m:r>
        <m:r>
          <m:rPr>
            <m:sty m:val="p"/>
          </m:rPr>
          <m:t>(</m:t>
        </m:r>
        <m:r>
          <m:t>x</m:t>
        </m:r>
        <m:r>
          <m:rPr>
            <m:sty m:val="p"/>
          </m:rPr>
          <m:t>)</m:t>
        </m:r>
        <m:r>
          <m:rPr>
            <m:sty m:val="p"/>
          </m:rPr>
          <m:t>=</m:t>
        </m:r>
        <m:sSub>
          <m:e>
            <m:r>
              <m:t>ϕ</m:t>
            </m:r>
          </m:e>
          <m:sub>
            <m:r>
              <m:t>0</m:t>
            </m:r>
          </m:sub>
        </m:sSub>
        <m:r>
          <m:rPr>
            <m:sty m:val="p"/>
          </m:rPr>
          <m:t>+</m:t>
        </m:r>
        <m:nary>
          <m:naryPr>
            <m:chr m:val="∑"/>
            <m:limLoc m:val="undOvr"/>
            <m:subHide m:val="off"/>
            <m:supHide m:val="on"/>
          </m:naryPr>
          <m:sub>
            <m:r>
              <m:t>j</m:t>
            </m:r>
          </m:sub>
          <m:sup>
            <m:r>
              <m:t>​</m:t>
            </m:r>
          </m:sup>
          <m:e>
            <m:sSub>
              <m:e>
                <m:r>
                  <m:t>ϕ</m:t>
                </m:r>
              </m:e>
              <m:sub>
                <m:r>
                  <m:t>j</m:t>
                </m:r>
              </m:sub>
            </m:sSub>
          </m:e>
        </m:nary>
      </m:oMath>
      <w:r>
        <w:t xml:space="preserve"> </w:t>
      </w:r>
      <w:r>
        <w:t xml:space="preserve">with</w:t>
      </w:r>
      <w:r>
        <w:t xml:space="preserve"> </w:t>
      </w:r>
      <m:oMath>
        <m:sSub>
          <m:e>
            <m:r>
              <m:t>ϕ</m:t>
            </m:r>
          </m:e>
          <m:sub>
            <m:r>
              <m:t>0</m:t>
            </m:r>
          </m:sub>
        </m:sSub>
        <m:r>
          <m:rPr>
            <m:sty m:val="p"/>
          </m:rPr>
          <m:t>=</m:t>
        </m:r>
        <m:r>
          <m:t>E</m:t>
        </m:r>
        <m:r>
          <m:rPr>
            <m:sty m:val="p"/>
          </m:rPr>
          <m:t>[</m:t>
        </m:r>
        <m:r>
          <m:t>f</m:t>
        </m:r>
        <m:r>
          <m:rPr>
            <m:sty m:val="p"/>
          </m:rPr>
          <m:t>(</m:t>
        </m:r>
        <m:r>
          <m:t>x</m:t>
        </m:r>
        <m:r>
          <m:rPr>
            <m:sty m:val="p"/>
          </m:rPr>
          <m:t>)</m:t>
        </m:r>
        <m:r>
          <m:rPr>
            <m:sty m:val="p"/>
          </m:rPr>
          <m:t>]</m:t>
        </m:r>
      </m:oMath>
      <w:r>
        <w:t xml:space="preserve"> </w:t>
      </w:r>
      <w:r>
        <w:t xml:space="preserve">the base value. They also satisfy</w:t>
      </w:r>
      <w:r>
        <w:t xml:space="preserve"> </w:t>
      </w:r>
      <w:r>
        <w:rPr>
          <w:b/>
          <w:bCs/>
        </w:rPr>
        <w:t xml:space="preserve">symmetry</w:t>
      </w:r>
      <w:r>
        <w:t xml:space="preserve"> </w:t>
      </w:r>
      <w:r>
        <w:t xml:space="preserve">(identical features get identical credit), the</w:t>
      </w:r>
      <w:r>
        <w:t xml:space="preserve"> </w:t>
      </w:r>
      <w:r>
        <w:rPr>
          <w:b/>
          <w:bCs/>
        </w:rPr>
        <w:t xml:space="preserve">dummy</w:t>
      </w:r>
      <w:r>
        <w:t xml:space="preserve"> </w:t>
      </w:r>
      <w:r>
        <w:t xml:space="preserve">property (a feature that never changes the output gets zero) and</w:t>
      </w:r>
      <w:r>
        <w:t xml:space="preserve"> </w:t>
      </w:r>
      <w:r>
        <w:rPr>
          <w:b/>
          <w:bCs/>
        </w:rPr>
        <w:t xml:space="preserve">additivity</w:t>
      </w:r>
      <w:r>
        <w:t xml:space="preserve"> </w:t>
      </w:r>
      <w:r>
        <w:t xml:space="preserve">(attributions of a sum of models are the sum of attributions). Lundberg and Lee (2017) showed that these axioms single out this attribution among additive explanations.</w:t>
      </w:r>
    </w:p>
    <w:p>
      <w:pPr>
        <w:pStyle w:val="BodyText"/>
      </w:pPr>
      <w:r>
        <w:rPr>
          <w:i/>
          <w:iCs/>
        </w:rPr>
        <w:t xml:space="preserve">Worked example.</w:t>
      </w:r>
      <w:r>
        <w:t xml:space="preserve"> </w:t>
      </w:r>
      <w:r>
        <w:t xml:space="preserve">Two features</w:t>
      </w:r>
      <w:r>
        <w:t xml:space="preserve"> </w:t>
      </w:r>
      <m:oMath>
        <m:r>
          <m:t>a</m:t>
        </m:r>
      </m:oMath>
      <w:r>
        <w:t xml:space="preserve"> </w:t>
      </w:r>
      <w:r>
        <w:t xml:space="preserve">and</w:t>
      </w:r>
      <w:r>
        <w:t xml:space="preserve"> </w:t>
      </w:r>
      <m:oMath>
        <m:r>
          <m:t>b</m:t>
        </m:r>
      </m:oMath>
      <w:r>
        <w:t xml:space="preserve">, with the model's expected value restricted to subsets of features equal to</w:t>
      </w:r>
      <w:r>
        <w:t xml:space="preserve"> </w:t>
      </w:r>
      <m:oMath>
        <m:r>
          <m:t>v</m:t>
        </m:r>
        <m:r>
          <m:rPr>
            <m:sty m:val="p"/>
          </m:rPr>
          <m:t>(</m:t>
        </m:r>
        <m:r>
          <m:rPr>
            <m:sty m:val="p"/>
          </m:rPr>
          <m:t>∅</m:t>
        </m:r>
        <m:r>
          <m:rPr>
            <m:sty m:val="p"/>
          </m:rPr>
          <m:t>)</m:t>
        </m:r>
        <m:r>
          <m:rPr>
            <m:sty m:val="p"/>
          </m:rPr>
          <m:t>=</m:t>
        </m:r>
        <m:r>
          <m:t>0.02</m:t>
        </m:r>
      </m:oMath>
      <w:r>
        <w:t xml:space="preserve">,</w:t>
      </w:r>
      <w:r>
        <w:t xml:space="preserve"> </w:t>
      </w:r>
      <m:oMath>
        <m:r>
          <m:t>v</m:t>
        </m:r>
        <m:r>
          <m:rPr>
            <m:sty m:val="p"/>
          </m:rPr>
          <m:t>(</m:t>
        </m:r>
        <m:r>
          <m:rPr>
            <m:sty m:val="p"/>
          </m:rPr>
          <m:t>{</m:t>
        </m:r>
        <m:r>
          <m:t>a</m:t>
        </m:r>
        <m:r>
          <m:rPr>
            <m:sty m:val="p"/>
          </m:rPr>
          <m:t>}</m:t>
        </m:r>
        <m:r>
          <m:rPr>
            <m:sty m:val="p"/>
          </m:rPr>
          <m:t>)</m:t>
        </m:r>
        <m:r>
          <m:rPr>
            <m:sty m:val="p"/>
          </m:rPr>
          <m:t>=</m:t>
        </m:r>
        <m:r>
          <m:t>0.05</m:t>
        </m:r>
      </m:oMath>
      <w:r>
        <w:t xml:space="preserve">,</w:t>
      </w:r>
      <w:r>
        <w:t xml:space="preserve"> </w:t>
      </w:r>
      <m:oMath>
        <m:r>
          <m:t>v</m:t>
        </m:r>
        <m:r>
          <m:rPr>
            <m:sty m:val="p"/>
          </m:rPr>
          <m:t>(</m:t>
        </m:r>
        <m:r>
          <m:rPr>
            <m:sty m:val="p"/>
          </m:rPr>
          <m:t>{</m:t>
        </m:r>
        <m:r>
          <m:t>b</m:t>
        </m:r>
        <m:r>
          <m:rPr>
            <m:sty m:val="p"/>
          </m:rPr>
          <m:t>}</m:t>
        </m:r>
        <m:r>
          <m:rPr>
            <m:sty m:val="p"/>
          </m:rPr>
          <m:t>)</m:t>
        </m:r>
        <m:r>
          <m:rPr>
            <m:sty m:val="p"/>
          </m:rPr>
          <m:t>=</m:t>
        </m:r>
        <m:r>
          <m:t>0.03</m:t>
        </m:r>
      </m:oMath>
      <w:r>
        <w:t xml:space="preserve"> </w:t>
      </w:r>
      <w:r>
        <w:t xml:space="preserve">and</w:t>
      </w:r>
      <w:r>
        <w:t xml:space="preserve"> </w:t>
      </w:r>
      <m:oMath>
        <m:r>
          <m:t>v</m:t>
        </m:r>
        <m:r>
          <m:rPr>
            <m:sty m:val="p"/>
          </m:rPr>
          <m:t>(</m:t>
        </m:r>
        <m:r>
          <m:rPr>
            <m:sty m:val="p"/>
          </m:rPr>
          <m:t>{</m:t>
        </m:r>
        <m:r>
          <m:t>a</m:t>
        </m:r>
        <m:r>
          <m:rPr>
            <m:sty m:val="p"/>
          </m:rPr>
          <m:t>,</m:t>
        </m:r>
        <m:r>
          <m:t>b</m:t>
        </m:r>
        <m:r>
          <m:rPr>
            <m:sty m:val="p"/>
          </m:rPr>
          <m:t>}</m:t>
        </m:r>
        <m:r>
          <m:rPr>
            <m:sty m:val="p"/>
          </m:rPr>
          <m:t>)</m:t>
        </m:r>
        <m:r>
          <m:rPr>
            <m:sty m:val="p"/>
          </m:rPr>
          <m:t>=</m:t>
        </m:r>
        <m:r>
          <m:t>0.12</m:t>
        </m:r>
      </m:oMath>
      <w:r>
        <w:t xml:space="preserve">. Feature</w:t>
      </w:r>
      <w:r>
        <w:t xml:space="preserve"> </w:t>
      </w:r>
      <m:oMath>
        <m:r>
          <m:t>a</m:t>
        </m:r>
      </m:oMath>
      <w:r>
        <w:t xml:space="preserve"> </w:t>
      </w:r>
      <w:r>
        <w:t xml:space="preserve">joins first with probability one half (marginal 0.03) and second with probability one half (marginal 0.09), so</w:t>
      </w:r>
      <w:r>
        <w:t xml:space="preserve"> </w:t>
      </w:r>
      <m:oMath>
        <m:sSub>
          <m:e>
            <m:r>
              <m:t>ϕ</m:t>
            </m:r>
          </m:e>
          <m:sub>
            <m:r>
              <m:t>a</m:t>
            </m:r>
          </m:sub>
        </m:sSub>
        <m:r>
          <m:rPr>
            <m:sty m:val="p"/>
          </m:rPr>
          <m:t>=</m:t>
        </m:r>
        <m:f>
          <m:fPr>
            <m:type m:val="lin"/>
          </m:fPr>
          <m:num>
            <m:r>
              <m:t>1</m:t>
            </m:r>
          </m:num>
          <m:den>
            <m:r>
              <m:t>2</m:t>
            </m:r>
          </m:den>
        </m:f>
        <m:r>
          <m:rPr>
            <m:sty m:val="p"/>
          </m:rPr>
          <m:t>(</m:t>
        </m:r>
        <m:r>
          <m:t>0.03</m:t>
        </m:r>
        <m:r>
          <m:rPr>
            <m:sty m:val="p"/>
          </m:rPr>
          <m:t>)</m:t>
        </m:r>
        <m:r>
          <m:rPr>
            <m:sty m:val="p"/>
          </m:rPr>
          <m:t>+</m:t>
        </m:r>
        <m:f>
          <m:fPr>
            <m:type m:val="lin"/>
          </m:fPr>
          <m:num>
            <m:r>
              <m:t>1</m:t>
            </m:r>
          </m:num>
          <m:den>
            <m:r>
              <m:t>2</m:t>
            </m:r>
          </m:den>
        </m:f>
        <m:r>
          <m:rPr>
            <m:sty m:val="p"/>
          </m:rPr>
          <m:t>(</m:t>
        </m:r>
        <m:r>
          <m:t>0.09</m:t>
        </m:r>
        <m:r>
          <m:rPr>
            <m:sty m:val="p"/>
          </m:rPr>
          <m:t>)</m:t>
        </m:r>
        <m:r>
          <m:rPr>
            <m:sty m:val="p"/>
          </m:rPr>
          <m:t>=</m:t>
        </m:r>
        <m:r>
          <m:t>0.06</m:t>
        </m:r>
      </m:oMath>
      <w:r>
        <w:t xml:space="preserve">. Likewise</w:t>
      </w:r>
      <w:r>
        <w:t xml:space="preserve"> </w:t>
      </w:r>
      <m:oMath>
        <m:sSub>
          <m:e>
            <m:r>
              <m:t>ϕ</m:t>
            </m:r>
          </m:e>
          <m:sub>
            <m:r>
              <m:t>b</m:t>
            </m:r>
          </m:sub>
        </m:sSub>
        <m:r>
          <m:rPr>
            <m:sty m:val="p"/>
          </m:rPr>
          <m:t>=</m:t>
        </m:r>
        <m:f>
          <m:fPr>
            <m:type m:val="lin"/>
          </m:fPr>
          <m:num>
            <m:r>
              <m:t>1</m:t>
            </m:r>
          </m:num>
          <m:den>
            <m:r>
              <m:t>2</m:t>
            </m:r>
          </m:den>
        </m:f>
        <m:r>
          <m:rPr>
            <m:sty m:val="p"/>
          </m:rPr>
          <m:t>(</m:t>
        </m:r>
        <m:r>
          <m:t>0.01</m:t>
        </m:r>
        <m:r>
          <m:rPr>
            <m:sty m:val="p"/>
          </m:rPr>
          <m:t>)</m:t>
        </m:r>
        <m:r>
          <m:rPr>
            <m:sty m:val="p"/>
          </m:rPr>
          <m:t>+</m:t>
        </m:r>
        <m:f>
          <m:fPr>
            <m:type m:val="lin"/>
          </m:fPr>
          <m:num>
            <m:r>
              <m:t>1</m:t>
            </m:r>
          </m:num>
          <m:den>
            <m:r>
              <m:t>2</m:t>
            </m:r>
          </m:den>
        </m:f>
        <m:r>
          <m:rPr>
            <m:sty m:val="p"/>
          </m:rPr>
          <m:t>(</m:t>
        </m:r>
        <m:r>
          <m:t>0.07</m:t>
        </m:r>
        <m:r>
          <m:rPr>
            <m:sty m:val="p"/>
          </m:rPr>
          <m:t>)</m:t>
        </m:r>
        <m:r>
          <m:rPr>
            <m:sty m:val="p"/>
          </m:rPr>
          <m:t>=</m:t>
        </m:r>
        <m:r>
          <m:t>0.04</m:t>
        </m:r>
      </m:oMath>
      <w:r>
        <w:t xml:space="preserve">. The two add up to 0.10, exactly the gap 0.10 between the full prediction and the base value, as efficiency requires. Note that feature</w:t>
      </w:r>
      <w:r>
        <w:t xml:space="preserve"> </w:t>
      </w:r>
      <m:oMath>
        <m:r>
          <m:t>a</m:t>
        </m:r>
      </m:oMath>
      <w:r>
        <w:t xml:space="preserve"> </w:t>
      </w:r>
      <w:r>
        <w:t xml:space="preserve">gets more credit than its stand-alone effect because it interacts with</w:t>
      </w:r>
      <w:r>
        <w:t xml:space="preserve"> </w:t>
      </w:r>
      <m:oMath>
        <m:r>
          <m:t>b</m:t>
        </m:r>
      </m:oMath>
      <w:r>
        <w:t xml:space="preserve">: the interaction is split fairly.</w:t>
      </w:r>
    </w:p>
    <w:p>
      <w:pPr>
        <w:pStyle w:val="BodyText"/>
      </w:pPr>
      <w:r>
        <w:rPr>
          <w:i/>
          <w:iCs/>
        </w:rPr>
        <w:t xml:space="preserve">Implementation.</w:t>
      </w:r>
      <w:r>
        <w:t xml:space="preserve"> </w:t>
      </w:r>
      <w:r>
        <w:t xml:space="preserve">Computing</w:t>
      </w:r>
      <w:r>
        <w:t xml:space="preserve"> </w:t>
      </w:r>
      <m:oMath>
        <m:r>
          <m:t>ϕ</m:t>
        </m:r>
      </m:oMath>
      <w:r>
        <w:t xml:space="preserve"> </w:t>
      </w:r>
      <w:r>
        <w:t xml:space="preserve">by brute force costs</w:t>
      </w:r>
      <w:r>
        <w:t xml:space="preserve"> </w:t>
      </w:r>
      <m:oMath>
        <m:sSup>
          <m:e>
            <m:r>
              <m:t>2</m:t>
            </m:r>
          </m:e>
          <m:sup>
            <m:r>
              <m:t>M</m:t>
            </m:r>
          </m:sup>
        </m:sSup>
      </m:oMath>
      <w:r>
        <w:t xml:space="preserve"> </w:t>
      </w:r>
      <w:r>
        <w:t xml:space="preserve">model evaluations, but for trees</w:t>
      </w:r>
      <w:r>
        <w:t xml:space="preserve"> </w:t>
      </w:r>
      <w:r>
        <w:rPr>
          <w:b/>
          <w:bCs/>
        </w:rPr>
        <w:t xml:space="preserve">TreeSHAP</w:t>
      </w:r>
      <w:r>
        <w:t xml:space="preserve"> </w:t>
      </w:r>
      <w:r>
        <w:t xml:space="preserve">computes exact values in polynomial time by following all paths of a tree and tracking how many subsets flow to each leaf.</w:t>
      </w:r>
      <w:r>
        <w:t xml:space="preserve"> </w:t>
      </w:r>
      <w:r>
        <w:rPr>
          <w:rStyle w:val="VerbatimChar"/>
        </w:rPr>
        <w:t xml:space="preserve">explain.shap_values</w:t>
      </w:r>
      <w:r>
        <w:t xml:space="preserve"> </w:t>
      </w:r>
      <w:r>
        <w:t xml:space="preserve">calls</w:t>
      </w:r>
      <w:r>
        <w:t xml:space="preserve"> </w:t>
      </w:r>
      <w:r>
        <w:rPr>
          <w:rStyle w:val="VerbatimChar"/>
        </w:rPr>
        <w:t xml:space="preserve">shap.TreeExplainer</w:t>
      </w:r>
      <w:r>
        <w:t xml:space="preserve"> </w:t>
      </w:r>
      <w:r>
        <w:t xml:space="preserve">on the</w:t>
      </w:r>
      <w:r>
        <w:t xml:space="preserve"> </w:t>
      </w:r>
      <w:r>
        <w:rPr>
          <w:b/>
          <w:bCs/>
        </w:rPr>
        <w:t xml:space="preserve">raw margin</w:t>
      </w:r>
      <w:r>
        <w:t xml:space="preserve"> </w:t>
      </w:r>
      <w:r>
        <w:t xml:space="preserve">(log-odds), not on the calibrated probability, so the identity is</w:t>
      </w:r>
    </w:p>
    <w:p>
      <w:pPr>
        <w:pStyle w:val="BodyText"/>
      </w:pPr>
      <m:oMathPara>
        <m:oMathParaPr>
          <m:jc m:val="center"/>
        </m:oMathParaPr>
        <m:oMath>
          <m:r>
            <m:rPr>
              <m:nor/>
              <m:sty m:val="p"/>
            </m:rPr>
            <m:t>margin</m:t>
          </m:r>
          <m:r>
            <m:rPr>
              <m:sty m:val="p"/>
            </m:rPr>
            <m:t>(</m:t>
          </m:r>
          <m:r>
            <m:t>x</m:t>
          </m:r>
          <m:r>
            <m:rPr>
              <m:sty m:val="p"/>
            </m:rPr>
            <m:t>)</m:t>
          </m:r>
          <m:r>
            <m:rPr>
              <m:sty m:val="p"/>
            </m:rPr>
            <m:t>=</m:t>
          </m:r>
          <m:sSub>
            <m:e>
              <m:r>
                <m:t>ϕ</m:t>
              </m:r>
            </m:e>
            <m:sub>
              <m:r>
                <m:t>0</m:t>
              </m:r>
            </m:sub>
          </m:sSub>
          <m:r>
            <m:rPr>
              <m:sty m:val="p"/>
            </m:rPr>
            <m:t>+</m:t>
          </m:r>
          <m:nary>
            <m:naryPr>
              <m:chr m:val="∑"/>
              <m:limLoc m:val="undOvr"/>
              <m:subHide m:val="off"/>
              <m:supHide m:val="on"/>
            </m:naryPr>
            <m:sub>
              <m:r>
                <m:t>j</m:t>
              </m:r>
            </m:sub>
            <m:sup>
              <m:r>
                <m:t>​</m:t>
              </m:r>
            </m:sup>
            <m:e>
              <m:sSub>
                <m:e>
                  <m:r>
                    <m:t>ϕ</m:t>
                  </m:r>
                </m:e>
                <m:sub>
                  <m:r>
                    <m:t>j</m:t>
                  </m:r>
                </m:sub>
              </m:sSub>
            </m:e>
          </m:nary>
          <m:r>
            <m:rPr>
              <m:sty m:val="p"/>
            </m:rPr>
            <m:t>(</m:t>
          </m:r>
          <m:r>
            <m:t>x</m:t>
          </m:r>
          <m:r>
            <m:rPr>
              <m:sty m:val="p"/>
            </m:rPr>
            <m:t>)</m:t>
          </m:r>
          <m:r>
            <m:rPr>
              <m:sty m:val="p"/>
            </m:rPr>
            <m:t>,</m:t>
          </m:r>
        </m:oMath>
      </m:oMathPara>
    </w:p>
    <w:p>
      <w:pPr>
        <w:pStyle w:val="FirstParagraph"/>
      </w:pPr>
      <w:r>
        <w:t xml:space="preserve">checked on a sample by</w:t>
      </w:r>
      <w:r>
        <w:t xml:space="preserve"> </w:t>
      </w:r>
      <w:r>
        <w:rPr>
          <w:rStyle w:val="VerbatimChar"/>
        </w:rPr>
        <w:t xml:space="preserve">explain.additivity_gap</w:t>
      </w:r>
      <w:r>
        <w:t xml:space="preserve"> </w:t>
      </w:r>
      <w:r>
        <w:t xml:space="preserve">(tolerance</w:t>
      </w:r>
      <w:r>
        <w:t xml:space="preserve"> </w:t>
      </w:r>
      <m:oMath>
        <m:sSup>
          <m:e>
            <m:r>
              <m:t>10</m:t>
            </m:r>
          </m:e>
          <m:sup>
            <m:r>
              <m:rPr>
                <m:sty m:val="p"/>
              </m:rPr>
              <m:t>−</m:t>
            </m:r>
            <m:r>
              <m:t>4</m:t>
            </m:r>
          </m:sup>
        </m:sSup>
      </m:oMath>
      <w:r>
        <w:t xml:space="preserve">). The calibration step is a monotone transform applied afterwards. Global importance is the mean absolute SHAP value per feature (</w:t>
      </w:r>
      <w:r>
        <w:rPr>
          <w:rStyle w:val="VerbatimChar"/>
        </w:rPr>
        <w:t xml:space="preserve">explain.global_importance</w:t>
      </w:r>
      <w:r>
        <w:t xml:space="preserve">), computed on a random sample of 5,000 out-of-time rows.</w:t>
      </w:r>
    </w:p>
    <w:bookmarkEnd w:id="52"/>
    <w:bookmarkEnd w:id="53"/>
    <w:bookmarkStart w:id="84" w:name="results"/>
    <w:p>
      <w:pPr>
        <w:pStyle w:val="Heading1"/>
      </w:pPr>
      <w:r>
        <w:rPr>
          <w:rStyle w:val="SectionNumber"/>
        </w:rPr>
        <w:t xml:space="preserve">8</w:t>
      </w:r>
      <w:r>
        <w:tab/>
      </w:r>
      <w:r>
        <w:t xml:space="preserve">Results</w:t>
      </w:r>
    </w:p>
    <w:p>
      <w:pPr>
        <w:pStyle w:val="FirstParagraph"/>
      </w:pPr>
      <w:r>
        <w:t xml:space="preserve">All results are out-of-time on synthetic data (section 1.2). They show that the pipeline works as designed, not how a model would perform on real mortgages.</w:t>
      </w:r>
    </w:p>
    <w:bookmarkStart w:id="57" w:name="X8d1a36a71786b0412833bed2f2226719cedde6d"/>
    <w:p>
      <w:pPr>
        <w:pStyle w:val="Heading2"/>
      </w:pPr>
      <w:r>
        <w:rPr>
          <w:rStyle w:val="SectionNumber"/>
        </w:rPr>
        <w:t xml:space="preserve">8.1</w:t>
      </w:r>
      <w:r>
        <w:tab/>
      </w:r>
      <w:r>
        <w:t xml:space="preserve">Benchmark: scorecard against gradient boosting</w:t>
      </w:r>
    </w:p>
    <w:p>
      <w:pPr>
        <w:pStyle w:val="TableCaption"/>
      </w:pPr>
      <w:r>
        <w:t xml:space="preserve">PD models. AUC, Gini, KS and Brier are out-of-time; the confidence interval is a loan-clustered bootstrap; dAUC and the DeLong p-value compare each model with the scorecard logit on the same out-of-time loans. The last row is a sensitivity run and is uncalibrated.</w:t>
      </w:r>
    </w:p>
    <w:tbl>
      <w:tblPr>
        <w:tblStyle w:val="Table"/>
        <w:tblW w:type="pct" w:w="5000"/>
        <w:tblLayout w:type="fixed"/>
        <w:tblLook w:firstRow="1" w:lastRow="0" w:firstColumn="0" w:lastColumn="0" w:noHBand="0" w:noVBand="0" w:val="0020"/>
        <w:tblCaption w:val="PD models. AUC, Gini, KS and Brier are out-of-time; the confidence interval is a loan-clustered bootstrap; dAUC and the DeLong p-value compare each model with the scorecard logit on the same out-of-time loans. The last row is a sensitivity run and is uncalibrat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575"/>
        <w:gridCol w:w="579"/>
        <w:gridCol w:w="579"/>
        <w:gridCol w:w="450"/>
        <w:gridCol w:w="901"/>
        <w:gridCol w:w="515"/>
        <w:gridCol w:w="386"/>
        <w:gridCol w:w="579"/>
        <w:gridCol w:w="837"/>
        <w:gridCol w:w="515"/>
      </w:tblGrid>
      <w:tr>
        <w:trPr>
          <w:tblHeader w:val="on"/>
        </w:trPr>
        <w:tc>
          <w:tcPr/>
          <w:p>
            <w:pPr>
              <w:pStyle w:val="Compact"/>
              <w:jc w:val="left"/>
            </w:pPr>
            <w:r>
              <w:rPr>
                <w:sz w:val="17"/>
              </w:rPr>
              <w:t xml:space="preserve">Model</w:t>
            </w:r>
          </w:p>
        </w:tc>
        <w:tc>
          <w:tcPr/>
          <w:p>
            <w:pPr>
              <w:pStyle w:val="Compact"/>
              <w:jc w:val="right"/>
            </w:pPr>
            <w:r>
              <w:rPr>
                <w:sz w:val="17"/>
              </w:rPr>
              <w:t xml:space="preserve">Train AUC</w:t>
            </w:r>
          </w:p>
        </w:tc>
        <w:tc>
          <w:tcPr/>
          <w:p>
            <w:pPr>
              <w:pStyle w:val="Compact"/>
              <w:jc w:val="right"/>
            </w:pPr>
            <w:r>
              <w:rPr>
                <w:sz w:val="17"/>
              </w:rPr>
              <w:t xml:space="preserve">Calib AUC</w:t>
            </w:r>
          </w:p>
        </w:tc>
        <w:tc>
          <w:tcPr/>
          <w:p>
            <w:pPr>
              <w:pStyle w:val="Compact"/>
              <w:jc w:val="right"/>
            </w:pPr>
            <w:r>
              <w:rPr>
                <w:sz w:val="17"/>
              </w:rPr>
              <w:t xml:space="preserve">OOT AUC</w:t>
            </w:r>
          </w:p>
        </w:tc>
        <w:tc>
          <w:tcPr/>
          <w:p>
            <w:pPr>
              <w:pStyle w:val="Compact"/>
              <w:jc w:val="right"/>
            </w:pPr>
            <w:r>
              <w:rPr>
                <w:sz w:val="17"/>
              </w:rPr>
              <w:t xml:space="preserve">OOT AUC 95% CI</w:t>
            </w:r>
          </w:p>
        </w:tc>
        <w:tc>
          <w:tcPr/>
          <w:p>
            <w:pPr>
              <w:pStyle w:val="Compact"/>
              <w:jc w:val="right"/>
            </w:pPr>
            <w:r>
              <w:rPr>
                <w:sz w:val="17"/>
              </w:rPr>
              <w:t xml:space="preserve">OOT Gini</w:t>
            </w:r>
          </w:p>
        </w:tc>
        <w:tc>
          <w:tcPr/>
          <w:p>
            <w:pPr>
              <w:pStyle w:val="Compact"/>
              <w:jc w:val="right"/>
            </w:pPr>
            <w:r>
              <w:rPr>
                <w:sz w:val="17"/>
              </w:rPr>
              <w:t xml:space="preserve">OOT KS</w:t>
            </w:r>
          </w:p>
        </w:tc>
        <w:tc>
          <w:tcPr/>
          <w:p>
            <w:pPr>
              <w:pStyle w:val="Compact"/>
              <w:jc w:val="right"/>
            </w:pPr>
            <w:r>
              <w:rPr>
                <w:sz w:val="17"/>
              </w:rPr>
              <w:t xml:space="preserve">OOT Brier</w:t>
            </w:r>
          </w:p>
        </w:tc>
        <w:tc>
          <w:tcPr/>
          <w:p>
            <w:pPr>
              <w:pStyle w:val="Compact"/>
              <w:jc w:val="right"/>
            </w:pPr>
            <w:r>
              <w:rPr>
                <w:sz w:val="17"/>
              </w:rPr>
              <w:t xml:space="preserve">dAUC vs logit</w:t>
            </w:r>
          </w:p>
        </w:tc>
        <w:tc>
          <w:tcPr/>
          <w:p>
            <w:pPr>
              <w:pStyle w:val="Compact"/>
              <w:jc w:val="right"/>
            </w:pPr>
            <w:r>
              <w:rPr>
                <w:sz w:val="17"/>
              </w:rPr>
              <w:t xml:space="preserve">DeLong p</w:t>
            </w:r>
          </w:p>
        </w:tc>
      </w:tr>
      <w:tr>
        <w:tc>
          <w:tcPr/>
          <w:p>
            <w:pPr>
              <w:pStyle w:val="Compact"/>
              <w:jc w:val="left"/>
            </w:pPr>
            <w:r>
              <w:rPr>
                <w:sz w:val="17"/>
              </w:rPr>
              <w:t xml:space="preserve">Scorecard logit</w:t>
            </w:r>
          </w:p>
        </w:tc>
        <w:tc>
          <w:tcPr/>
          <w:p>
            <w:pPr>
              <w:pStyle w:val="Compact"/>
              <w:jc w:val="right"/>
            </w:pPr>
            <w:r>
              <w:rPr>
                <w:sz w:val="17"/>
              </w:rPr>
              <w:t xml:space="preserve">0.812</w:t>
            </w:r>
          </w:p>
        </w:tc>
        <w:tc>
          <w:tcPr/>
          <w:p>
            <w:pPr>
              <w:pStyle w:val="Compact"/>
              <w:jc w:val="right"/>
            </w:pPr>
            <w:r>
              <w:rPr>
                <w:sz w:val="17"/>
              </w:rPr>
              <w:t xml:space="preserve">0.816</w:t>
            </w:r>
          </w:p>
        </w:tc>
        <w:tc>
          <w:tcPr/>
          <w:p>
            <w:pPr>
              <w:pStyle w:val="Compact"/>
              <w:jc w:val="right"/>
            </w:pPr>
            <w:r>
              <w:rPr>
                <w:sz w:val="17"/>
              </w:rPr>
              <w:t xml:space="preserve">0.790</w:t>
            </w:r>
          </w:p>
        </w:tc>
        <w:tc>
          <w:tcPr/>
          <w:p>
            <w:pPr>
              <w:pStyle w:val="Compact"/>
              <w:jc w:val="right"/>
            </w:pPr>
            <w:r>
              <w:rPr>
                <w:sz w:val="17"/>
              </w:rPr>
              <w:t xml:space="preserve">0.759 to 0.798</w:t>
            </w:r>
          </w:p>
        </w:tc>
        <w:tc>
          <w:tcPr/>
          <w:p>
            <w:pPr>
              <w:pStyle w:val="Compact"/>
              <w:jc w:val="right"/>
            </w:pPr>
            <w:r>
              <w:rPr>
                <w:sz w:val="17"/>
              </w:rPr>
              <w:t xml:space="preserve">0.579</w:t>
            </w:r>
          </w:p>
        </w:tc>
        <w:tc>
          <w:tcPr/>
          <w:p>
            <w:pPr>
              <w:pStyle w:val="Compact"/>
              <w:jc w:val="right"/>
            </w:pPr>
            <w:r>
              <w:rPr>
                <w:sz w:val="17"/>
              </w:rPr>
              <w:t xml:space="preserve">0.438</w:t>
            </w:r>
          </w:p>
        </w:tc>
        <w:tc>
          <w:tcPr/>
          <w:p>
            <w:pPr>
              <w:pStyle w:val="Compact"/>
              <w:jc w:val="right"/>
            </w:pPr>
            <w:r>
              <w:rPr>
                <w:sz w:val="17"/>
              </w:rPr>
              <w:t xml:space="preserve">0.0217</w:t>
            </w:r>
          </w:p>
        </w:tc>
        <w:tc>
          <w:tcPr/>
          <w:p>
            <w:pPr>
              <w:pStyle w:val="Compact"/>
              <w:jc w:val="right"/>
            </w:pPr>
            <w:r>
              <w:rPr>
                <w:sz w:val="17"/>
              </w:rPr>
              <w:t xml:space="preserve">baseline</w:t>
            </w:r>
          </w:p>
        </w:tc>
        <w:tc>
          <w:tcPr/>
          <w:p>
            <w:pPr>
              <w:pStyle w:val="Compact"/>
              <w:jc w:val="right"/>
            </w:pPr>
            <w:r>
              <w:rPr>
                <w:sz w:val="17"/>
              </w:rPr>
              <w:t xml:space="preserve">n/a</w:t>
            </w:r>
          </w:p>
        </w:tc>
      </w:tr>
      <w:tr>
        <w:tc>
          <w:tcPr/>
          <w:p>
            <w:pPr>
              <w:pStyle w:val="Compact"/>
              <w:jc w:val="left"/>
            </w:pPr>
            <w:r>
              <w:rPr>
                <w:sz w:val="17"/>
              </w:rPr>
              <w:t xml:space="preserve">XGBoost</w:t>
            </w:r>
          </w:p>
        </w:tc>
        <w:tc>
          <w:tcPr/>
          <w:p>
            <w:pPr>
              <w:pStyle w:val="Compact"/>
              <w:jc w:val="right"/>
            </w:pPr>
            <w:r>
              <w:rPr>
                <w:sz w:val="17"/>
              </w:rPr>
              <w:t xml:space="preserve">0.848</w:t>
            </w:r>
          </w:p>
        </w:tc>
        <w:tc>
          <w:tcPr/>
          <w:p>
            <w:pPr>
              <w:pStyle w:val="Compact"/>
              <w:jc w:val="right"/>
            </w:pPr>
            <w:r>
              <w:rPr>
                <w:sz w:val="17"/>
              </w:rPr>
              <w:t xml:space="preserve">0.851</w:t>
            </w:r>
          </w:p>
        </w:tc>
        <w:tc>
          <w:tcPr/>
          <w:p>
            <w:pPr>
              <w:pStyle w:val="Compact"/>
              <w:jc w:val="right"/>
            </w:pPr>
            <w:r>
              <w:rPr>
                <w:sz w:val="17"/>
              </w:rPr>
              <w:t xml:space="preserve">0.812</w:t>
            </w:r>
          </w:p>
        </w:tc>
        <w:tc>
          <w:tcPr/>
          <w:p>
            <w:pPr>
              <w:pStyle w:val="Compact"/>
              <w:jc w:val="right"/>
            </w:pPr>
            <w:r>
              <w:rPr>
                <w:sz w:val="17"/>
              </w:rPr>
              <w:t xml:space="preserve">0.788 to 0.824</w:t>
            </w:r>
          </w:p>
        </w:tc>
        <w:tc>
          <w:tcPr/>
          <w:p>
            <w:pPr>
              <w:pStyle w:val="Compact"/>
              <w:jc w:val="right"/>
            </w:pPr>
            <w:r>
              <w:rPr>
                <w:sz w:val="17"/>
              </w:rPr>
              <w:t xml:space="preserve">0.624</w:t>
            </w:r>
          </w:p>
        </w:tc>
        <w:tc>
          <w:tcPr/>
          <w:p>
            <w:pPr>
              <w:pStyle w:val="Compact"/>
              <w:jc w:val="right"/>
            </w:pPr>
            <w:r>
              <w:rPr>
                <w:sz w:val="17"/>
              </w:rPr>
              <w:t xml:space="preserve">0.469</w:t>
            </w:r>
          </w:p>
        </w:tc>
        <w:tc>
          <w:tcPr/>
          <w:p>
            <w:pPr>
              <w:pStyle w:val="Compact"/>
              <w:jc w:val="right"/>
            </w:pPr>
            <w:r>
              <w:rPr>
                <w:sz w:val="17"/>
              </w:rPr>
              <w:t xml:space="preserve">0.0209</w:t>
            </w:r>
          </w:p>
        </w:tc>
        <w:tc>
          <w:tcPr/>
          <w:p>
            <w:pPr>
              <w:pStyle w:val="Compact"/>
              <w:jc w:val="right"/>
            </w:pPr>
            <w:r>
              <w:rPr>
                <w:sz w:val="17"/>
              </w:rPr>
              <w:t xml:space="preserve">+0.0223</w:t>
            </w:r>
          </w:p>
        </w:tc>
        <w:tc>
          <w:tcPr/>
          <w:p>
            <w:pPr>
              <w:pStyle w:val="Compact"/>
              <w:jc w:val="right"/>
            </w:pPr>
            <w:r>
              <w:rPr>
                <w:sz w:val="17"/>
              </w:rPr>
              <w:t xml:space="preserve">2.9e-26</w:t>
            </w:r>
          </w:p>
        </w:tc>
      </w:tr>
      <w:tr>
        <w:tc>
          <w:tcPr/>
          <w:p>
            <w:pPr>
              <w:pStyle w:val="Compact"/>
              <w:jc w:val="left"/>
            </w:pPr>
            <w:r>
              <w:rPr>
                <w:sz w:val="17"/>
              </w:rPr>
              <w:t xml:space="preserve">XGBoost, class-weighted (uncalibrated sensitivity)</w:t>
            </w:r>
          </w:p>
        </w:tc>
        <w:tc>
          <w:tcPr/>
          <w:p>
            <w:pPr>
              <w:pStyle w:val="Compact"/>
              <w:jc w:val="right"/>
            </w:pPr>
            <w:r>
              <w:rPr>
                <w:sz w:val="17"/>
              </w:rPr>
              <w:t xml:space="preserve">0.854</w:t>
            </w:r>
          </w:p>
        </w:tc>
        <w:tc>
          <w:tcPr/>
          <w:p>
            <w:pPr>
              <w:pStyle w:val="Compact"/>
              <w:jc w:val="right"/>
            </w:pPr>
            <w:r>
              <w:rPr>
                <w:sz w:val="17"/>
              </w:rPr>
              <w:t xml:space="preserve">0.852</w:t>
            </w:r>
          </w:p>
        </w:tc>
        <w:tc>
          <w:tcPr/>
          <w:p>
            <w:pPr>
              <w:pStyle w:val="Compact"/>
              <w:jc w:val="right"/>
            </w:pPr>
            <w:r>
              <w:rPr>
                <w:sz w:val="17"/>
              </w:rPr>
              <w:t xml:space="preserve">0.813</w:t>
            </w:r>
          </w:p>
        </w:tc>
        <w:tc>
          <w:tcPr/>
          <w:p>
            <w:pPr>
              <w:pStyle w:val="Compact"/>
              <w:jc w:val="right"/>
            </w:pPr>
            <w:r>
              <w:rPr>
                <w:sz w:val="17"/>
              </w:rPr>
              <w:t xml:space="preserve">0.794 to 0.829</w:t>
            </w:r>
          </w:p>
        </w:tc>
        <w:tc>
          <w:tcPr/>
          <w:p>
            <w:pPr>
              <w:pStyle w:val="Compact"/>
              <w:jc w:val="right"/>
            </w:pPr>
            <w:r>
              <w:rPr>
                <w:sz w:val="17"/>
              </w:rPr>
              <w:t xml:space="preserve">0.626</w:t>
            </w:r>
          </w:p>
        </w:tc>
        <w:tc>
          <w:tcPr/>
          <w:p>
            <w:pPr>
              <w:pStyle w:val="Compact"/>
              <w:jc w:val="right"/>
            </w:pPr>
            <w:r>
              <w:rPr>
                <w:sz w:val="17"/>
              </w:rPr>
              <w:t xml:space="preserve">0.468</w:t>
            </w:r>
          </w:p>
        </w:tc>
        <w:tc>
          <w:tcPr/>
          <w:p>
            <w:pPr>
              <w:pStyle w:val="Compact"/>
              <w:jc w:val="right"/>
            </w:pPr>
            <w:r>
              <w:rPr>
                <w:sz w:val="17"/>
              </w:rPr>
              <w:t xml:space="preserve">0.1406</w:t>
            </w:r>
          </w:p>
        </w:tc>
        <w:tc>
          <w:tcPr/>
          <w:p>
            <w:pPr>
              <w:pStyle w:val="Compact"/>
              <w:jc w:val="right"/>
            </w:pPr>
            <w:r>
              <w:rPr>
                <w:sz w:val="17"/>
              </w:rPr>
              <w:t xml:space="preserve">+0.0234</w:t>
            </w:r>
          </w:p>
        </w:tc>
        <w:tc>
          <w:tcPr/>
          <w:p>
            <w:pPr>
              <w:pStyle w:val="Compact"/>
              <w:jc w:val="right"/>
            </w:pPr>
            <w:r>
              <w:rPr>
                <w:sz w:val="17"/>
              </w:rPr>
              <w:t xml:space="preserve">2.0e-28</w:t>
            </w:r>
          </w:p>
        </w:tc>
      </w:tr>
      <w:tr>
        <w:tc>
          <w:tcPr/>
          <w:p>
            <w:pPr>
              <w:pStyle w:val="Compact"/>
              <w:jc w:val="left"/>
            </w:pPr>
            <w:r>
              <w:rPr>
                <w:sz w:val="17"/>
              </w:rPr>
              <w:t xml:space="preserve">LightGBM</w:t>
            </w:r>
          </w:p>
        </w:tc>
        <w:tc>
          <w:tcPr/>
          <w:p>
            <w:pPr>
              <w:pStyle w:val="Compact"/>
              <w:jc w:val="right"/>
            </w:pPr>
            <w:r>
              <w:rPr>
                <w:sz w:val="17"/>
              </w:rPr>
              <w:t xml:space="preserve">0.885</w:t>
            </w:r>
          </w:p>
        </w:tc>
        <w:tc>
          <w:tcPr/>
          <w:p>
            <w:pPr>
              <w:pStyle w:val="Compact"/>
              <w:jc w:val="right"/>
            </w:pPr>
            <w:r>
              <w:rPr>
                <w:sz w:val="17"/>
              </w:rPr>
              <w:t xml:space="preserve">0.861</w:t>
            </w:r>
          </w:p>
        </w:tc>
        <w:tc>
          <w:tcPr/>
          <w:p>
            <w:pPr>
              <w:pStyle w:val="Compact"/>
              <w:jc w:val="right"/>
            </w:pPr>
            <w:r>
              <w:rPr>
                <w:sz w:val="17"/>
              </w:rPr>
              <w:t xml:space="preserve">0.808</w:t>
            </w:r>
          </w:p>
        </w:tc>
        <w:tc>
          <w:tcPr/>
          <w:p>
            <w:pPr>
              <w:pStyle w:val="Compact"/>
              <w:jc w:val="right"/>
            </w:pPr>
            <w:r>
              <w:rPr>
                <w:sz w:val="17"/>
              </w:rPr>
              <w:t xml:space="preserve">0.786 to 0.823</w:t>
            </w:r>
          </w:p>
        </w:tc>
        <w:tc>
          <w:tcPr/>
          <w:p>
            <w:pPr>
              <w:pStyle w:val="Compact"/>
              <w:jc w:val="right"/>
            </w:pPr>
            <w:r>
              <w:rPr>
                <w:sz w:val="17"/>
              </w:rPr>
              <w:t xml:space="preserve">0.617</w:t>
            </w:r>
          </w:p>
        </w:tc>
        <w:tc>
          <w:tcPr/>
          <w:p>
            <w:pPr>
              <w:pStyle w:val="Compact"/>
              <w:jc w:val="right"/>
            </w:pPr>
            <w:r>
              <w:rPr>
                <w:sz w:val="17"/>
              </w:rPr>
              <w:t xml:space="preserve">0.463</w:t>
            </w:r>
          </w:p>
        </w:tc>
        <w:tc>
          <w:tcPr/>
          <w:p>
            <w:pPr>
              <w:pStyle w:val="Compact"/>
              <w:jc w:val="right"/>
            </w:pPr>
            <w:r>
              <w:rPr>
                <w:sz w:val="17"/>
              </w:rPr>
              <w:t xml:space="preserve">0.0210</w:t>
            </w:r>
          </w:p>
        </w:tc>
        <w:tc>
          <w:tcPr/>
          <w:p>
            <w:pPr>
              <w:pStyle w:val="Compact"/>
              <w:jc w:val="right"/>
            </w:pPr>
            <w:r>
              <w:rPr>
                <w:sz w:val="17"/>
              </w:rPr>
              <w:t xml:space="preserve">+0.0186</w:t>
            </w:r>
          </w:p>
        </w:tc>
        <w:tc>
          <w:tcPr/>
          <w:p>
            <w:pPr>
              <w:pStyle w:val="Compact"/>
              <w:jc w:val="right"/>
            </w:pPr>
            <w:r>
              <w:rPr>
                <w:sz w:val="17"/>
              </w:rPr>
              <w:t xml:space="preserve">1.1e-16</w:t>
            </w:r>
          </w:p>
        </w:tc>
      </w:tr>
    </w:tbl>
    <w:p>
      <w:pPr>
        <w:pStyle w:val="CaptionedFigure"/>
      </w:pPr>
      <w:r>
        <w:drawing>
          <wp:inline>
            <wp:extent cx="5067300" cy="2280285"/>
            <wp:effectExtent b="0" l="0" r="0" t="0"/>
            <wp:docPr descr="Out-of-time ROC curves for the three PD models and the KS curve for LightGBM." title="" id="55" name="Picture"/>
            <a:graphic>
              <a:graphicData uri="http://schemas.openxmlformats.org/drawingml/2006/picture">
                <pic:pic>
                  <pic:nvPicPr>
                    <pic:cNvPr descr="../python/outputs/charts/roc_ks_pd.png" id="56" name="Picture"/>
                    <pic:cNvPicPr>
                      <a:picLocks noChangeArrowheads="1" noChangeAspect="1"/>
                    </pic:cNvPicPr>
                  </pic:nvPicPr>
                  <pic:blipFill>
                    <a:blip r:embed="rId54"/>
                    <a:stretch>
                      <a:fillRect/>
                    </a:stretch>
                  </pic:blipFill>
                  <pic:spPr bwMode="auto">
                    <a:xfrm>
                      <a:off x="0" y="0"/>
                      <a:ext cx="5067300" cy="2280285"/>
                    </a:xfrm>
                    <a:prstGeom prst="rect">
                      <a:avLst/>
                    </a:prstGeom>
                    <a:noFill/>
                    <a:ln w="9525">
                      <a:noFill/>
                      <a:headEnd/>
                      <a:tailEnd/>
                    </a:ln>
                  </pic:spPr>
                </pic:pic>
              </a:graphicData>
            </a:graphic>
          </wp:inline>
        </w:drawing>
      </w:r>
    </w:p>
    <w:p>
      <w:pPr>
        <w:pStyle w:val="ImageCaption"/>
      </w:pPr>
      <w:r>
        <w:t xml:space="preserve">Out-of-time ROC curves for the three PD models and the KS curve for LightGBM.</w:t>
      </w:r>
    </w:p>
    <w:p>
      <w:pPr>
        <w:pStyle w:val="BodyText"/>
      </w:pPr>
      <w:r>
        <w:t xml:space="preserve">Three things stand out.</w:t>
      </w:r>
    </w:p>
    <w:p>
      <w:pPr>
        <w:pStyle w:val="Compact"/>
        <w:numPr>
          <w:ilvl w:val="0"/>
          <w:numId w:val="1004"/>
        </w:numPr>
      </w:pPr>
      <w:r>
        <w:rPr>
          <w:b/>
          <w:bCs/>
        </w:rPr>
        <w:t xml:space="preserve">The trees beat the scorecard, modestly and reliably.</w:t>
      </w:r>
      <w:r>
        <w:t xml:space="preserve"> </w:t>
      </w:r>
      <w:r>
        <w:t xml:space="preserve">XGBoost improves AUC by +0.0223 and LightGBM by +0.0186; the DeLong p-values (2.9e-26 and 1.1e-16) say the improvement is not noise. The simulated default hazard includes a non-linear seasoning hump and hinge-like terms (unemployment above 5, falling house prices only) that a binned linear scorecard approximates but cannot match exactly.</w:t>
      </w:r>
    </w:p>
    <w:p>
      <w:pPr>
        <w:pStyle w:val="Compact"/>
        <w:numPr>
          <w:ilvl w:val="0"/>
          <w:numId w:val="1004"/>
        </w:numPr>
      </w:pPr>
      <w:r>
        <w:rPr>
          <w:b/>
          <w:bCs/>
        </w:rPr>
        <w:t xml:space="preserve">The trees overfit more.</w:t>
      </w:r>
      <w:r>
        <w:t xml:space="preserve"> </w:t>
      </w:r>
      <w:r>
        <w:t xml:space="preserve">The training-to-OOT AUC drop is 0.022 for the scorecard, 0.036 for XGBoost and 0.076 for LightGBM. LightGBM fits the training window best and generalizes no better than XGBoost: the OOT intervals (0.788 to 0.824 for XGBoost and 0.786 to 0.823 for LightGBM) overlap almost completely. Part of every gap is not overfitting but regime change, since the OOT period contains conditions the training period lacks.</w:t>
      </w:r>
    </w:p>
    <w:p>
      <w:pPr>
        <w:pStyle w:val="Compact"/>
        <w:numPr>
          <w:ilvl w:val="0"/>
          <w:numId w:val="1004"/>
        </w:numPr>
      </w:pPr>
      <w:r>
        <w:rPr>
          <w:b/>
          <w:bCs/>
        </w:rPr>
        <w:t xml:space="preserve">Model choice is not settled by AUC alone.</w:t>
      </w:r>
      <w:r>
        <w:t xml:space="preserve"> </w:t>
      </w:r>
      <w:r>
        <w:t xml:space="preserve">The pipeline uses LightGBM for PD explanation and projection and XGBoost for prepayment (</w:t>
      </w:r>
      <w:r>
        <w:rPr>
          <w:rStyle w:val="VerbatimChar"/>
        </w:rPr>
        <w:t xml:space="preserve">cli.py</w:t>
      </w:r>
      <w:r>
        <w:t xml:space="preserve">). A validator would reasonably ask why, given that XGBoost has the nominally higher PD AUC; the honest answer is that the two are statistically close and that this choice was a pipeline default rather than the output of a formal selection exercise.</w:t>
      </w:r>
    </w:p>
    <w:bookmarkEnd w:id="57"/>
    <w:bookmarkStart w:id="61" w:name="X9d458d66515e30854e48a524cf0e2303f0dc829"/>
    <w:p>
      <w:pPr>
        <w:pStyle w:val="Heading2"/>
      </w:pPr>
      <w:r>
        <w:rPr>
          <w:rStyle w:val="SectionNumber"/>
        </w:rPr>
        <w:t xml:space="preserve">8.2</w:t>
      </w:r>
      <w:r>
        <w:tab/>
      </w:r>
      <w:r>
        <w:t xml:space="preserve">Discrimination in practice: deciles and lift</w:t>
      </w:r>
    </w:p>
    <w:p>
      <w:pPr>
        <w:pStyle w:val="FirstParagraph"/>
      </w:pPr>
      <w:r>
        <w:t xml:space="preserve">Sorting the out-of-time snapshots by predicted PD and cutting them into ten equal groups shows how well the score concentrates defaults at the top:</w:t>
      </w:r>
    </w:p>
    <w:p>
      <w:pPr>
        <w:pStyle w:val="TableCaption"/>
      </w:pPr>
      <w:r>
        <w:t xml:space="preserve">LightGBM out-of-time decile table. Lift is the decile's observed rate divided by the portfolio rate; the last column is the gap between the cumulative share of defaults and of performing loans, whose maximum is the KS statistic (largest at decile 3, value 0.457).</w:t>
      </w:r>
    </w:p>
    <w:tbl>
      <w:tblPr>
        <w:tblStyle w:val="Table"/>
        <w:tblW w:type="pct" w:w="5000"/>
        <w:tblLayout w:type="fixed"/>
        <w:tblLook w:firstRow="1" w:lastRow="0" w:firstColumn="0" w:lastColumn="0" w:noHBand="0" w:noVBand="0" w:val="0020"/>
        <w:tblCaption w:val="LightGBM out-of-time decile table. Lift is the decile's observed rate divided by the portfolio rate; the last column is the gap between the cumulative share of defaults and of performing loans, whose maximum is the KS statistic (largest at decile 3, value 0.457)."/>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98"/>
        <w:gridCol w:w="428"/>
        <w:gridCol w:w="570"/>
        <w:gridCol w:w="927"/>
        <w:gridCol w:w="499"/>
        <w:gridCol w:w="1997"/>
        <w:gridCol w:w="285"/>
        <w:gridCol w:w="1712"/>
      </w:tblGrid>
      <w:tr>
        <w:trPr>
          <w:tblHeader w:val="on"/>
        </w:trPr>
        <w:tc>
          <w:tcPr/>
          <w:p>
            <w:pPr>
              <w:pStyle w:val="Compact"/>
              <w:jc w:val="left"/>
            </w:pPr>
            <w:r>
              <w:rPr>
                <w:sz w:val="17"/>
              </w:rPr>
              <w:t xml:space="preserve">Decile (1 = riskiest)</w:t>
            </w:r>
          </w:p>
        </w:tc>
        <w:tc>
          <w:tcPr/>
          <w:p>
            <w:pPr>
              <w:pStyle w:val="Compact"/>
              <w:jc w:val="right"/>
            </w:pPr>
            <w:r>
              <w:rPr>
                <w:sz w:val="17"/>
              </w:rPr>
              <w:t xml:space="preserve">Loans</w:t>
            </w:r>
          </w:p>
        </w:tc>
        <w:tc>
          <w:tcPr/>
          <w:p>
            <w:pPr>
              <w:pStyle w:val="Compact"/>
              <w:jc w:val="right"/>
            </w:pPr>
            <w:r>
              <w:rPr>
                <w:sz w:val="17"/>
              </w:rPr>
              <w:t xml:space="preserve">Defaults</w:t>
            </w:r>
          </w:p>
        </w:tc>
        <w:tc>
          <w:tcPr/>
          <w:p>
            <w:pPr>
              <w:pStyle w:val="Compact"/>
              <w:jc w:val="right"/>
            </w:pPr>
            <w:r>
              <w:rPr>
                <w:sz w:val="17"/>
              </w:rPr>
              <w:t xml:space="preserve">Observed rate</w:t>
            </w:r>
          </w:p>
        </w:tc>
        <w:tc>
          <w:tcPr/>
          <w:p>
            <w:pPr>
              <w:pStyle w:val="Compact"/>
              <w:jc w:val="right"/>
            </w:pPr>
            <w:r>
              <w:rPr>
                <w:sz w:val="17"/>
              </w:rPr>
              <w:t xml:space="preserve">Mean PD</w:t>
            </w:r>
          </w:p>
        </w:tc>
        <w:tc>
          <w:tcPr/>
          <w:p>
            <w:pPr>
              <w:pStyle w:val="Compact"/>
              <w:jc w:val="right"/>
            </w:pPr>
            <w:r>
              <w:rPr>
                <w:sz w:val="17"/>
              </w:rPr>
              <w:t xml:space="preserve">Cumulative share of defaults</w:t>
            </w:r>
          </w:p>
        </w:tc>
        <w:tc>
          <w:tcPr/>
          <w:p>
            <w:pPr>
              <w:pStyle w:val="Compact"/>
              <w:jc w:val="right"/>
            </w:pPr>
            <w:r>
              <w:rPr>
                <w:sz w:val="17"/>
              </w:rPr>
              <w:t xml:space="preserve">Lift</w:t>
            </w:r>
          </w:p>
        </w:tc>
        <w:tc>
          <w:tcPr/>
          <w:p>
            <w:pPr>
              <w:pStyle w:val="Compact"/>
              <w:jc w:val="right"/>
            </w:pPr>
            <w:r>
              <w:rPr>
                <w:sz w:val="17"/>
              </w:rPr>
              <w:t xml:space="preserve">Gap in cumulative shares</w:t>
            </w:r>
          </w:p>
        </w:tc>
      </w:tr>
      <w:tr>
        <w:tc>
          <w:tcPr/>
          <w:p>
            <w:pPr>
              <w:pStyle w:val="Compact"/>
              <w:jc w:val="left"/>
            </w:pPr>
            <w:r>
              <w:rPr>
                <w:sz w:val="17"/>
              </w:rPr>
              <w:t xml:space="preserve">1.0</w:t>
            </w:r>
          </w:p>
        </w:tc>
        <w:tc>
          <w:tcPr/>
          <w:p>
            <w:pPr>
              <w:pStyle w:val="Compact"/>
              <w:jc w:val="right"/>
            </w:pPr>
            <w:r>
              <w:rPr>
                <w:sz w:val="17"/>
              </w:rPr>
              <w:t xml:space="preserve">12,340</w:t>
            </w:r>
          </w:p>
        </w:tc>
        <w:tc>
          <w:tcPr/>
          <w:p>
            <w:pPr>
              <w:pStyle w:val="Compact"/>
              <w:jc w:val="right"/>
            </w:pPr>
            <w:r>
              <w:rPr>
                <w:sz w:val="17"/>
              </w:rPr>
              <w:t xml:space="preserve">1,422</w:t>
            </w:r>
          </w:p>
        </w:tc>
        <w:tc>
          <w:tcPr/>
          <w:p>
            <w:pPr>
              <w:pStyle w:val="Compact"/>
              <w:jc w:val="right"/>
            </w:pPr>
            <w:r>
              <w:rPr>
                <w:sz w:val="17"/>
              </w:rPr>
              <w:t xml:space="preserve">11.52%</w:t>
            </w:r>
          </w:p>
        </w:tc>
        <w:tc>
          <w:tcPr/>
          <w:p>
            <w:pPr>
              <w:pStyle w:val="Compact"/>
              <w:jc w:val="right"/>
            </w:pPr>
            <w:r>
              <w:rPr>
                <w:sz w:val="17"/>
              </w:rPr>
              <w:t xml:space="preserve">11.43%</w:t>
            </w:r>
          </w:p>
        </w:tc>
        <w:tc>
          <w:tcPr/>
          <w:p>
            <w:pPr>
              <w:pStyle w:val="Compact"/>
              <w:jc w:val="right"/>
            </w:pPr>
            <w:r>
              <w:rPr>
                <w:sz w:val="17"/>
              </w:rPr>
              <w:t xml:space="preserve">49.7%</w:t>
            </w:r>
          </w:p>
        </w:tc>
        <w:tc>
          <w:tcPr/>
          <w:p>
            <w:pPr>
              <w:pStyle w:val="Compact"/>
              <w:jc w:val="right"/>
            </w:pPr>
            <w:r>
              <w:rPr>
                <w:sz w:val="17"/>
              </w:rPr>
              <w:t xml:space="preserve">4.97</w:t>
            </w:r>
          </w:p>
        </w:tc>
        <w:tc>
          <w:tcPr/>
          <w:p>
            <w:pPr>
              <w:pStyle w:val="Compact"/>
              <w:jc w:val="right"/>
            </w:pPr>
            <w:r>
              <w:rPr>
                <w:sz w:val="17"/>
              </w:rPr>
              <w:t xml:space="preserve">0.406</w:t>
            </w:r>
          </w:p>
        </w:tc>
      </w:tr>
      <w:tr>
        <w:tc>
          <w:tcPr/>
          <w:p>
            <w:pPr>
              <w:pStyle w:val="Compact"/>
              <w:jc w:val="left"/>
            </w:pPr>
            <w:r>
              <w:rPr>
                <w:sz w:val="17"/>
              </w:rPr>
              <w:t xml:space="preserve">2.0</w:t>
            </w:r>
          </w:p>
        </w:tc>
        <w:tc>
          <w:tcPr/>
          <w:p>
            <w:pPr>
              <w:pStyle w:val="Compact"/>
              <w:jc w:val="right"/>
            </w:pPr>
            <w:r>
              <w:rPr>
                <w:sz w:val="17"/>
              </w:rPr>
              <w:t xml:space="preserve">12,340</w:t>
            </w:r>
          </w:p>
        </w:tc>
        <w:tc>
          <w:tcPr/>
          <w:p>
            <w:pPr>
              <w:pStyle w:val="Compact"/>
              <w:jc w:val="right"/>
            </w:pPr>
            <w:r>
              <w:rPr>
                <w:sz w:val="17"/>
              </w:rPr>
              <w:t xml:space="preserve">405</w:t>
            </w:r>
          </w:p>
        </w:tc>
        <w:tc>
          <w:tcPr/>
          <w:p>
            <w:pPr>
              <w:pStyle w:val="Compact"/>
              <w:jc w:val="right"/>
            </w:pPr>
            <w:r>
              <w:rPr>
                <w:sz w:val="17"/>
              </w:rPr>
              <w:t xml:space="preserve">3.28%</w:t>
            </w:r>
          </w:p>
        </w:tc>
        <w:tc>
          <w:tcPr/>
          <w:p>
            <w:pPr>
              <w:pStyle w:val="Compact"/>
              <w:jc w:val="right"/>
            </w:pPr>
            <w:r>
              <w:rPr>
                <w:sz w:val="17"/>
              </w:rPr>
              <w:t xml:space="preserve">2.73%</w:t>
            </w:r>
          </w:p>
        </w:tc>
        <w:tc>
          <w:tcPr/>
          <w:p>
            <w:pPr>
              <w:pStyle w:val="Compact"/>
              <w:jc w:val="right"/>
            </w:pPr>
            <w:r>
              <w:rPr>
                <w:sz w:val="17"/>
              </w:rPr>
              <w:t xml:space="preserve">63.8%</w:t>
            </w:r>
          </w:p>
        </w:tc>
        <w:tc>
          <w:tcPr/>
          <w:p>
            <w:pPr>
              <w:pStyle w:val="Compact"/>
              <w:jc w:val="right"/>
            </w:pPr>
            <w:r>
              <w:rPr>
                <w:sz w:val="17"/>
              </w:rPr>
              <w:t xml:space="preserve">1.41</w:t>
            </w:r>
          </w:p>
        </w:tc>
        <w:tc>
          <w:tcPr/>
          <w:p>
            <w:pPr>
              <w:pStyle w:val="Compact"/>
              <w:jc w:val="right"/>
            </w:pPr>
            <w:r>
              <w:rPr>
                <w:sz w:val="17"/>
              </w:rPr>
              <w:t xml:space="preserve">0.449</w:t>
            </w:r>
          </w:p>
        </w:tc>
      </w:tr>
      <w:tr>
        <w:tc>
          <w:tcPr/>
          <w:p>
            <w:pPr>
              <w:pStyle w:val="Compact"/>
              <w:jc w:val="left"/>
            </w:pPr>
            <w:r>
              <w:rPr>
                <w:sz w:val="17"/>
              </w:rPr>
              <w:t xml:space="preserve">3.0</w:t>
            </w:r>
          </w:p>
        </w:tc>
        <w:tc>
          <w:tcPr/>
          <w:p>
            <w:pPr>
              <w:pStyle w:val="Compact"/>
              <w:jc w:val="right"/>
            </w:pPr>
            <w:r>
              <w:rPr>
                <w:sz w:val="17"/>
              </w:rPr>
              <w:t xml:space="preserve">12,340</w:t>
            </w:r>
          </w:p>
        </w:tc>
        <w:tc>
          <w:tcPr/>
          <w:p>
            <w:pPr>
              <w:pStyle w:val="Compact"/>
              <w:jc w:val="right"/>
            </w:pPr>
            <w:r>
              <w:rPr>
                <w:sz w:val="17"/>
              </w:rPr>
              <w:t xml:space="preserve">311</w:t>
            </w:r>
          </w:p>
        </w:tc>
        <w:tc>
          <w:tcPr/>
          <w:p>
            <w:pPr>
              <w:pStyle w:val="Compact"/>
              <w:jc w:val="right"/>
            </w:pPr>
            <w:r>
              <w:rPr>
                <w:sz w:val="17"/>
              </w:rPr>
              <w:t xml:space="preserve">2.52%</w:t>
            </w:r>
          </w:p>
        </w:tc>
        <w:tc>
          <w:tcPr/>
          <w:p>
            <w:pPr>
              <w:pStyle w:val="Compact"/>
              <w:jc w:val="right"/>
            </w:pPr>
            <w:r>
              <w:rPr>
                <w:sz w:val="17"/>
              </w:rPr>
              <w:t xml:space="preserve">1.64%</w:t>
            </w:r>
          </w:p>
        </w:tc>
        <w:tc>
          <w:tcPr/>
          <w:p>
            <w:pPr>
              <w:pStyle w:val="Compact"/>
              <w:jc w:val="right"/>
            </w:pPr>
            <w:r>
              <w:rPr>
                <w:sz w:val="17"/>
              </w:rPr>
              <w:t xml:space="preserve">74.7%</w:t>
            </w:r>
          </w:p>
        </w:tc>
        <w:tc>
          <w:tcPr/>
          <w:p>
            <w:pPr>
              <w:pStyle w:val="Compact"/>
              <w:jc w:val="right"/>
            </w:pPr>
            <w:r>
              <w:rPr>
                <w:sz w:val="17"/>
              </w:rPr>
              <w:t xml:space="preserve">1.09</w:t>
            </w:r>
          </w:p>
        </w:tc>
        <w:tc>
          <w:tcPr/>
          <w:p>
            <w:pPr>
              <w:pStyle w:val="Compact"/>
              <w:jc w:val="right"/>
            </w:pPr>
            <w:r>
              <w:rPr>
                <w:sz w:val="17"/>
              </w:rPr>
              <w:t xml:space="preserve">0.457</w:t>
            </w:r>
          </w:p>
        </w:tc>
      </w:tr>
      <w:tr>
        <w:tc>
          <w:tcPr/>
          <w:p>
            <w:pPr>
              <w:pStyle w:val="Compact"/>
              <w:jc w:val="left"/>
            </w:pPr>
            <w:r>
              <w:rPr>
                <w:sz w:val="17"/>
              </w:rPr>
              <w:t xml:space="preserve">4.0</w:t>
            </w:r>
          </w:p>
        </w:tc>
        <w:tc>
          <w:tcPr/>
          <w:p>
            <w:pPr>
              <w:pStyle w:val="Compact"/>
              <w:jc w:val="right"/>
            </w:pPr>
            <w:r>
              <w:rPr>
                <w:sz w:val="17"/>
              </w:rPr>
              <w:t xml:space="preserve">12,340</w:t>
            </w:r>
          </w:p>
        </w:tc>
        <w:tc>
          <w:tcPr/>
          <w:p>
            <w:pPr>
              <w:pStyle w:val="Compact"/>
              <w:jc w:val="right"/>
            </w:pPr>
            <w:r>
              <w:rPr>
                <w:sz w:val="17"/>
              </w:rPr>
              <w:t xml:space="preserve">206</w:t>
            </w:r>
          </w:p>
        </w:tc>
        <w:tc>
          <w:tcPr/>
          <w:p>
            <w:pPr>
              <w:pStyle w:val="Compact"/>
              <w:jc w:val="right"/>
            </w:pPr>
            <w:r>
              <w:rPr>
                <w:sz w:val="17"/>
              </w:rPr>
              <w:t xml:space="preserve">1.67%</w:t>
            </w:r>
          </w:p>
        </w:tc>
        <w:tc>
          <w:tcPr/>
          <w:p>
            <w:pPr>
              <w:pStyle w:val="Compact"/>
              <w:jc w:val="right"/>
            </w:pPr>
            <w:r>
              <w:rPr>
                <w:sz w:val="17"/>
              </w:rPr>
              <w:t xml:space="preserve">1.08%</w:t>
            </w:r>
          </w:p>
        </w:tc>
        <w:tc>
          <w:tcPr/>
          <w:p>
            <w:pPr>
              <w:pStyle w:val="Compact"/>
              <w:jc w:val="right"/>
            </w:pPr>
            <w:r>
              <w:rPr>
                <w:sz w:val="17"/>
              </w:rPr>
              <w:t xml:space="preserve">81.9%</w:t>
            </w:r>
          </w:p>
        </w:tc>
        <w:tc>
          <w:tcPr/>
          <w:p>
            <w:pPr>
              <w:pStyle w:val="Compact"/>
              <w:jc w:val="right"/>
            </w:pPr>
            <w:r>
              <w:rPr>
                <w:sz w:val="17"/>
              </w:rPr>
              <w:t xml:space="preserve">0.72</w:t>
            </w:r>
          </w:p>
        </w:tc>
        <w:tc>
          <w:tcPr/>
          <w:p>
            <w:pPr>
              <w:pStyle w:val="Compact"/>
              <w:jc w:val="right"/>
            </w:pPr>
            <w:r>
              <w:rPr>
                <w:sz w:val="17"/>
              </w:rPr>
              <w:t xml:space="preserve">0.429</w:t>
            </w:r>
          </w:p>
        </w:tc>
      </w:tr>
      <w:tr>
        <w:tc>
          <w:tcPr/>
          <w:p>
            <w:pPr>
              <w:pStyle w:val="Compact"/>
              <w:jc w:val="left"/>
            </w:pPr>
            <w:r>
              <w:rPr>
                <w:sz w:val="17"/>
              </w:rPr>
              <w:t xml:space="preserve">5.0</w:t>
            </w:r>
          </w:p>
        </w:tc>
        <w:tc>
          <w:tcPr/>
          <w:p>
            <w:pPr>
              <w:pStyle w:val="Compact"/>
              <w:jc w:val="right"/>
            </w:pPr>
            <w:r>
              <w:rPr>
                <w:sz w:val="17"/>
              </w:rPr>
              <w:t xml:space="preserve">12,340</w:t>
            </w:r>
          </w:p>
        </w:tc>
        <w:tc>
          <w:tcPr/>
          <w:p>
            <w:pPr>
              <w:pStyle w:val="Compact"/>
              <w:jc w:val="right"/>
            </w:pPr>
            <w:r>
              <w:rPr>
                <w:sz w:val="17"/>
              </w:rPr>
              <w:t xml:space="preserve">157</w:t>
            </w:r>
          </w:p>
        </w:tc>
        <w:tc>
          <w:tcPr/>
          <w:p>
            <w:pPr>
              <w:pStyle w:val="Compact"/>
              <w:jc w:val="right"/>
            </w:pPr>
            <w:r>
              <w:rPr>
                <w:sz w:val="17"/>
              </w:rPr>
              <w:t xml:space="preserve">1.27%</w:t>
            </w:r>
          </w:p>
        </w:tc>
        <w:tc>
          <w:tcPr/>
          <w:p>
            <w:pPr>
              <w:pStyle w:val="Compact"/>
              <w:jc w:val="right"/>
            </w:pPr>
            <w:r>
              <w:rPr>
                <w:sz w:val="17"/>
              </w:rPr>
              <w:t xml:space="preserve">0.75%</w:t>
            </w:r>
          </w:p>
        </w:tc>
        <w:tc>
          <w:tcPr/>
          <w:p>
            <w:pPr>
              <w:pStyle w:val="Compact"/>
              <w:jc w:val="right"/>
            </w:pPr>
            <w:r>
              <w:rPr>
                <w:sz w:val="17"/>
              </w:rPr>
              <w:t xml:space="preserve">87.4%</w:t>
            </w:r>
          </w:p>
        </w:tc>
        <w:tc>
          <w:tcPr/>
          <w:p>
            <w:pPr>
              <w:pStyle w:val="Compact"/>
              <w:jc w:val="right"/>
            </w:pPr>
            <w:r>
              <w:rPr>
                <w:sz w:val="17"/>
              </w:rPr>
              <w:t xml:space="preserve">0.55</w:t>
            </w:r>
          </w:p>
        </w:tc>
        <w:tc>
          <w:tcPr/>
          <w:p>
            <w:pPr>
              <w:pStyle w:val="Compact"/>
              <w:jc w:val="right"/>
            </w:pPr>
            <w:r>
              <w:rPr>
                <w:sz w:val="17"/>
              </w:rPr>
              <w:t xml:space="preserve">0.382</w:t>
            </w:r>
          </w:p>
        </w:tc>
      </w:tr>
      <w:tr>
        <w:tc>
          <w:tcPr/>
          <w:p>
            <w:pPr>
              <w:pStyle w:val="Compact"/>
              <w:jc w:val="left"/>
            </w:pPr>
            <w:r>
              <w:rPr>
                <w:sz w:val="17"/>
              </w:rPr>
              <w:t xml:space="preserve">6.0</w:t>
            </w:r>
          </w:p>
        </w:tc>
        <w:tc>
          <w:tcPr/>
          <w:p>
            <w:pPr>
              <w:pStyle w:val="Compact"/>
              <w:jc w:val="right"/>
            </w:pPr>
            <w:r>
              <w:rPr>
                <w:sz w:val="17"/>
              </w:rPr>
              <w:t xml:space="preserve">12,339</w:t>
            </w:r>
          </w:p>
        </w:tc>
        <w:tc>
          <w:tcPr/>
          <w:p>
            <w:pPr>
              <w:pStyle w:val="Compact"/>
              <w:jc w:val="right"/>
            </w:pPr>
            <w:r>
              <w:rPr>
                <w:sz w:val="17"/>
              </w:rPr>
              <w:t xml:space="preserve">123</w:t>
            </w:r>
          </w:p>
        </w:tc>
        <w:tc>
          <w:tcPr/>
          <w:p>
            <w:pPr>
              <w:pStyle w:val="Compact"/>
              <w:jc w:val="right"/>
            </w:pPr>
            <w:r>
              <w:rPr>
                <w:sz w:val="17"/>
              </w:rPr>
              <w:t xml:space="preserve">1.00%</w:t>
            </w:r>
          </w:p>
        </w:tc>
        <w:tc>
          <w:tcPr/>
          <w:p>
            <w:pPr>
              <w:pStyle w:val="Compact"/>
              <w:jc w:val="right"/>
            </w:pPr>
            <w:r>
              <w:rPr>
                <w:sz w:val="17"/>
              </w:rPr>
              <w:t xml:space="preserve">0.53%</w:t>
            </w:r>
          </w:p>
        </w:tc>
        <w:tc>
          <w:tcPr/>
          <w:p>
            <w:pPr>
              <w:pStyle w:val="Compact"/>
              <w:jc w:val="right"/>
            </w:pPr>
            <w:r>
              <w:rPr>
                <w:sz w:val="17"/>
              </w:rPr>
              <w:t xml:space="preserve">91.7%</w:t>
            </w:r>
          </w:p>
        </w:tc>
        <w:tc>
          <w:tcPr/>
          <w:p>
            <w:pPr>
              <w:pStyle w:val="Compact"/>
              <w:jc w:val="right"/>
            </w:pPr>
            <w:r>
              <w:rPr>
                <w:sz w:val="17"/>
              </w:rPr>
              <w:t xml:space="preserve">0.43</w:t>
            </w:r>
          </w:p>
        </w:tc>
        <w:tc>
          <w:tcPr/>
          <w:p>
            <w:pPr>
              <w:pStyle w:val="Compact"/>
              <w:jc w:val="right"/>
            </w:pPr>
            <w:r>
              <w:rPr>
                <w:sz w:val="17"/>
              </w:rPr>
              <w:t xml:space="preserve">0.324</w:t>
            </w:r>
          </w:p>
        </w:tc>
      </w:tr>
      <w:tr>
        <w:tc>
          <w:tcPr/>
          <w:p>
            <w:pPr>
              <w:pStyle w:val="Compact"/>
              <w:jc w:val="left"/>
            </w:pPr>
            <w:r>
              <w:rPr>
                <w:sz w:val="17"/>
              </w:rPr>
              <w:t xml:space="preserve">7.0</w:t>
            </w:r>
          </w:p>
        </w:tc>
        <w:tc>
          <w:tcPr/>
          <w:p>
            <w:pPr>
              <w:pStyle w:val="Compact"/>
              <w:jc w:val="right"/>
            </w:pPr>
            <w:r>
              <w:rPr>
                <w:sz w:val="17"/>
              </w:rPr>
              <w:t xml:space="preserve">12,339</w:t>
            </w:r>
          </w:p>
        </w:tc>
        <w:tc>
          <w:tcPr/>
          <w:p>
            <w:pPr>
              <w:pStyle w:val="Compact"/>
              <w:jc w:val="right"/>
            </w:pPr>
            <w:r>
              <w:rPr>
                <w:sz w:val="17"/>
              </w:rPr>
              <w:t xml:space="preserve">100</w:t>
            </w:r>
          </w:p>
        </w:tc>
        <w:tc>
          <w:tcPr/>
          <w:p>
            <w:pPr>
              <w:pStyle w:val="Compact"/>
              <w:jc w:val="right"/>
            </w:pPr>
            <w:r>
              <w:rPr>
                <w:sz w:val="17"/>
              </w:rPr>
              <w:t xml:space="preserve">0.81%</w:t>
            </w:r>
          </w:p>
        </w:tc>
        <w:tc>
          <w:tcPr/>
          <w:p>
            <w:pPr>
              <w:pStyle w:val="Compact"/>
              <w:jc w:val="right"/>
            </w:pPr>
            <w:r>
              <w:rPr>
                <w:sz w:val="17"/>
              </w:rPr>
              <w:t xml:space="preserve">0.38%</w:t>
            </w:r>
          </w:p>
        </w:tc>
        <w:tc>
          <w:tcPr/>
          <w:p>
            <w:pPr>
              <w:pStyle w:val="Compact"/>
              <w:jc w:val="right"/>
            </w:pPr>
            <w:r>
              <w:rPr>
                <w:sz w:val="17"/>
              </w:rPr>
              <w:t xml:space="preserve">95.1%</w:t>
            </w:r>
          </w:p>
        </w:tc>
        <w:tc>
          <w:tcPr/>
          <w:p>
            <w:pPr>
              <w:pStyle w:val="Compact"/>
              <w:jc w:val="right"/>
            </w:pPr>
            <w:r>
              <w:rPr>
                <w:sz w:val="17"/>
              </w:rPr>
              <w:t xml:space="preserve">0.35</w:t>
            </w:r>
          </w:p>
        </w:tc>
        <w:tc>
          <w:tcPr/>
          <w:p>
            <w:pPr>
              <w:pStyle w:val="Compact"/>
              <w:jc w:val="right"/>
            </w:pPr>
            <w:r>
              <w:rPr>
                <w:sz w:val="17"/>
              </w:rPr>
              <w:t xml:space="preserve">0.257</w:t>
            </w:r>
          </w:p>
        </w:tc>
      </w:tr>
      <w:tr>
        <w:tc>
          <w:tcPr/>
          <w:p>
            <w:pPr>
              <w:pStyle w:val="Compact"/>
              <w:jc w:val="left"/>
            </w:pPr>
            <w:r>
              <w:rPr>
                <w:sz w:val="17"/>
              </w:rPr>
              <w:t xml:space="preserve">8.0</w:t>
            </w:r>
          </w:p>
        </w:tc>
        <w:tc>
          <w:tcPr/>
          <w:p>
            <w:pPr>
              <w:pStyle w:val="Compact"/>
              <w:jc w:val="right"/>
            </w:pPr>
            <w:r>
              <w:rPr>
                <w:sz w:val="17"/>
              </w:rPr>
              <w:t xml:space="preserve">12,339</w:t>
            </w:r>
          </w:p>
        </w:tc>
        <w:tc>
          <w:tcPr/>
          <w:p>
            <w:pPr>
              <w:pStyle w:val="Compact"/>
              <w:jc w:val="right"/>
            </w:pPr>
            <w:r>
              <w:rPr>
                <w:sz w:val="17"/>
              </w:rPr>
              <w:t xml:space="preserve">78</w:t>
            </w:r>
          </w:p>
        </w:tc>
        <w:tc>
          <w:tcPr/>
          <w:p>
            <w:pPr>
              <w:pStyle w:val="Compact"/>
              <w:jc w:val="right"/>
            </w:pPr>
            <w:r>
              <w:rPr>
                <w:sz w:val="17"/>
              </w:rPr>
              <w:t xml:space="preserve">0.63%</w:t>
            </w:r>
          </w:p>
        </w:tc>
        <w:tc>
          <w:tcPr/>
          <w:p>
            <w:pPr>
              <w:pStyle w:val="Compact"/>
              <w:jc w:val="right"/>
            </w:pPr>
            <w:r>
              <w:rPr>
                <w:sz w:val="17"/>
              </w:rPr>
              <w:t xml:space="preserve">0.26%</w:t>
            </w:r>
          </w:p>
        </w:tc>
        <w:tc>
          <w:tcPr/>
          <w:p>
            <w:pPr>
              <w:pStyle w:val="Compact"/>
              <w:jc w:val="right"/>
            </w:pPr>
            <w:r>
              <w:rPr>
                <w:sz w:val="17"/>
              </w:rPr>
              <w:t xml:space="preserve">97.9%</w:t>
            </w:r>
          </w:p>
        </w:tc>
        <w:tc>
          <w:tcPr/>
          <w:p>
            <w:pPr>
              <w:pStyle w:val="Compact"/>
              <w:jc w:val="right"/>
            </w:pPr>
            <w:r>
              <w:rPr>
                <w:sz w:val="17"/>
              </w:rPr>
              <w:t xml:space="preserve">0.27</w:t>
            </w:r>
          </w:p>
        </w:tc>
        <w:tc>
          <w:tcPr/>
          <w:p>
            <w:pPr>
              <w:pStyle w:val="Compact"/>
              <w:jc w:val="right"/>
            </w:pPr>
            <w:r>
              <w:rPr>
                <w:sz w:val="17"/>
              </w:rPr>
              <w:t xml:space="preserve">0.183</w:t>
            </w:r>
          </w:p>
        </w:tc>
      </w:tr>
      <w:tr>
        <w:tc>
          <w:tcPr/>
          <w:p>
            <w:pPr>
              <w:pStyle w:val="Compact"/>
              <w:jc w:val="left"/>
            </w:pPr>
            <w:r>
              <w:rPr>
                <w:sz w:val="17"/>
              </w:rPr>
              <w:t xml:space="preserve">9.0</w:t>
            </w:r>
          </w:p>
        </w:tc>
        <w:tc>
          <w:tcPr/>
          <w:p>
            <w:pPr>
              <w:pStyle w:val="Compact"/>
              <w:jc w:val="right"/>
            </w:pPr>
            <w:r>
              <w:rPr>
                <w:sz w:val="17"/>
              </w:rPr>
              <w:t xml:space="preserve">12,339</w:t>
            </w:r>
          </w:p>
        </w:tc>
        <w:tc>
          <w:tcPr/>
          <w:p>
            <w:pPr>
              <w:pStyle w:val="Compact"/>
              <w:jc w:val="right"/>
            </w:pPr>
            <w:r>
              <w:rPr>
                <w:sz w:val="17"/>
              </w:rPr>
              <w:t xml:space="preserve">41</w:t>
            </w:r>
          </w:p>
        </w:tc>
        <w:tc>
          <w:tcPr/>
          <w:p>
            <w:pPr>
              <w:pStyle w:val="Compact"/>
              <w:jc w:val="right"/>
            </w:pPr>
            <w:r>
              <w:rPr>
                <w:sz w:val="17"/>
              </w:rPr>
              <w:t xml:space="preserve">0.33%</w:t>
            </w:r>
          </w:p>
        </w:tc>
        <w:tc>
          <w:tcPr/>
          <w:p>
            <w:pPr>
              <w:pStyle w:val="Compact"/>
              <w:jc w:val="right"/>
            </w:pPr>
            <w:r>
              <w:rPr>
                <w:sz w:val="17"/>
              </w:rPr>
              <w:t xml:space="preserve">0.16%</w:t>
            </w:r>
          </w:p>
        </w:tc>
        <w:tc>
          <w:tcPr/>
          <w:p>
            <w:pPr>
              <w:pStyle w:val="Compact"/>
              <w:jc w:val="right"/>
            </w:pPr>
            <w:r>
              <w:rPr>
                <w:sz w:val="17"/>
              </w:rPr>
              <w:t xml:space="preserve">99.3%</w:t>
            </w:r>
          </w:p>
        </w:tc>
        <w:tc>
          <w:tcPr/>
          <w:p>
            <w:pPr>
              <w:pStyle w:val="Compact"/>
              <w:jc w:val="right"/>
            </w:pPr>
            <w:r>
              <w:rPr>
                <w:sz w:val="17"/>
              </w:rPr>
              <w:t xml:space="preserve">0.14</w:t>
            </w:r>
          </w:p>
        </w:tc>
        <w:tc>
          <w:tcPr/>
          <w:p>
            <w:pPr>
              <w:pStyle w:val="Compact"/>
              <w:jc w:val="right"/>
            </w:pPr>
            <w:r>
              <w:rPr>
                <w:sz w:val="17"/>
              </w:rPr>
              <w:t xml:space="preserve">0.095</w:t>
            </w:r>
          </w:p>
        </w:tc>
      </w:tr>
      <w:tr>
        <w:tc>
          <w:tcPr/>
          <w:p>
            <w:pPr>
              <w:pStyle w:val="Compact"/>
              <w:jc w:val="left"/>
            </w:pPr>
            <w:r>
              <w:rPr>
                <w:sz w:val="17"/>
              </w:rPr>
              <w:t xml:space="preserve">10.0</w:t>
            </w:r>
          </w:p>
        </w:tc>
        <w:tc>
          <w:tcPr/>
          <w:p>
            <w:pPr>
              <w:pStyle w:val="Compact"/>
              <w:jc w:val="right"/>
            </w:pPr>
            <w:r>
              <w:rPr>
                <w:sz w:val="17"/>
              </w:rPr>
              <w:t xml:space="preserve">12,339</w:t>
            </w:r>
          </w:p>
        </w:tc>
        <w:tc>
          <w:tcPr/>
          <w:p>
            <w:pPr>
              <w:pStyle w:val="Compact"/>
              <w:jc w:val="right"/>
            </w:pPr>
            <w:r>
              <w:rPr>
                <w:sz w:val="17"/>
              </w:rPr>
              <w:t xml:space="preserve">20</w:t>
            </w:r>
          </w:p>
        </w:tc>
        <w:tc>
          <w:tcPr/>
          <w:p>
            <w:pPr>
              <w:pStyle w:val="Compact"/>
              <w:jc w:val="right"/>
            </w:pPr>
            <w:r>
              <w:rPr>
                <w:sz w:val="17"/>
              </w:rPr>
              <w:t xml:space="preserve">0.16%</w:t>
            </w:r>
          </w:p>
        </w:tc>
        <w:tc>
          <w:tcPr/>
          <w:p>
            <w:pPr>
              <w:pStyle w:val="Compact"/>
              <w:jc w:val="right"/>
            </w:pPr>
            <w:r>
              <w:rPr>
                <w:sz w:val="17"/>
              </w:rPr>
              <w:t xml:space="preserve">0.09%</w:t>
            </w:r>
          </w:p>
        </w:tc>
        <w:tc>
          <w:tcPr/>
          <w:p>
            <w:pPr>
              <w:pStyle w:val="Compact"/>
              <w:jc w:val="right"/>
            </w:pPr>
            <w:r>
              <w:rPr>
                <w:sz w:val="17"/>
              </w:rPr>
              <w:t xml:space="preserve">100.0%</w:t>
            </w:r>
          </w:p>
        </w:tc>
        <w:tc>
          <w:tcPr/>
          <w:p>
            <w:pPr>
              <w:pStyle w:val="Compact"/>
              <w:jc w:val="right"/>
            </w:pPr>
            <w:r>
              <w:rPr>
                <w:sz w:val="17"/>
              </w:rPr>
              <w:t xml:space="preserve">0.07</w:t>
            </w:r>
          </w:p>
        </w:tc>
        <w:tc>
          <w:tcPr/>
          <w:p>
            <w:pPr>
              <w:pStyle w:val="Compact"/>
              <w:jc w:val="right"/>
            </w:pPr>
            <w:r>
              <w:rPr>
                <w:sz w:val="17"/>
              </w:rPr>
              <w:t xml:space="preserve">0.000</w:t>
            </w:r>
          </w:p>
        </w:tc>
      </w:tr>
    </w:tbl>
    <w:p>
      <w:pPr>
        <w:pStyle w:val="CaptionedFigure"/>
      </w:pPr>
      <w:r>
        <w:drawing>
          <wp:inline>
            <wp:extent cx="4533900" cy="3836376"/>
            <wp:effectExtent b="0" l="0" r="0" t="0"/>
            <wp:docPr descr="Observed default rate and lift by decile, LightGBM." title="" id="59" name="Picture"/>
            <a:graphic>
              <a:graphicData uri="http://schemas.openxmlformats.org/drawingml/2006/picture">
                <pic:pic>
                  <pic:nvPicPr>
                    <pic:cNvPr descr="../python/outputs/charts/decile_lift_pd_lgbm.png" id="60" name="Picture"/>
                    <pic:cNvPicPr>
                      <a:picLocks noChangeArrowheads="1" noChangeAspect="1"/>
                    </pic:cNvPicPr>
                  </pic:nvPicPr>
                  <pic:blipFill>
                    <a:blip r:embed="rId58"/>
                    <a:stretch>
                      <a:fillRect/>
                    </a:stretch>
                  </pic:blipFill>
                  <pic:spPr bwMode="auto">
                    <a:xfrm>
                      <a:off x="0" y="0"/>
                      <a:ext cx="4533900" cy="3836376"/>
                    </a:xfrm>
                    <a:prstGeom prst="rect">
                      <a:avLst/>
                    </a:prstGeom>
                    <a:noFill/>
                    <a:ln w="9525">
                      <a:noFill/>
                      <a:headEnd/>
                      <a:tailEnd/>
                    </a:ln>
                  </pic:spPr>
                </pic:pic>
              </a:graphicData>
            </a:graphic>
          </wp:inline>
        </w:drawing>
      </w:r>
    </w:p>
    <w:p>
      <w:pPr>
        <w:pStyle w:val="ImageCaption"/>
      </w:pPr>
      <w:r>
        <w:t xml:space="preserve">Observed default rate and lift by decile, LightGBM.</w:t>
      </w:r>
    </w:p>
    <w:p>
      <w:pPr>
        <w:pStyle w:val="BodyText"/>
      </w:pPr>
      <w:r>
        <w:t xml:space="preserve">The riskiest decile captures 50% of all defaults at an observed rate of 11.5% (lift 4.97), and the two riskiest deciles together capture 64%. The safest decile has an observed rate of 0.16%. For comparison, the scorecard's riskiest decile captures 44% of defaults at an observed rate of 10.2%; the scorecard decile table is in</w:t>
      </w:r>
      <w:r>
        <w:t xml:space="preserve"> </w:t>
      </w:r>
      <w:r>
        <w:rPr>
          <w:rStyle w:val="VerbatimChar"/>
        </w:rPr>
        <w:t xml:space="preserve">outputs/deciles_pd_pd_logit.csv</w:t>
      </w:r>
      <w:r>
        <w:t xml:space="preserve">.</w:t>
      </w:r>
    </w:p>
    <w:bookmarkEnd w:id="61"/>
    <w:bookmarkStart w:id="65" w:name="calibration"/>
    <w:p>
      <w:pPr>
        <w:pStyle w:val="Heading2"/>
      </w:pPr>
      <w:r>
        <w:rPr>
          <w:rStyle w:val="SectionNumber"/>
        </w:rPr>
        <w:t xml:space="preserve">8.3</w:t>
      </w:r>
      <w:r>
        <w:tab/>
      </w:r>
      <w:r>
        <w:t xml:space="preserve">Calibration</w:t>
      </w:r>
    </w:p>
    <w:p>
      <w:pPr>
        <w:pStyle w:val="TableCaption"/>
      </w:pPr>
      <w:r>
        <w:t xml:space="preserve">Out-of-time calibration summary. The Hosmer-Lemeshow statistic is computed on ten equal-count PD bins; with this many loans it rejects any visible gap, so read the observed-to-predicted ratio.</w:t>
      </w:r>
    </w:p>
    <w:tbl>
      <w:tblPr>
        <w:tblStyle w:val="Table"/>
        <w:tblW w:type="pct" w:w="5000"/>
        <w:tblLayout w:type="fixed"/>
        <w:tblLook w:firstRow="1" w:lastRow="0" w:firstColumn="0" w:lastColumn="0" w:noHBand="0" w:noVBand="0" w:val="0020"/>
        <w:tblCaption w:val="Out-of-time calibration summary. The Hosmer-Lemeshow statistic is computed on ten equal-count PD bins; with this many loans it rejects any visible gap, so read the observed-to-predicted rati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24"/>
        <w:gridCol w:w="1061"/>
        <w:gridCol w:w="1388"/>
        <w:gridCol w:w="1632"/>
        <w:gridCol w:w="1224"/>
        <w:gridCol w:w="1388"/>
      </w:tblGrid>
      <w:tr>
        <w:trPr>
          <w:tblHeader w:val="on"/>
        </w:trPr>
        <w:tc>
          <w:tcPr/>
          <w:p>
            <w:pPr>
              <w:pStyle w:val="Compact"/>
              <w:jc w:val="left"/>
            </w:pPr>
            <w:r>
              <w:rPr>
                <w:sz w:val="17"/>
              </w:rPr>
              <w:t xml:space="preserve">Model</w:t>
            </w:r>
          </w:p>
        </w:tc>
        <w:tc>
          <w:tcPr/>
          <w:p>
            <w:pPr>
              <w:pStyle w:val="Compact"/>
              <w:jc w:val="right"/>
            </w:pPr>
            <w:r>
              <w:rPr>
                <w:sz w:val="17"/>
              </w:rPr>
              <w:t xml:space="preserve">Observed rate</w:t>
            </w:r>
          </w:p>
        </w:tc>
        <w:tc>
          <w:tcPr/>
          <w:p>
            <w:pPr>
              <w:pStyle w:val="Compact"/>
              <w:jc w:val="right"/>
            </w:pPr>
            <w:r>
              <w:rPr>
                <w:sz w:val="17"/>
              </w:rPr>
              <w:t xml:space="preserve">Mean predicted PD</w:t>
            </w:r>
          </w:p>
        </w:tc>
        <w:tc>
          <w:tcPr/>
          <w:p>
            <w:pPr>
              <w:pStyle w:val="Compact"/>
              <w:jc w:val="right"/>
            </w:pPr>
            <w:r>
              <w:rPr>
                <w:sz w:val="17"/>
              </w:rPr>
              <w:t xml:space="preserve">Observed / predicted</w:t>
            </w:r>
          </w:p>
        </w:tc>
        <w:tc>
          <w:tcPr/>
          <w:p>
            <w:pPr>
              <w:pStyle w:val="Compact"/>
              <w:jc w:val="right"/>
            </w:pPr>
            <w:r>
              <w:rPr>
                <w:sz w:val="17"/>
              </w:rPr>
              <w:t xml:space="preserve">Hosmer-Lemeshow</w:t>
            </w:r>
          </w:p>
        </w:tc>
        <w:tc>
          <w:tcPr/>
          <w:p>
            <w:pPr>
              <w:pStyle w:val="Compact"/>
              <w:jc w:val="right"/>
            </w:pPr>
            <w:r>
              <w:rPr>
                <w:sz w:val="17"/>
              </w:rPr>
              <w:t xml:space="preserve">p-value (10 d.f.)</w:t>
            </w:r>
          </w:p>
        </w:tc>
      </w:tr>
      <w:tr>
        <w:tc>
          <w:tcPr/>
          <w:p>
            <w:pPr>
              <w:pStyle w:val="Compact"/>
              <w:jc w:val="left"/>
            </w:pPr>
            <w:r>
              <w:rPr>
                <w:sz w:val="17"/>
              </w:rPr>
              <w:t xml:space="preserve">Scorecard logit</w:t>
            </w:r>
          </w:p>
        </w:tc>
        <w:tc>
          <w:tcPr/>
          <w:p>
            <w:pPr>
              <w:pStyle w:val="Compact"/>
              <w:jc w:val="right"/>
            </w:pPr>
            <w:r>
              <w:rPr>
                <w:sz w:val="17"/>
              </w:rPr>
              <w:t xml:space="preserve">2.32%</w:t>
            </w:r>
          </w:p>
        </w:tc>
        <w:tc>
          <w:tcPr/>
          <w:p>
            <w:pPr>
              <w:pStyle w:val="Compact"/>
              <w:jc w:val="right"/>
            </w:pPr>
            <w:r>
              <w:rPr>
                <w:sz w:val="17"/>
              </w:rPr>
              <w:t xml:space="preserve">1.74%</w:t>
            </w:r>
          </w:p>
        </w:tc>
        <w:tc>
          <w:tcPr/>
          <w:p>
            <w:pPr>
              <w:pStyle w:val="Compact"/>
              <w:jc w:val="right"/>
            </w:pPr>
            <w:r>
              <w:rPr>
                <w:sz w:val="17"/>
              </w:rPr>
              <w:t xml:space="preserve">1.34</w:t>
            </w:r>
          </w:p>
        </w:tc>
        <w:tc>
          <w:tcPr/>
          <w:p>
            <w:pPr>
              <w:pStyle w:val="Compact"/>
              <w:jc w:val="right"/>
            </w:pPr>
            <w:r>
              <w:rPr>
                <w:sz w:val="17"/>
              </w:rPr>
              <w:t xml:space="preserve">358</w:t>
            </w:r>
          </w:p>
        </w:tc>
        <w:tc>
          <w:tcPr/>
          <w:p>
            <w:pPr>
              <w:pStyle w:val="Compact"/>
              <w:jc w:val="right"/>
            </w:pPr>
            <w:r>
              <w:rPr>
                <w:sz w:val="17"/>
              </w:rPr>
              <w:t xml:space="preserve">6.7e-71</w:t>
            </w:r>
          </w:p>
        </w:tc>
      </w:tr>
      <w:tr>
        <w:tc>
          <w:tcPr/>
          <w:p>
            <w:pPr>
              <w:pStyle w:val="Compact"/>
              <w:jc w:val="left"/>
            </w:pPr>
            <w:r>
              <w:rPr>
                <w:sz w:val="17"/>
              </w:rPr>
              <w:t xml:space="preserve">XGBoost</w:t>
            </w:r>
          </w:p>
        </w:tc>
        <w:tc>
          <w:tcPr/>
          <w:p>
            <w:pPr>
              <w:pStyle w:val="Compact"/>
              <w:jc w:val="right"/>
            </w:pPr>
            <w:r>
              <w:rPr>
                <w:sz w:val="17"/>
              </w:rPr>
              <w:t xml:space="preserve">2.32%</w:t>
            </w:r>
          </w:p>
        </w:tc>
        <w:tc>
          <w:tcPr/>
          <w:p>
            <w:pPr>
              <w:pStyle w:val="Compact"/>
              <w:jc w:val="right"/>
            </w:pPr>
            <w:r>
              <w:rPr>
                <w:sz w:val="17"/>
              </w:rPr>
              <w:t xml:space="preserve">1.86%</w:t>
            </w:r>
          </w:p>
        </w:tc>
        <w:tc>
          <w:tcPr/>
          <w:p>
            <w:pPr>
              <w:pStyle w:val="Compact"/>
              <w:jc w:val="right"/>
            </w:pPr>
            <w:r>
              <w:rPr>
                <w:sz w:val="17"/>
              </w:rPr>
              <w:t xml:space="preserve">1.25</w:t>
            </w:r>
          </w:p>
        </w:tc>
        <w:tc>
          <w:tcPr/>
          <w:p>
            <w:pPr>
              <w:pStyle w:val="Compact"/>
              <w:jc w:val="right"/>
            </w:pPr>
            <w:r>
              <w:rPr>
                <w:sz w:val="17"/>
              </w:rPr>
              <w:t xml:space="preserve">343</w:t>
            </w:r>
          </w:p>
        </w:tc>
        <w:tc>
          <w:tcPr/>
          <w:p>
            <w:pPr>
              <w:pStyle w:val="Compact"/>
              <w:jc w:val="right"/>
            </w:pPr>
            <w:r>
              <w:rPr>
                <w:sz w:val="17"/>
              </w:rPr>
              <w:t xml:space="preserve">9.7e-68</w:t>
            </w:r>
          </w:p>
        </w:tc>
      </w:tr>
      <w:tr>
        <w:tc>
          <w:tcPr/>
          <w:p>
            <w:pPr>
              <w:pStyle w:val="Compact"/>
              <w:jc w:val="left"/>
            </w:pPr>
            <w:r>
              <w:rPr>
                <w:sz w:val="17"/>
              </w:rPr>
              <w:t xml:space="preserve">LightGBM</w:t>
            </w:r>
          </w:p>
        </w:tc>
        <w:tc>
          <w:tcPr/>
          <w:p>
            <w:pPr>
              <w:pStyle w:val="Compact"/>
              <w:jc w:val="right"/>
            </w:pPr>
            <w:r>
              <w:rPr>
                <w:sz w:val="17"/>
              </w:rPr>
              <w:t xml:space="preserve">2.32%</w:t>
            </w:r>
          </w:p>
        </w:tc>
        <w:tc>
          <w:tcPr/>
          <w:p>
            <w:pPr>
              <w:pStyle w:val="Compact"/>
              <w:jc w:val="right"/>
            </w:pPr>
            <w:r>
              <w:rPr>
                <w:sz w:val="17"/>
              </w:rPr>
              <w:t xml:space="preserve">1.90%</w:t>
            </w:r>
          </w:p>
        </w:tc>
        <w:tc>
          <w:tcPr/>
          <w:p>
            <w:pPr>
              <w:pStyle w:val="Compact"/>
              <w:jc w:val="right"/>
            </w:pPr>
            <w:r>
              <w:rPr>
                <w:sz w:val="17"/>
              </w:rPr>
              <w:t xml:space="preserve">1.22</w:t>
            </w:r>
          </w:p>
        </w:tc>
        <w:tc>
          <w:tcPr/>
          <w:p>
            <w:pPr>
              <w:pStyle w:val="Compact"/>
              <w:jc w:val="right"/>
            </w:pPr>
            <w:r>
              <w:rPr>
                <w:sz w:val="17"/>
              </w:rPr>
              <w:t xml:space="preserve">368</w:t>
            </w:r>
          </w:p>
        </w:tc>
        <w:tc>
          <w:tcPr/>
          <w:p>
            <w:pPr>
              <w:pStyle w:val="Compact"/>
              <w:jc w:val="right"/>
            </w:pPr>
            <w:r>
              <w:rPr>
                <w:sz w:val="17"/>
              </w:rPr>
              <w:t xml:space="preserve">6.0e-73</w:t>
            </w:r>
          </w:p>
        </w:tc>
      </w:tr>
    </w:tbl>
    <w:p>
      <w:pPr>
        <w:pStyle w:val="CaptionedFigure"/>
      </w:pPr>
      <w:r>
        <w:drawing>
          <wp:inline>
            <wp:extent cx="3733800" cy="3159369"/>
            <wp:effectExtent b="0" l="0" r="0" t="0"/>
            <wp:docPr descr="Reliability diagram: mean predicted PD against observed default rate in ten bins." title="" id="63" name="Picture"/>
            <a:graphic>
              <a:graphicData uri="http://schemas.openxmlformats.org/drawingml/2006/picture">
                <pic:pic>
                  <pic:nvPicPr>
                    <pic:cNvPr descr="../python/outputs/charts/calibration_pd.png" id="64" name="Picture"/>
                    <pic:cNvPicPr>
                      <a:picLocks noChangeArrowheads="1" noChangeAspect="1"/>
                    </pic:cNvPicPr>
                  </pic:nvPicPr>
                  <pic:blipFill>
                    <a:blip r:embed="rId62"/>
                    <a:stretch>
                      <a:fillRect/>
                    </a:stretch>
                  </pic:blipFill>
                  <pic:spPr bwMode="auto">
                    <a:xfrm>
                      <a:off x="0" y="0"/>
                      <a:ext cx="3733800" cy="3159369"/>
                    </a:xfrm>
                    <a:prstGeom prst="rect">
                      <a:avLst/>
                    </a:prstGeom>
                    <a:noFill/>
                    <a:ln w="9525">
                      <a:noFill/>
                      <a:headEnd/>
                      <a:tailEnd/>
                    </a:ln>
                  </pic:spPr>
                </pic:pic>
              </a:graphicData>
            </a:graphic>
          </wp:inline>
        </w:drawing>
      </w:r>
    </w:p>
    <w:p>
      <w:pPr>
        <w:pStyle w:val="ImageCaption"/>
      </w:pPr>
      <w:r>
        <w:t xml:space="preserve">Reliability diagram: mean predicted PD against observed default rate in ten bins.</w:t>
      </w:r>
    </w:p>
    <w:p>
      <w:pPr>
        <w:pStyle w:val="TableCaption"/>
      </w:pPr>
      <w:r>
        <w:t xml:space="preserve">LightGBM calibration by bin, out-of-time.</w:t>
      </w:r>
    </w:p>
    <w:tbl>
      <w:tblPr>
        <w:tblStyle w:val="Table"/>
        <w:tblW w:type="pct" w:w="5000"/>
        <w:tblLayout w:type="fixed"/>
        <w:tblLook w:firstRow="1" w:lastRow="0" w:firstColumn="0" w:lastColumn="0" w:noHBand="0" w:noVBand="0" w:val="0020"/>
        <w:tblCaption w:val="LightGBM calibration by bin, out-of-tim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40"/>
        <w:gridCol w:w="522"/>
        <w:gridCol w:w="1218"/>
        <w:gridCol w:w="1131"/>
        <w:gridCol w:w="870"/>
        <w:gridCol w:w="1305"/>
        <w:gridCol w:w="1131"/>
      </w:tblGrid>
      <w:tr>
        <w:trPr>
          <w:tblHeader w:val="on"/>
        </w:trPr>
        <w:tc>
          <w:tcPr/>
          <w:p>
            <w:pPr>
              <w:pStyle w:val="Compact"/>
              <w:jc w:val="left"/>
            </w:pPr>
            <w:r>
              <w:rPr>
                <w:sz w:val="17"/>
              </w:rPr>
              <w:t xml:space="preserve">Bin (low to high PD)</w:t>
            </w:r>
          </w:p>
        </w:tc>
        <w:tc>
          <w:tcPr/>
          <w:p>
            <w:pPr>
              <w:pStyle w:val="Compact"/>
              <w:jc w:val="right"/>
            </w:pPr>
            <w:r>
              <w:rPr>
                <w:sz w:val="17"/>
              </w:rPr>
              <w:t xml:space="preserve">Loans</w:t>
            </w:r>
          </w:p>
        </w:tc>
        <w:tc>
          <w:tcPr/>
          <w:p>
            <w:pPr>
              <w:pStyle w:val="Compact"/>
              <w:jc w:val="right"/>
            </w:pPr>
            <w:r>
              <w:rPr>
                <w:sz w:val="17"/>
              </w:rPr>
              <w:t xml:space="preserve">Mean predicted</w:t>
            </w:r>
          </w:p>
        </w:tc>
        <w:tc>
          <w:tcPr/>
          <w:p>
            <w:pPr>
              <w:pStyle w:val="Compact"/>
              <w:jc w:val="right"/>
            </w:pPr>
            <w:r>
              <w:rPr>
                <w:sz w:val="17"/>
              </w:rPr>
              <w:t xml:space="preserve">Observed rate</w:t>
            </w:r>
          </w:p>
        </w:tc>
        <w:tc>
          <w:tcPr/>
          <w:p>
            <w:pPr>
              <w:pStyle w:val="Compact"/>
              <w:jc w:val="right"/>
            </w:pPr>
            <w:r>
              <w:rPr>
                <w:sz w:val="17"/>
              </w:rPr>
              <w:t xml:space="preserve">Obs / pred</w:t>
            </w:r>
          </w:p>
        </w:tc>
        <w:tc>
          <w:tcPr/>
          <w:p>
            <w:pPr>
              <w:pStyle w:val="Compact"/>
              <w:jc w:val="right"/>
            </w:pPr>
            <w:r>
              <w:rPr>
                <w:sz w:val="17"/>
              </w:rPr>
              <w:t xml:space="preserve">Expected events</w:t>
            </w:r>
          </w:p>
        </w:tc>
        <w:tc>
          <w:tcPr/>
          <w:p>
            <w:pPr>
              <w:pStyle w:val="Compact"/>
              <w:jc w:val="right"/>
            </w:pPr>
            <w:r>
              <w:rPr>
                <w:sz w:val="17"/>
              </w:rPr>
              <w:t xml:space="preserve">Actual events</w:t>
            </w:r>
          </w:p>
        </w:tc>
      </w:tr>
      <w:tr>
        <w:tc>
          <w:tcPr/>
          <w:p>
            <w:pPr>
              <w:pStyle w:val="Compact"/>
              <w:jc w:val="left"/>
            </w:pPr>
            <w:r>
              <w:rPr>
                <w:sz w:val="17"/>
              </w:rPr>
              <w:t xml:space="preserve">1.0</w:t>
            </w:r>
          </w:p>
        </w:tc>
        <w:tc>
          <w:tcPr/>
          <w:p>
            <w:pPr>
              <w:pStyle w:val="Compact"/>
              <w:jc w:val="right"/>
            </w:pPr>
            <w:r>
              <w:rPr>
                <w:sz w:val="17"/>
              </w:rPr>
              <w:t xml:space="preserve">12,340</w:t>
            </w:r>
          </w:p>
        </w:tc>
        <w:tc>
          <w:tcPr/>
          <w:p>
            <w:pPr>
              <w:pStyle w:val="Compact"/>
              <w:jc w:val="right"/>
            </w:pPr>
            <w:r>
              <w:rPr>
                <w:sz w:val="17"/>
              </w:rPr>
              <w:t xml:space="preserve">0.089%</w:t>
            </w:r>
          </w:p>
        </w:tc>
        <w:tc>
          <w:tcPr/>
          <w:p>
            <w:pPr>
              <w:pStyle w:val="Compact"/>
              <w:jc w:val="right"/>
            </w:pPr>
            <w:r>
              <w:rPr>
                <w:sz w:val="17"/>
              </w:rPr>
              <w:t xml:space="preserve">0.162%</w:t>
            </w:r>
          </w:p>
        </w:tc>
        <w:tc>
          <w:tcPr/>
          <w:p>
            <w:pPr>
              <w:pStyle w:val="Compact"/>
              <w:jc w:val="right"/>
            </w:pPr>
            <w:r>
              <w:rPr>
                <w:sz w:val="17"/>
              </w:rPr>
              <w:t xml:space="preserve">1.83</w:t>
            </w:r>
          </w:p>
        </w:tc>
        <w:tc>
          <w:tcPr/>
          <w:p>
            <w:pPr>
              <w:pStyle w:val="Compact"/>
              <w:jc w:val="right"/>
            </w:pPr>
            <w:r>
              <w:rPr>
                <w:sz w:val="17"/>
              </w:rPr>
              <w:t xml:space="preserve">11</w:t>
            </w:r>
          </w:p>
        </w:tc>
        <w:tc>
          <w:tcPr/>
          <w:p>
            <w:pPr>
              <w:pStyle w:val="Compact"/>
              <w:jc w:val="right"/>
            </w:pPr>
            <w:r>
              <w:rPr>
                <w:sz w:val="17"/>
              </w:rPr>
              <w:t xml:space="preserve">20</w:t>
            </w:r>
          </w:p>
        </w:tc>
      </w:tr>
      <w:tr>
        <w:tc>
          <w:tcPr/>
          <w:p>
            <w:pPr>
              <w:pStyle w:val="Compact"/>
              <w:jc w:val="left"/>
            </w:pPr>
            <w:r>
              <w:rPr>
                <w:sz w:val="17"/>
              </w:rPr>
              <w:t xml:space="preserve">2.0</w:t>
            </w:r>
          </w:p>
        </w:tc>
        <w:tc>
          <w:tcPr/>
          <w:p>
            <w:pPr>
              <w:pStyle w:val="Compact"/>
              <w:jc w:val="right"/>
            </w:pPr>
            <w:r>
              <w:rPr>
                <w:sz w:val="17"/>
              </w:rPr>
              <w:t xml:space="preserve">12,340</w:t>
            </w:r>
          </w:p>
        </w:tc>
        <w:tc>
          <w:tcPr/>
          <w:p>
            <w:pPr>
              <w:pStyle w:val="Compact"/>
              <w:jc w:val="right"/>
            </w:pPr>
            <w:r>
              <w:rPr>
                <w:sz w:val="17"/>
              </w:rPr>
              <w:t xml:space="preserve">0.158%</w:t>
            </w:r>
          </w:p>
        </w:tc>
        <w:tc>
          <w:tcPr/>
          <w:p>
            <w:pPr>
              <w:pStyle w:val="Compact"/>
              <w:jc w:val="right"/>
            </w:pPr>
            <w:r>
              <w:rPr>
                <w:sz w:val="17"/>
              </w:rPr>
              <w:t xml:space="preserve">0.332%</w:t>
            </w:r>
          </w:p>
        </w:tc>
        <w:tc>
          <w:tcPr/>
          <w:p>
            <w:pPr>
              <w:pStyle w:val="Compact"/>
              <w:jc w:val="right"/>
            </w:pPr>
            <w:r>
              <w:rPr>
                <w:sz w:val="17"/>
              </w:rPr>
              <w:t xml:space="preserve">2.11</w:t>
            </w:r>
          </w:p>
        </w:tc>
        <w:tc>
          <w:tcPr/>
          <w:p>
            <w:pPr>
              <w:pStyle w:val="Compact"/>
              <w:jc w:val="right"/>
            </w:pPr>
            <w:r>
              <w:rPr>
                <w:sz w:val="17"/>
              </w:rPr>
              <w:t xml:space="preserve">19</w:t>
            </w:r>
          </w:p>
        </w:tc>
        <w:tc>
          <w:tcPr/>
          <w:p>
            <w:pPr>
              <w:pStyle w:val="Compact"/>
              <w:jc w:val="right"/>
            </w:pPr>
            <w:r>
              <w:rPr>
                <w:sz w:val="17"/>
              </w:rPr>
              <w:t xml:space="preserve">41</w:t>
            </w:r>
          </w:p>
        </w:tc>
      </w:tr>
      <w:tr>
        <w:tc>
          <w:tcPr/>
          <w:p>
            <w:pPr>
              <w:pStyle w:val="Compact"/>
              <w:jc w:val="left"/>
            </w:pPr>
            <w:r>
              <w:rPr>
                <w:sz w:val="17"/>
              </w:rPr>
              <w:t xml:space="preserve">3.0</w:t>
            </w:r>
          </w:p>
        </w:tc>
        <w:tc>
          <w:tcPr/>
          <w:p>
            <w:pPr>
              <w:pStyle w:val="Compact"/>
              <w:jc w:val="right"/>
            </w:pPr>
            <w:r>
              <w:rPr>
                <w:sz w:val="17"/>
              </w:rPr>
              <w:t xml:space="preserve">12,340</w:t>
            </w:r>
          </w:p>
        </w:tc>
        <w:tc>
          <w:tcPr/>
          <w:p>
            <w:pPr>
              <w:pStyle w:val="Compact"/>
              <w:jc w:val="right"/>
            </w:pPr>
            <w:r>
              <w:rPr>
                <w:sz w:val="17"/>
              </w:rPr>
              <w:t xml:space="preserve">0.256%</w:t>
            </w:r>
          </w:p>
        </w:tc>
        <w:tc>
          <w:tcPr/>
          <w:p>
            <w:pPr>
              <w:pStyle w:val="Compact"/>
              <w:jc w:val="right"/>
            </w:pPr>
            <w:r>
              <w:rPr>
                <w:sz w:val="17"/>
              </w:rPr>
              <w:t xml:space="preserve">0.632%</w:t>
            </w:r>
          </w:p>
        </w:tc>
        <w:tc>
          <w:tcPr/>
          <w:p>
            <w:pPr>
              <w:pStyle w:val="Compact"/>
              <w:jc w:val="right"/>
            </w:pPr>
            <w:r>
              <w:rPr>
                <w:sz w:val="17"/>
              </w:rPr>
              <w:t xml:space="preserve">2.47</w:t>
            </w:r>
          </w:p>
        </w:tc>
        <w:tc>
          <w:tcPr/>
          <w:p>
            <w:pPr>
              <w:pStyle w:val="Compact"/>
              <w:jc w:val="right"/>
            </w:pPr>
            <w:r>
              <w:rPr>
                <w:sz w:val="17"/>
              </w:rPr>
              <w:t xml:space="preserve">32</w:t>
            </w:r>
          </w:p>
        </w:tc>
        <w:tc>
          <w:tcPr/>
          <w:p>
            <w:pPr>
              <w:pStyle w:val="Compact"/>
              <w:jc w:val="right"/>
            </w:pPr>
            <w:r>
              <w:rPr>
                <w:sz w:val="17"/>
              </w:rPr>
              <w:t xml:space="preserve">78</w:t>
            </w:r>
          </w:p>
        </w:tc>
      </w:tr>
      <w:tr>
        <w:tc>
          <w:tcPr/>
          <w:p>
            <w:pPr>
              <w:pStyle w:val="Compact"/>
              <w:jc w:val="left"/>
            </w:pPr>
            <w:r>
              <w:rPr>
                <w:sz w:val="17"/>
              </w:rPr>
              <w:t xml:space="preserve">4.0</w:t>
            </w:r>
          </w:p>
        </w:tc>
        <w:tc>
          <w:tcPr/>
          <w:p>
            <w:pPr>
              <w:pStyle w:val="Compact"/>
              <w:jc w:val="right"/>
            </w:pPr>
            <w:r>
              <w:rPr>
                <w:sz w:val="17"/>
              </w:rPr>
              <w:t xml:space="preserve">12,340</w:t>
            </w:r>
          </w:p>
        </w:tc>
        <w:tc>
          <w:tcPr/>
          <w:p>
            <w:pPr>
              <w:pStyle w:val="Compact"/>
              <w:jc w:val="right"/>
            </w:pPr>
            <w:r>
              <w:rPr>
                <w:sz w:val="17"/>
              </w:rPr>
              <w:t xml:space="preserve">0.381%</w:t>
            </w:r>
          </w:p>
        </w:tc>
        <w:tc>
          <w:tcPr/>
          <w:p>
            <w:pPr>
              <w:pStyle w:val="Compact"/>
              <w:jc w:val="right"/>
            </w:pPr>
            <w:r>
              <w:rPr>
                <w:sz w:val="17"/>
              </w:rPr>
              <w:t xml:space="preserve">0.810%</w:t>
            </w:r>
          </w:p>
        </w:tc>
        <w:tc>
          <w:tcPr/>
          <w:p>
            <w:pPr>
              <w:pStyle w:val="Compact"/>
              <w:jc w:val="right"/>
            </w:pPr>
            <w:r>
              <w:rPr>
                <w:sz w:val="17"/>
              </w:rPr>
              <w:t xml:space="preserve">2.13</w:t>
            </w:r>
          </w:p>
        </w:tc>
        <w:tc>
          <w:tcPr/>
          <w:p>
            <w:pPr>
              <w:pStyle w:val="Compact"/>
              <w:jc w:val="right"/>
            </w:pPr>
            <w:r>
              <w:rPr>
                <w:sz w:val="17"/>
              </w:rPr>
              <w:t xml:space="preserve">47</w:t>
            </w:r>
          </w:p>
        </w:tc>
        <w:tc>
          <w:tcPr/>
          <w:p>
            <w:pPr>
              <w:pStyle w:val="Compact"/>
              <w:jc w:val="right"/>
            </w:pPr>
            <w:r>
              <w:rPr>
                <w:sz w:val="17"/>
              </w:rPr>
              <w:t xml:space="preserve">100</w:t>
            </w:r>
          </w:p>
        </w:tc>
      </w:tr>
      <w:tr>
        <w:tc>
          <w:tcPr/>
          <w:p>
            <w:pPr>
              <w:pStyle w:val="Compact"/>
              <w:jc w:val="left"/>
            </w:pPr>
            <w:r>
              <w:rPr>
                <w:sz w:val="17"/>
              </w:rPr>
              <w:t xml:space="preserve">5.0</w:t>
            </w:r>
          </w:p>
        </w:tc>
        <w:tc>
          <w:tcPr/>
          <w:p>
            <w:pPr>
              <w:pStyle w:val="Compact"/>
              <w:jc w:val="right"/>
            </w:pPr>
            <w:r>
              <w:rPr>
                <w:sz w:val="17"/>
              </w:rPr>
              <w:t xml:space="preserve">12,340</w:t>
            </w:r>
          </w:p>
        </w:tc>
        <w:tc>
          <w:tcPr/>
          <w:p>
            <w:pPr>
              <w:pStyle w:val="Compact"/>
              <w:jc w:val="right"/>
            </w:pPr>
            <w:r>
              <w:rPr>
                <w:sz w:val="17"/>
              </w:rPr>
              <w:t xml:space="preserve">0.535%</w:t>
            </w:r>
          </w:p>
        </w:tc>
        <w:tc>
          <w:tcPr/>
          <w:p>
            <w:pPr>
              <w:pStyle w:val="Compact"/>
              <w:jc w:val="right"/>
            </w:pPr>
            <w:r>
              <w:rPr>
                <w:sz w:val="17"/>
              </w:rPr>
              <w:t xml:space="preserve">0.997%</w:t>
            </w:r>
          </w:p>
        </w:tc>
        <w:tc>
          <w:tcPr/>
          <w:p>
            <w:pPr>
              <w:pStyle w:val="Compact"/>
              <w:jc w:val="right"/>
            </w:pPr>
            <w:r>
              <w:rPr>
                <w:sz w:val="17"/>
              </w:rPr>
              <w:t xml:space="preserve">1.86</w:t>
            </w:r>
          </w:p>
        </w:tc>
        <w:tc>
          <w:tcPr/>
          <w:p>
            <w:pPr>
              <w:pStyle w:val="Compact"/>
              <w:jc w:val="right"/>
            </w:pPr>
            <w:r>
              <w:rPr>
                <w:sz w:val="17"/>
              </w:rPr>
              <w:t xml:space="preserve">66</w:t>
            </w:r>
          </w:p>
        </w:tc>
        <w:tc>
          <w:tcPr/>
          <w:p>
            <w:pPr>
              <w:pStyle w:val="Compact"/>
              <w:jc w:val="right"/>
            </w:pPr>
            <w:r>
              <w:rPr>
                <w:sz w:val="17"/>
              </w:rPr>
              <w:t xml:space="preserve">123</w:t>
            </w:r>
          </w:p>
        </w:tc>
      </w:tr>
      <w:tr>
        <w:tc>
          <w:tcPr/>
          <w:p>
            <w:pPr>
              <w:pStyle w:val="Compact"/>
              <w:jc w:val="left"/>
            </w:pPr>
            <w:r>
              <w:rPr>
                <w:sz w:val="17"/>
              </w:rPr>
              <w:t xml:space="preserve">6.0</w:t>
            </w:r>
          </w:p>
        </w:tc>
        <w:tc>
          <w:tcPr/>
          <w:p>
            <w:pPr>
              <w:pStyle w:val="Compact"/>
              <w:jc w:val="right"/>
            </w:pPr>
            <w:r>
              <w:rPr>
                <w:sz w:val="17"/>
              </w:rPr>
              <w:t xml:space="preserve">12,339</w:t>
            </w:r>
          </w:p>
        </w:tc>
        <w:tc>
          <w:tcPr/>
          <w:p>
            <w:pPr>
              <w:pStyle w:val="Compact"/>
              <w:jc w:val="right"/>
            </w:pPr>
            <w:r>
              <w:rPr>
                <w:sz w:val="17"/>
              </w:rPr>
              <w:t xml:space="preserve">0.752%</w:t>
            </w:r>
          </w:p>
        </w:tc>
        <w:tc>
          <w:tcPr/>
          <w:p>
            <w:pPr>
              <w:pStyle w:val="Compact"/>
              <w:jc w:val="right"/>
            </w:pPr>
            <w:r>
              <w:rPr>
                <w:sz w:val="17"/>
              </w:rPr>
              <w:t xml:space="preserve">1.272%</w:t>
            </w:r>
          </w:p>
        </w:tc>
        <w:tc>
          <w:tcPr/>
          <w:p>
            <w:pPr>
              <w:pStyle w:val="Compact"/>
              <w:jc w:val="right"/>
            </w:pPr>
            <w:r>
              <w:rPr>
                <w:sz w:val="17"/>
              </w:rPr>
              <w:t xml:space="preserve">1.69</w:t>
            </w:r>
          </w:p>
        </w:tc>
        <w:tc>
          <w:tcPr/>
          <w:p>
            <w:pPr>
              <w:pStyle w:val="Compact"/>
              <w:jc w:val="right"/>
            </w:pPr>
            <w:r>
              <w:rPr>
                <w:sz w:val="17"/>
              </w:rPr>
              <w:t xml:space="preserve">93</w:t>
            </w:r>
          </w:p>
        </w:tc>
        <w:tc>
          <w:tcPr/>
          <w:p>
            <w:pPr>
              <w:pStyle w:val="Compact"/>
              <w:jc w:val="right"/>
            </w:pPr>
            <w:r>
              <w:rPr>
                <w:sz w:val="17"/>
              </w:rPr>
              <w:t xml:space="preserve">157</w:t>
            </w:r>
          </w:p>
        </w:tc>
      </w:tr>
      <w:tr>
        <w:tc>
          <w:tcPr/>
          <w:p>
            <w:pPr>
              <w:pStyle w:val="Compact"/>
              <w:jc w:val="left"/>
            </w:pPr>
            <w:r>
              <w:rPr>
                <w:sz w:val="17"/>
              </w:rPr>
              <w:t xml:space="preserve">7.0</w:t>
            </w:r>
          </w:p>
        </w:tc>
        <w:tc>
          <w:tcPr/>
          <w:p>
            <w:pPr>
              <w:pStyle w:val="Compact"/>
              <w:jc w:val="right"/>
            </w:pPr>
            <w:r>
              <w:rPr>
                <w:sz w:val="17"/>
              </w:rPr>
              <w:t xml:space="preserve">12,339</w:t>
            </w:r>
          </w:p>
        </w:tc>
        <w:tc>
          <w:tcPr/>
          <w:p>
            <w:pPr>
              <w:pStyle w:val="Compact"/>
              <w:jc w:val="right"/>
            </w:pPr>
            <w:r>
              <w:rPr>
                <w:sz w:val="17"/>
              </w:rPr>
              <w:t xml:space="preserve">1.083%</w:t>
            </w:r>
          </w:p>
        </w:tc>
        <w:tc>
          <w:tcPr/>
          <w:p>
            <w:pPr>
              <w:pStyle w:val="Compact"/>
              <w:jc w:val="right"/>
            </w:pPr>
            <w:r>
              <w:rPr>
                <w:sz w:val="17"/>
              </w:rPr>
              <w:t xml:space="preserve">1.670%</w:t>
            </w:r>
          </w:p>
        </w:tc>
        <w:tc>
          <w:tcPr/>
          <w:p>
            <w:pPr>
              <w:pStyle w:val="Compact"/>
              <w:jc w:val="right"/>
            </w:pPr>
            <w:r>
              <w:rPr>
                <w:sz w:val="17"/>
              </w:rPr>
              <w:t xml:space="preserve">1.54</w:t>
            </w:r>
          </w:p>
        </w:tc>
        <w:tc>
          <w:tcPr/>
          <w:p>
            <w:pPr>
              <w:pStyle w:val="Compact"/>
              <w:jc w:val="right"/>
            </w:pPr>
            <w:r>
              <w:rPr>
                <w:sz w:val="17"/>
              </w:rPr>
              <w:t xml:space="preserve">134</w:t>
            </w:r>
          </w:p>
        </w:tc>
        <w:tc>
          <w:tcPr/>
          <w:p>
            <w:pPr>
              <w:pStyle w:val="Compact"/>
              <w:jc w:val="right"/>
            </w:pPr>
            <w:r>
              <w:rPr>
                <w:sz w:val="17"/>
              </w:rPr>
              <w:t xml:space="preserve">206</w:t>
            </w:r>
          </w:p>
        </w:tc>
      </w:tr>
      <w:tr>
        <w:tc>
          <w:tcPr/>
          <w:p>
            <w:pPr>
              <w:pStyle w:val="Compact"/>
              <w:jc w:val="left"/>
            </w:pPr>
            <w:r>
              <w:rPr>
                <w:sz w:val="17"/>
              </w:rPr>
              <w:t xml:space="preserve">8.0</w:t>
            </w:r>
          </w:p>
        </w:tc>
        <w:tc>
          <w:tcPr/>
          <w:p>
            <w:pPr>
              <w:pStyle w:val="Compact"/>
              <w:jc w:val="right"/>
            </w:pPr>
            <w:r>
              <w:rPr>
                <w:sz w:val="17"/>
              </w:rPr>
              <w:t xml:space="preserve">12,339</w:t>
            </w:r>
          </w:p>
        </w:tc>
        <w:tc>
          <w:tcPr/>
          <w:p>
            <w:pPr>
              <w:pStyle w:val="Compact"/>
              <w:jc w:val="right"/>
            </w:pPr>
            <w:r>
              <w:rPr>
                <w:sz w:val="17"/>
              </w:rPr>
              <w:t xml:space="preserve">1.636%</w:t>
            </w:r>
          </w:p>
        </w:tc>
        <w:tc>
          <w:tcPr/>
          <w:p>
            <w:pPr>
              <w:pStyle w:val="Compact"/>
              <w:jc w:val="right"/>
            </w:pPr>
            <w:r>
              <w:rPr>
                <w:sz w:val="17"/>
              </w:rPr>
              <w:t xml:space="preserve">2.520%</w:t>
            </w:r>
          </w:p>
        </w:tc>
        <w:tc>
          <w:tcPr/>
          <w:p>
            <w:pPr>
              <w:pStyle w:val="Compact"/>
              <w:jc w:val="right"/>
            </w:pPr>
            <w:r>
              <w:rPr>
                <w:sz w:val="17"/>
              </w:rPr>
              <w:t xml:space="preserve">1.54</w:t>
            </w:r>
          </w:p>
        </w:tc>
        <w:tc>
          <w:tcPr/>
          <w:p>
            <w:pPr>
              <w:pStyle w:val="Compact"/>
              <w:jc w:val="right"/>
            </w:pPr>
            <w:r>
              <w:rPr>
                <w:sz w:val="17"/>
              </w:rPr>
              <w:t xml:space="preserve">202</w:t>
            </w:r>
          </w:p>
        </w:tc>
        <w:tc>
          <w:tcPr/>
          <w:p>
            <w:pPr>
              <w:pStyle w:val="Compact"/>
              <w:jc w:val="right"/>
            </w:pPr>
            <w:r>
              <w:rPr>
                <w:sz w:val="17"/>
              </w:rPr>
              <w:t xml:space="preserve">311</w:t>
            </w:r>
          </w:p>
        </w:tc>
      </w:tr>
      <w:tr>
        <w:tc>
          <w:tcPr/>
          <w:p>
            <w:pPr>
              <w:pStyle w:val="Compact"/>
              <w:jc w:val="left"/>
            </w:pPr>
            <w:r>
              <w:rPr>
                <w:sz w:val="17"/>
              </w:rPr>
              <w:t xml:space="preserve">9.0</w:t>
            </w:r>
          </w:p>
        </w:tc>
        <w:tc>
          <w:tcPr/>
          <w:p>
            <w:pPr>
              <w:pStyle w:val="Compact"/>
              <w:jc w:val="right"/>
            </w:pPr>
            <w:r>
              <w:rPr>
                <w:sz w:val="17"/>
              </w:rPr>
              <w:t xml:space="preserve">12,339</w:t>
            </w:r>
          </w:p>
        </w:tc>
        <w:tc>
          <w:tcPr/>
          <w:p>
            <w:pPr>
              <w:pStyle w:val="Compact"/>
              <w:jc w:val="right"/>
            </w:pPr>
            <w:r>
              <w:rPr>
                <w:sz w:val="17"/>
              </w:rPr>
              <w:t xml:space="preserve">2.733%</w:t>
            </w:r>
          </w:p>
        </w:tc>
        <w:tc>
          <w:tcPr/>
          <w:p>
            <w:pPr>
              <w:pStyle w:val="Compact"/>
              <w:jc w:val="right"/>
            </w:pPr>
            <w:r>
              <w:rPr>
                <w:sz w:val="17"/>
              </w:rPr>
              <w:t xml:space="preserve">3.282%</w:t>
            </w:r>
          </w:p>
        </w:tc>
        <w:tc>
          <w:tcPr/>
          <w:p>
            <w:pPr>
              <w:pStyle w:val="Compact"/>
              <w:jc w:val="right"/>
            </w:pPr>
            <w:r>
              <w:rPr>
                <w:sz w:val="17"/>
              </w:rPr>
              <w:t xml:space="preserve">1.20</w:t>
            </w:r>
          </w:p>
        </w:tc>
        <w:tc>
          <w:tcPr/>
          <w:p>
            <w:pPr>
              <w:pStyle w:val="Compact"/>
              <w:jc w:val="right"/>
            </w:pPr>
            <w:r>
              <w:rPr>
                <w:sz w:val="17"/>
              </w:rPr>
              <w:t xml:space="preserve">337</w:t>
            </w:r>
          </w:p>
        </w:tc>
        <w:tc>
          <w:tcPr/>
          <w:p>
            <w:pPr>
              <w:pStyle w:val="Compact"/>
              <w:jc w:val="right"/>
            </w:pPr>
            <w:r>
              <w:rPr>
                <w:sz w:val="17"/>
              </w:rPr>
              <w:t xml:space="preserve">405</w:t>
            </w:r>
          </w:p>
        </w:tc>
      </w:tr>
      <w:tr>
        <w:tc>
          <w:tcPr/>
          <w:p>
            <w:pPr>
              <w:pStyle w:val="Compact"/>
              <w:jc w:val="left"/>
            </w:pPr>
            <w:r>
              <w:rPr>
                <w:sz w:val="17"/>
              </w:rPr>
              <w:t xml:space="preserve">10.0</w:t>
            </w:r>
          </w:p>
        </w:tc>
        <w:tc>
          <w:tcPr/>
          <w:p>
            <w:pPr>
              <w:pStyle w:val="Compact"/>
              <w:jc w:val="right"/>
            </w:pPr>
            <w:r>
              <w:rPr>
                <w:sz w:val="17"/>
              </w:rPr>
              <w:t xml:space="preserve">12,339</w:t>
            </w:r>
          </w:p>
        </w:tc>
        <w:tc>
          <w:tcPr/>
          <w:p>
            <w:pPr>
              <w:pStyle w:val="Compact"/>
              <w:jc w:val="right"/>
            </w:pPr>
            <w:r>
              <w:rPr>
                <w:sz w:val="17"/>
              </w:rPr>
              <w:t xml:space="preserve">11.427%</w:t>
            </w:r>
          </w:p>
        </w:tc>
        <w:tc>
          <w:tcPr/>
          <w:p>
            <w:pPr>
              <w:pStyle w:val="Compact"/>
              <w:jc w:val="right"/>
            </w:pPr>
            <w:r>
              <w:rPr>
                <w:sz w:val="17"/>
              </w:rPr>
              <w:t xml:space="preserve">11.524%</w:t>
            </w:r>
          </w:p>
        </w:tc>
        <w:tc>
          <w:tcPr/>
          <w:p>
            <w:pPr>
              <w:pStyle w:val="Compact"/>
              <w:jc w:val="right"/>
            </w:pPr>
            <w:r>
              <w:rPr>
                <w:sz w:val="17"/>
              </w:rPr>
              <w:t xml:space="preserve">1.01</w:t>
            </w:r>
          </w:p>
        </w:tc>
        <w:tc>
          <w:tcPr/>
          <w:p>
            <w:pPr>
              <w:pStyle w:val="Compact"/>
              <w:jc w:val="right"/>
            </w:pPr>
            <w:r>
              <w:rPr>
                <w:sz w:val="17"/>
              </w:rPr>
              <w:t xml:space="preserve">1,410</w:t>
            </w:r>
          </w:p>
        </w:tc>
        <w:tc>
          <w:tcPr/>
          <w:p>
            <w:pPr>
              <w:pStyle w:val="Compact"/>
              <w:jc w:val="right"/>
            </w:pPr>
            <w:r>
              <w:rPr>
                <w:sz w:val="17"/>
              </w:rPr>
              <w:t xml:space="preserve">1,422</w:t>
            </w:r>
          </w:p>
        </w:tc>
      </w:tr>
    </w:tbl>
    <w:p>
      <w:pPr>
        <w:pStyle w:val="BodyText"/>
      </w:pPr>
      <w:r>
        <w:rPr>
          <w:b/>
          <w:bCs/>
        </w:rPr>
        <w:t xml:space="preserve">The models under-predict the level of default.</w:t>
      </w:r>
      <w:r>
        <w:t xml:space="preserve"> </w:t>
      </w:r>
      <w:r>
        <w:t xml:space="preserve">The out-of-time observed rate is 2.32% against a mean LightGBM prediction of 1.90% (a ratio of 1.22; XGBoost 1.25, scorecard 1.34). The top bin is almost exactly right (ratio 1.01) but the middle bins are low by a third or more (ratio 1.54 in bin 8). That pattern points to three causes that together explain the bias:</w:t>
      </w:r>
    </w:p>
    <w:p>
      <w:pPr>
        <w:pStyle w:val="Compact"/>
        <w:numPr>
          <w:ilvl w:val="0"/>
          <w:numId w:val="1005"/>
        </w:numPr>
      </w:pPr>
      <w:r>
        <w:rPr>
          <w:b/>
          <w:bCs/>
        </w:rPr>
        <w:t xml:space="preserve">Calibration-window mismatch.</w:t>
      </w:r>
      <w:r>
        <w:t xml:space="preserve"> </w:t>
      </w:r>
      <w:r>
        <w:t xml:space="preserve">The calibrator is fitted on the second half of 2018 where the observed 12-month default rate is only 1.30%, against 2.00% in training and 2.32% out-of-time (3.85% for 2020 snapshots alone). A calibration map learned in a benign window carries that level forward.</w:t>
      </w:r>
    </w:p>
    <w:p>
      <w:pPr>
        <w:pStyle w:val="Compact"/>
        <w:numPr>
          <w:ilvl w:val="0"/>
          <w:numId w:val="1005"/>
        </w:numPr>
      </w:pPr>
      <w:r>
        <w:rPr>
          <w:b/>
          <w:bCs/>
        </w:rPr>
        <w:t xml:space="preserve">Macro conditions outside the training range.</w:t>
      </w:r>
      <w:r>
        <w:t xml:space="preserve"> </w:t>
      </w:r>
      <w:r>
        <w:t xml:space="preserve">State unemployment in the training snapshots ranges over 4.0 to 8.6 percent but over 3.3 to 10.0 in the OOT window; trees return a constant beyond the edge of the training data, so the 2020 spike is under-weighted (section 10.4 shows the same mechanism).</w:t>
      </w:r>
    </w:p>
    <w:p>
      <w:pPr>
        <w:pStyle w:val="Compact"/>
        <w:numPr>
          <w:ilvl w:val="0"/>
          <w:numId w:val="1005"/>
        </w:numPr>
      </w:pPr>
      <w:r>
        <w:rPr>
          <w:b/>
          <w:bCs/>
        </w:rPr>
        <w:t xml:space="preserve">Competing risk in the label.</w:t>
      </w:r>
      <w:r>
        <w:t xml:space="preserve"> </w:t>
      </w:r>
      <w:r>
        <w:t xml:space="preserve">Because prepayment counts as "no default", a regime with faster prepayment removes loans before they can default, and that varies by period.</w:t>
      </w:r>
    </w:p>
    <w:p>
      <w:pPr>
        <w:pStyle w:val="FirstParagraph"/>
      </w:pPr>
      <w:r>
        <w:t xml:space="preserve">This is the type of finding a model validator would flag as a finding requiring remediation (for example recalibrating on a recent window or adding a macro overlay) before the PD could be used as a level estimate. The ranking power is not affected.</w:t>
      </w:r>
    </w:p>
    <w:bookmarkEnd w:id="65"/>
    <w:bookmarkStart w:id="69" w:name="stability-by-vintage-and-by-segment"/>
    <w:p>
      <w:pPr>
        <w:pStyle w:val="Heading2"/>
      </w:pPr>
      <w:r>
        <w:rPr>
          <w:rStyle w:val="SectionNumber"/>
        </w:rPr>
        <w:t xml:space="preserve">8.4</w:t>
      </w:r>
      <w:r>
        <w:tab/>
      </w:r>
      <w:r>
        <w:t xml:space="preserve">Stability by vintage and by segment</w:t>
      </w:r>
    </w:p>
    <w:p>
      <w:pPr>
        <w:pStyle w:val="CaptionedFigure"/>
      </w:pPr>
      <w:r>
        <w:drawing>
          <wp:inline>
            <wp:extent cx="4000500" cy="1800225"/>
            <wp:effectExtent b="0" l="0" r="0" t="0"/>
            <wp:docPr descr="LightGBM out-of-time AUC by origination vintage." title="" id="67" name="Picture"/>
            <a:graphic>
              <a:graphicData uri="http://schemas.openxmlformats.org/drawingml/2006/picture">
                <pic:pic>
                  <pic:nvPicPr>
                    <pic:cNvPr descr="../python/outputs/charts/stability_vintage.png" id="68" name="Picture"/>
                    <pic:cNvPicPr>
                      <a:picLocks noChangeArrowheads="1" noChangeAspect="1"/>
                    </pic:cNvPicPr>
                  </pic:nvPicPr>
                  <pic:blipFill>
                    <a:blip r:embed="rId66"/>
                    <a:stretch>
                      <a:fillRect/>
                    </a:stretch>
                  </pic:blipFill>
                  <pic:spPr bwMode="auto">
                    <a:xfrm>
                      <a:off x="0" y="0"/>
                      <a:ext cx="4000500" cy="1800225"/>
                    </a:xfrm>
                    <a:prstGeom prst="rect">
                      <a:avLst/>
                    </a:prstGeom>
                    <a:noFill/>
                    <a:ln w="9525">
                      <a:noFill/>
                      <a:headEnd/>
                      <a:tailEnd/>
                    </a:ln>
                  </pic:spPr>
                </pic:pic>
              </a:graphicData>
            </a:graphic>
          </wp:inline>
        </w:drawing>
      </w:r>
    </w:p>
    <w:p>
      <w:pPr>
        <w:pStyle w:val="ImageCaption"/>
      </w:pPr>
      <w:r>
        <w:t xml:space="preserve">LightGBM out-of-time AUC by origination vintage.</w:t>
      </w:r>
    </w:p>
    <w:p>
      <w:pPr>
        <w:pStyle w:val="TableCaption"/>
      </w:pPr>
      <w:r>
        <w:t xml:space="preserve">LightGBM out-of-time performance by origination vintage.</w:t>
      </w:r>
    </w:p>
    <w:tbl>
      <w:tblPr>
        <w:tblStyle w:val="Table"/>
        <w:tblW w:type="pct" w:w="5000"/>
        <w:tblLayout w:type="fixed"/>
        <w:tblLook w:firstRow="1" w:lastRow="0" w:firstColumn="0" w:lastColumn="0" w:noHBand="0" w:noVBand="0" w:val="0020"/>
        <w:tblCaption w:val="LightGBM out-of-time performance by origination vintag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66"/>
        <w:gridCol w:w="1168"/>
        <w:gridCol w:w="1038"/>
        <w:gridCol w:w="1687"/>
        <w:gridCol w:w="908"/>
        <w:gridCol w:w="649"/>
      </w:tblGrid>
      <w:tr>
        <w:trPr>
          <w:tblHeader w:val="on"/>
        </w:trPr>
        <w:tc>
          <w:tcPr/>
          <w:p>
            <w:pPr>
              <w:pStyle w:val="Compact"/>
              <w:jc w:val="left"/>
            </w:pPr>
            <w:r>
              <w:rPr>
                <w:sz w:val="17"/>
              </w:rPr>
              <w:t xml:space="preserve">Origination vintage</w:t>
            </w:r>
          </w:p>
        </w:tc>
        <w:tc>
          <w:tcPr/>
          <w:p>
            <w:pPr>
              <w:pStyle w:val="Compact"/>
              <w:jc w:val="right"/>
            </w:pPr>
            <w:r>
              <w:rPr>
                <w:sz w:val="17"/>
              </w:rPr>
              <w:t xml:space="preserve">Snapshots</w:t>
            </w:r>
          </w:p>
        </w:tc>
        <w:tc>
          <w:tcPr/>
          <w:p>
            <w:pPr>
              <w:pStyle w:val="Compact"/>
              <w:jc w:val="right"/>
            </w:pPr>
            <w:r>
              <w:rPr>
                <w:sz w:val="17"/>
              </w:rPr>
              <w:t xml:space="preserve">Defaults</w:t>
            </w:r>
          </w:p>
        </w:tc>
        <w:tc>
          <w:tcPr/>
          <w:p>
            <w:pPr>
              <w:pStyle w:val="Compact"/>
              <w:jc w:val="right"/>
            </w:pPr>
            <w:r>
              <w:rPr>
                <w:sz w:val="17"/>
              </w:rPr>
              <w:t xml:space="preserve">Observed rate</w:t>
            </w:r>
          </w:p>
        </w:tc>
        <w:tc>
          <w:tcPr/>
          <w:p>
            <w:pPr>
              <w:pStyle w:val="Compact"/>
              <w:jc w:val="right"/>
            </w:pPr>
            <w:r>
              <w:rPr>
                <w:sz w:val="17"/>
              </w:rPr>
              <w:t xml:space="preserve">Mean PD</w:t>
            </w:r>
          </w:p>
        </w:tc>
        <w:tc>
          <w:tcPr/>
          <w:p>
            <w:pPr>
              <w:pStyle w:val="Compact"/>
              <w:jc w:val="right"/>
            </w:pPr>
            <w:r>
              <w:rPr>
                <w:sz w:val="17"/>
              </w:rPr>
              <w:t xml:space="preserve">AUC</w:t>
            </w:r>
          </w:p>
        </w:tc>
      </w:tr>
      <w:tr>
        <w:tc>
          <w:tcPr/>
          <w:p>
            <w:pPr>
              <w:pStyle w:val="Compact"/>
              <w:jc w:val="left"/>
            </w:pPr>
            <w:r>
              <w:rPr>
                <w:sz w:val="17"/>
              </w:rPr>
              <w:t xml:space="preserve">2012.0</w:t>
            </w:r>
          </w:p>
        </w:tc>
        <w:tc>
          <w:tcPr/>
          <w:p>
            <w:pPr>
              <w:pStyle w:val="Compact"/>
              <w:jc w:val="right"/>
            </w:pPr>
            <w:r>
              <w:rPr>
                <w:sz w:val="17"/>
              </w:rPr>
              <w:t xml:space="preserve">3,272</w:t>
            </w:r>
          </w:p>
        </w:tc>
        <w:tc>
          <w:tcPr/>
          <w:p>
            <w:pPr>
              <w:pStyle w:val="Compact"/>
              <w:jc w:val="right"/>
            </w:pPr>
            <w:r>
              <w:rPr>
                <w:sz w:val="17"/>
              </w:rPr>
              <w:t xml:space="preserve">47</w:t>
            </w:r>
          </w:p>
        </w:tc>
        <w:tc>
          <w:tcPr/>
          <w:p>
            <w:pPr>
              <w:pStyle w:val="Compact"/>
              <w:jc w:val="right"/>
            </w:pPr>
            <w:r>
              <w:rPr>
                <w:sz w:val="17"/>
              </w:rPr>
              <w:t xml:space="preserve">1.44%</w:t>
            </w:r>
          </w:p>
        </w:tc>
        <w:tc>
          <w:tcPr/>
          <w:p>
            <w:pPr>
              <w:pStyle w:val="Compact"/>
              <w:jc w:val="right"/>
            </w:pPr>
            <w:r>
              <w:rPr>
                <w:sz w:val="17"/>
              </w:rPr>
              <w:t xml:space="preserve">1.15%</w:t>
            </w:r>
          </w:p>
        </w:tc>
        <w:tc>
          <w:tcPr/>
          <w:p>
            <w:pPr>
              <w:pStyle w:val="Compact"/>
              <w:jc w:val="right"/>
            </w:pPr>
            <w:r>
              <w:rPr>
                <w:sz w:val="17"/>
              </w:rPr>
              <w:t xml:space="preserve">0.798</w:t>
            </w:r>
          </w:p>
        </w:tc>
      </w:tr>
      <w:tr>
        <w:tc>
          <w:tcPr/>
          <w:p>
            <w:pPr>
              <w:pStyle w:val="Compact"/>
              <w:jc w:val="left"/>
            </w:pPr>
            <w:r>
              <w:rPr>
                <w:sz w:val="17"/>
              </w:rPr>
              <w:t xml:space="preserve">2013.0</w:t>
            </w:r>
          </w:p>
        </w:tc>
        <w:tc>
          <w:tcPr/>
          <w:p>
            <w:pPr>
              <w:pStyle w:val="Compact"/>
              <w:jc w:val="right"/>
            </w:pPr>
            <w:r>
              <w:rPr>
                <w:sz w:val="17"/>
              </w:rPr>
              <w:t xml:space="preserve">4,120</w:t>
            </w:r>
          </w:p>
        </w:tc>
        <w:tc>
          <w:tcPr/>
          <w:p>
            <w:pPr>
              <w:pStyle w:val="Compact"/>
              <w:jc w:val="right"/>
            </w:pPr>
            <w:r>
              <w:rPr>
                <w:sz w:val="17"/>
              </w:rPr>
              <w:t xml:space="preserve">69</w:t>
            </w:r>
          </w:p>
        </w:tc>
        <w:tc>
          <w:tcPr/>
          <w:p>
            <w:pPr>
              <w:pStyle w:val="Compact"/>
              <w:jc w:val="right"/>
            </w:pPr>
            <w:r>
              <w:rPr>
                <w:sz w:val="17"/>
              </w:rPr>
              <w:t xml:space="preserve">1.67%</w:t>
            </w:r>
          </w:p>
        </w:tc>
        <w:tc>
          <w:tcPr/>
          <w:p>
            <w:pPr>
              <w:pStyle w:val="Compact"/>
              <w:jc w:val="right"/>
            </w:pPr>
            <w:r>
              <w:rPr>
                <w:sz w:val="17"/>
              </w:rPr>
              <w:t xml:space="preserve">1.29%</w:t>
            </w:r>
          </w:p>
        </w:tc>
        <w:tc>
          <w:tcPr/>
          <w:p>
            <w:pPr>
              <w:pStyle w:val="Compact"/>
              <w:jc w:val="right"/>
            </w:pPr>
            <w:r>
              <w:rPr>
                <w:sz w:val="17"/>
              </w:rPr>
              <w:t xml:space="preserve">0.795</w:t>
            </w:r>
          </w:p>
        </w:tc>
      </w:tr>
      <w:tr>
        <w:tc>
          <w:tcPr/>
          <w:p>
            <w:pPr>
              <w:pStyle w:val="Compact"/>
              <w:jc w:val="left"/>
            </w:pPr>
            <w:r>
              <w:rPr>
                <w:sz w:val="17"/>
              </w:rPr>
              <w:t xml:space="preserve">2014.0</w:t>
            </w:r>
          </w:p>
        </w:tc>
        <w:tc>
          <w:tcPr/>
          <w:p>
            <w:pPr>
              <w:pStyle w:val="Compact"/>
              <w:jc w:val="right"/>
            </w:pPr>
            <w:r>
              <w:rPr>
                <w:sz w:val="17"/>
              </w:rPr>
              <w:t xml:space="preserve">6,566</w:t>
            </w:r>
          </w:p>
        </w:tc>
        <w:tc>
          <w:tcPr/>
          <w:p>
            <w:pPr>
              <w:pStyle w:val="Compact"/>
              <w:jc w:val="right"/>
            </w:pPr>
            <w:r>
              <w:rPr>
                <w:sz w:val="17"/>
              </w:rPr>
              <w:t xml:space="preserve">87</w:t>
            </w:r>
          </w:p>
        </w:tc>
        <w:tc>
          <w:tcPr/>
          <w:p>
            <w:pPr>
              <w:pStyle w:val="Compact"/>
              <w:jc w:val="right"/>
            </w:pPr>
            <w:r>
              <w:rPr>
                <w:sz w:val="17"/>
              </w:rPr>
              <w:t xml:space="preserve">1.33%</w:t>
            </w:r>
          </w:p>
        </w:tc>
        <w:tc>
          <w:tcPr/>
          <w:p>
            <w:pPr>
              <w:pStyle w:val="Compact"/>
              <w:jc w:val="right"/>
            </w:pPr>
            <w:r>
              <w:rPr>
                <w:sz w:val="17"/>
              </w:rPr>
              <w:t xml:space="preserve">1.03%</w:t>
            </w:r>
          </w:p>
        </w:tc>
        <w:tc>
          <w:tcPr/>
          <w:p>
            <w:pPr>
              <w:pStyle w:val="Compact"/>
              <w:jc w:val="right"/>
            </w:pPr>
            <w:r>
              <w:rPr>
                <w:sz w:val="17"/>
              </w:rPr>
              <w:t xml:space="preserve">0.775</w:t>
            </w:r>
          </w:p>
        </w:tc>
      </w:tr>
      <w:tr>
        <w:tc>
          <w:tcPr/>
          <w:p>
            <w:pPr>
              <w:pStyle w:val="Compact"/>
              <w:jc w:val="left"/>
            </w:pPr>
            <w:r>
              <w:rPr>
                <w:sz w:val="17"/>
              </w:rPr>
              <w:t xml:space="preserve">2015.0</w:t>
            </w:r>
          </w:p>
        </w:tc>
        <w:tc>
          <w:tcPr/>
          <w:p>
            <w:pPr>
              <w:pStyle w:val="Compact"/>
              <w:jc w:val="right"/>
            </w:pPr>
            <w:r>
              <w:rPr>
                <w:sz w:val="17"/>
              </w:rPr>
              <w:t xml:space="preserve">5,527</w:t>
            </w:r>
          </w:p>
        </w:tc>
        <w:tc>
          <w:tcPr/>
          <w:p>
            <w:pPr>
              <w:pStyle w:val="Compact"/>
              <w:jc w:val="right"/>
            </w:pPr>
            <w:r>
              <w:rPr>
                <w:sz w:val="17"/>
              </w:rPr>
              <w:t xml:space="preserve">92</w:t>
            </w:r>
          </w:p>
        </w:tc>
        <w:tc>
          <w:tcPr/>
          <w:p>
            <w:pPr>
              <w:pStyle w:val="Compact"/>
              <w:jc w:val="right"/>
            </w:pPr>
            <w:r>
              <w:rPr>
                <w:sz w:val="17"/>
              </w:rPr>
              <w:t xml:space="preserve">1.66%</w:t>
            </w:r>
          </w:p>
        </w:tc>
        <w:tc>
          <w:tcPr/>
          <w:p>
            <w:pPr>
              <w:pStyle w:val="Compact"/>
              <w:jc w:val="right"/>
            </w:pPr>
            <w:r>
              <w:rPr>
                <w:sz w:val="17"/>
              </w:rPr>
              <w:t xml:space="preserve">1.49%</w:t>
            </w:r>
          </w:p>
        </w:tc>
        <w:tc>
          <w:tcPr/>
          <w:p>
            <w:pPr>
              <w:pStyle w:val="Compact"/>
              <w:jc w:val="right"/>
            </w:pPr>
            <w:r>
              <w:rPr>
                <w:sz w:val="17"/>
              </w:rPr>
              <w:t xml:space="preserve">0.779</w:t>
            </w:r>
          </w:p>
        </w:tc>
      </w:tr>
      <w:tr>
        <w:tc>
          <w:tcPr/>
          <w:p>
            <w:pPr>
              <w:pStyle w:val="Compact"/>
              <w:jc w:val="left"/>
            </w:pPr>
            <w:r>
              <w:rPr>
                <w:sz w:val="17"/>
              </w:rPr>
              <w:t xml:space="preserve">2016.0</w:t>
            </w:r>
          </w:p>
        </w:tc>
        <w:tc>
          <w:tcPr/>
          <w:p>
            <w:pPr>
              <w:pStyle w:val="Compact"/>
              <w:jc w:val="right"/>
            </w:pPr>
            <w:r>
              <w:rPr>
                <w:sz w:val="17"/>
              </w:rPr>
              <w:t xml:space="preserve">9,209</w:t>
            </w:r>
          </w:p>
        </w:tc>
        <w:tc>
          <w:tcPr/>
          <w:p>
            <w:pPr>
              <w:pStyle w:val="Compact"/>
              <w:jc w:val="right"/>
            </w:pPr>
            <w:r>
              <w:rPr>
                <w:sz w:val="17"/>
              </w:rPr>
              <w:t xml:space="preserve">229</w:t>
            </w:r>
          </w:p>
        </w:tc>
        <w:tc>
          <w:tcPr/>
          <w:p>
            <w:pPr>
              <w:pStyle w:val="Compact"/>
              <w:jc w:val="right"/>
            </w:pPr>
            <w:r>
              <w:rPr>
                <w:sz w:val="17"/>
              </w:rPr>
              <w:t xml:space="preserve">2.49%</w:t>
            </w:r>
          </w:p>
        </w:tc>
        <w:tc>
          <w:tcPr/>
          <w:p>
            <w:pPr>
              <w:pStyle w:val="Compact"/>
              <w:jc w:val="right"/>
            </w:pPr>
            <w:r>
              <w:rPr>
                <w:sz w:val="17"/>
              </w:rPr>
              <w:t xml:space="preserve">1.52%</w:t>
            </w:r>
          </w:p>
        </w:tc>
        <w:tc>
          <w:tcPr/>
          <w:p>
            <w:pPr>
              <w:pStyle w:val="Compact"/>
              <w:jc w:val="right"/>
            </w:pPr>
            <w:r>
              <w:rPr>
                <w:sz w:val="17"/>
              </w:rPr>
              <w:t xml:space="preserve">0.764</w:t>
            </w:r>
          </w:p>
        </w:tc>
      </w:tr>
      <w:tr>
        <w:tc>
          <w:tcPr/>
          <w:p>
            <w:pPr>
              <w:pStyle w:val="Compact"/>
              <w:jc w:val="left"/>
            </w:pPr>
            <w:r>
              <w:rPr>
                <w:sz w:val="17"/>
              </w:rPr>
              <w:t xml:space="preserve">2017.0</w:t>
            </w:r>
          </w:p>
        </w:tc>
        <w:tc>
          <w:tcPr/>
          <w:p>
            <w:pPr>
              <w:pStyle w:val="Compact"/>
              <w:jc w:val="right"/>
            </w:pPr>
            <w:r>
              <w:rPr>
                <w:sz w:val="17"/>
              </w:rPr>
              <w:t xml:space="preserve">10,894</w:t>
            </w:r>
          </w:p>
        </w:tc>
        <w:tc>
          <w:tcPr/>
          <w:p>
            <w:pPr>
              <w:pStyle w:val="Compact"/>
              <w:jc w:val="right"/>
            </w:pPr>
            <w:r>
              <w:rPr>
                <w:sz w:val="17"/>
              </w:rPr>
              <w:t xml:space="preserve">283</w:t>
            </w:r>
          </w:p>
        </w:tc>
        <w:tc>
          <w:tcPr/>
          <w:p>
            <w:pPr>
              <w:pStyle w:val="Compact"/>
              <w:jc w:val="right"/>
            </w:pPr>
            <w:r>
              <w:rPr>
                <w:sz w:val="17"/>
              </w:rPr>
              <w:t xml:space="preserve">2.60%</w:t>
            </w:r>
          </w:p>
        </w:tc>
        <w:tc>
          <w:tcPr/>
          <w:p>
            <w:pPr>
              <w:pStyle w:val="Compact"/>
              <w:jc w:val="right"/>
            </w:pPr>
            <w:r>
              <w:rPr>
                <w:sz w:val="17"/>
              </w:rPr>
              <w:t xml:space="preserve">1.88%</w:t>
            </w:r>
          </w:p>
        </w:tc>
        <w:tc>
          <w:tcPr/>
          <w:p>
            <w:pPr>
              <w:pStyle w:val="Compact"/>
              <w:jc w:val="right"/>
            </w:pPr>
            <w:r>
              <w:rPr>
                <w:sz w:val="17"/>
              </w:rPr>
              <w:t xml:space="preserve">0.783</w:t>
            </w:r>
          </w:p>
        </w:tc>
      </w:tr>
      <w:tr>
        <w:tc>
          <w:tcPr/>
          <w:p>
            <w:pPr>
              <w:pStyle w:val="Compact"/>
              <w:jc w:val="left"/>
            </w:pPr>
            <w:r>
              <w:rPr>
                <w:sz w:val="17"/>
              </w:rPr>
              <w:t xml:space="preserve">2018.0</w:t>
            </w:r>
          </w:p>
        </w:tc>
        <w:tc>
          <w:tcPr/>
          <w:p>
            <w:pPr>
              <w:pStyle w:val="Compact"/>
              <w:jc w:val="right"/>
            </w:pPr>
            <w:r>
              <w:rPr>
                <w:sz w:val="17"/>
              </w:rPr>
              <w:t xml:space="preserve">12,426</w:t>
            </w:r>
          </w:p>
        </w:tc>
        <w:tc>
          <w:tcPr/>
          <w:p>
            <w:pPr>
              <w:pStyle w:val="Compact"/>
              <w:jc w:val="right"/>
            </w:pPr>
            <w:r>
              <w:rPr>
                <w:sz w:val="17"/>
              </w:rPr>
              <w:t xml:space="preserve">436</w:t>
            </w:r>
          </w:p>
        </w:tc>
        <w:tc>
          <w:tcPr/>
          <w:p>
            <w:pPr>
              <w:pStyle w:val="Compact"/>
              <w:jc w:val="right"/>
            </w:pPr>
            <w:r>
              <w:rPr>
                <w:sz w:val="17"/>
              </w:rPr>
              <w:t xml:space="preserve">3.51%</w:t>
            </w:r>
          </w:p>
        </w:tc>
        <w:tc>
          <w:tcPr/>
          <w:p>
            <w:pPr>
              <w:pStyle w:val="Compact"/>
              <w:jc w:val="right"/>
            </w:pPr>
            <w:r>
              <w:rPr>
                <w:sz w:val="17"/>
              </w:rPr>
              <w:t xml:space="preserve">2.21%</w:t>
            </w:r>
          </w:p>
        </w:tc>
        <w:tc>
          <w:tcPr/>
          <w:p>
            <w:pPr>
              <w:pStyle w:val="Compact"/>
              <w:jc w:val="right"/>
            </w:pPr>
            <w:r>
              <w:rPr>
                <w:sz w:val="17"/>
              </w:rPr>
              <w:t xml:space="preserve">0.798</w:t>
            </w:r>
          </w:p>
        </w:tc>
      </w:tr>
      <w:tr>
        <w:tc>
          <w:tcPr/>
          <w:p>
            <w:pPr>
              <w:pStyle w:val="Compact"/>
              <w:jc w:val="left"/>
            </w:pPr>
            <w:r>
              <w:rPr>
                <w:sz w:val="17"/>
              </w:rPr>
              <w:t xml:space="preserve">2019.0</w:t>
            </w:r>
          </w:p>
        </w:tc>
        <w:tc>
          <w:tcPr/>
          <w:p>
            <w:pPr>
              <w:pStyle w:val="Compact"/>
              <w:jc w:val="right"/>
            </w:pPr>
            <w:r>
              <w:rPr>
                <w:sz w:val="17"/>
              </w:rPr>
              <w:t xml:space="preserve">22,468</w:t>
            </w:r>
          </w:p>
        </w:tc>
        <w:tc>
          <w:tcPr/>
          <w:p>
            <w:pPr>
              <w:pStyle w:val="Compact"/>
              <w:jc w:val="right"/>
            </w:pPr>
            <w:r>
              <w:rPr>
                <w:sz w:val="17"/>
              </w:rPr>
              <w:t xml:space="preserve">670</w:t>
            </w:r>
          </w:p>
        </w:tc>
        <w:tc>
          <w:tcPr/>
          <w:p>
            <w:pPr>
              <w:pStyle w:val="Compact"/>
              <w:jc w:val="right"/>
            </w:pPr>
            <w:r>
              <w:rPr>
                <w:sz w:val="17"/>
              </w:rPr>
              <w:t xml:space="preserve">2.98%</w:t>
            </w:r>
          </w:p>
        </w:tc>
        <w:tc>
          <w:tcPr/>
          <w:p>
            <w:pPr>
              <w:pStyle w:val="Compact"/>
              <w:jc w:val="right"/>
            </w:pPr>
            <w:r>
              <w:rPr>
                <w:sz w:val="17"/>
              </w:rPr>
              <w:t xml:space="preserve">2.19%</w:t>
            </w:r>
          </w:p>
        </w:tc>
        <w:tc>
          <w:tcPr/>
          <w:p>
            <w:pPr>
              <w:pStyle w:val="Compact"/>
              <w:jc w:val="right"/>
            </w:pPr>
            <w:r>
              <w:rPr>
                <w:sz w:val="17"/>
              </w:rPr>
              <w:t xml:space="preserve">0.824</w:t>
            </w:r>
          </w:p>
        </w:tc>
      </w:tr>
      <w:tr>
        <w:tc>
          <w:tcPr/>
          <w:p>
            <w:pPr>
              <w:pStyle w:val="Compact"/>
              <w:jc w:val="left"/>
            </w:pPr>
            <w:r>
              <w:rPr>
                <w:sz w:val="17"/>
              </w:rPr>
              <w:t xml:space="preserve">2020.0</w:t>
            </w:r>
          </w:p>
        </w:tc>
        <w:tc>
          <w:tcPr/>
          <w:p>
            <w:pPr>
              <w:pStyle w:val="Compact"/>
              <w:jc w:val="right"/>
            </w:pPr>
            <w:r>
              <w:rPr>
                <w:sz w:val="17"/>
              </w:rPr>
              <w:t xml:space="preserve">25,768</w:t>
            </w:r>
          </w:p>
        </w:tc>
        <w:tc>
          <w:tcPr/>
          <w:p>
            <w:pPr>
              <w:pStyle w:val="Compact"/>
              <w:jc w:val="right"/>
            </w:pPr>
            <w:r>
              <w:rPr>
                <w:sz w:val="17"/>
              </w:rPr>
              <w:t xml:space="preserve">517</w:t>
            </w:r>
          </w:p>
        </w:tc>
        <w:tc>
          <w:tcPr/>
          <w:p>
            <w:pPr>
              <w:pStyle w:val="Compact"/>
              <w:jc w:val="right"/>
            </w:pPr>
            <w:r>
              <w:rPr>
                <w:sz w:val="17"/>
              </w:rPr>
              <w:t xml:space="preserve">2.01%</w:t>
            </w:r>
          </w:p>
        </w:tc>
        <w:tc>
          <w:tcPr/>
          <w:p>
            <w:pPr>
              <w:pStyle w:val="Compact"/>
              <w:jc w:val="right"/>
            </w:pPr>
            <w:r>
              <w:rPr>
                <w:sz w:val="17"/>
              </w:rPr>
              <w:t xml:space="preserve">2.13%</w:t>
            </w:r>
          </w:p>
        </w:tc>
        <w:tc>
          <w:tcPr/>
          <w:p>
            <w:pPr>
              <w:pStyle w:val="Compact"/>
              <w:jc w:val="right"/>
            </w:pPr>
            <w:r>
              <w:rPr>
                <w:sz w:val="17"/>
              </w:rPr>
              <w:t xml:space="preserve">0.820</w:t>
            </w:r>
          </w:p>
        </w:tc>
      </w:tr>
      <w:tr>
        <w:tc>
          <w:tcPr/>
          <w:p>
            <w:pPr>
              <w:pStyle w:val="Compact"/>
              <w:jc w:val="left"/>
            </w:pPr>
            <w:r>
              <w:rPr>
                <w:sz w:val="17"/>
              </w:rPr>
              <w:t xml:space="preserve">2021.0</w:t>
            </w:r>
          </w:p>
        </w:tc>
        <w:tc>
          <w:tcPr/>
          <w:p>
            <w:pPr>
              <w:pStyle w:val="Compact"/>
              <w:jc w:val="right"/>
            </w:pPr>
            <w:r>
              <w:rPr>
                <w:sz w:val="17"/>
              </w:rPr>
              <w:t xml:space="preserve">23,145</w:t>
            </w:r>
          </w:p>
        </w:tc>
        <w:tc>
          <w:tcPr/>
          <w:p>
            <w:pPr>
              <w:pStyle w:val="Compact"/>
              <w:jc w:val="right"/>
            </w:pPr>
            <w:r>
              <w:rPr>
                <w:sz w:val="17"/>
              </w:rPr>
              <w:t xml:space="preserve">433</w:t>
            </w:r>
          </w:p>
        </w:tc>
        <w:tc>
          <w:tcPr/>
          <w:p>
            <w:pPr>
              <w:pStyle w:val="Compact"/>
              <w:jc w:val="right"/>
            </w:pPr>
            <w:r>
              <w:rPr>
                <w:sz w:val="17"/>
              </w:rPr>
              <w:t xml:space="preserve">1.87%</w:t>
            </w:r>
          </w:p>
        </w:tc>
        <w:tc>
          <w:tcPr/>
          <w:p>
            <w:pPr>
              <w:pStyle w:val="Compact"/>
              <w:jc w:val="right"/>
            </w:pPr>
            <w:r>
              <w:rPr>
                <w:sz w:val="17"/>
              </w:rPr>
              <w:t xml:space="preserve">1.93%</w:t>
            </w:r>
          </w:p>
        </w:tc>
        <w:tc>
          <w:tcPr/>
          <w:p>
            <w:pPr>
              <w:pStyle w:val="Compact"/>
              <w:jc w:val="right"/>
            </w:pPr>
            <w:r>
              <w:rPr>
                <w:sz w:val="17"/>
              </w:rPr>
              <w:t xml:space="preserve">0.836</w:t>
            </w:r>
          </w:p>
        </w:tc>
      </w:tr>
    </w:tbl>
    <w:p>
      <w:pPr>
        <w:pStyle w:val="BodyText"/>
      </w:pPr>
      <w:r>
        <w:t xml:space="preserve">AUC ranges from 0.764 (vintage 2016) to 0.836, so ranking power is stable across vintages. Level calibration is not uniform: the observed-to-predicted ratio runs from 0.94 (vintage 2020) to 1.64 (vintage 2016), the older vintages being close to calibrated and the middle vintages that were seasoning through 2020 and 2021 being most under-predicted.</w:t>
      </w:r>
    </w:p>
    <w:p>
      <w:pPr>
        <w:pStyle w:val="TableCaption"/>
      </w:pPr>
      <w:r>
        <w:t xml:space="preserve">LightGBM out-of-time performance by FICO band.</w:t>
      </w:r>
    </w:p>
    <w:tbl>
      <w:tblPr>
        <w:tblStyle w:val="Table"/>
        <w:tblW w:type="pct" w:w="5000"/>
        <w:tblLayout w:type="fixed"/>
        <w:tblLook w:firstRow="1" w:lastRow="0" w:firstColumn="0" w:lastColumn="0" w:noHBand="0" w:noVBand="0" w:val="0020"/>
        <w:tblCaption w:val="LightGBM out-of-time performance by FICO ban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28"/>
        <w:gridCol w:w="819"/>
        <w:gridCol w:w="1092"/>
        <w:gridCol w:w="1775"/>
        <w:gridCol w:w="955"/>
        <w:gridCol w:w="2048"/>
      </w:tblGrid>
      <w:tr>
        <w:trPr>
          <w:tblHeader w:val="on"/>
        </w:trPr>
        <w:tc>
          <w:tcPr/>
          <w:p>
            <w:pPr>
              <w:pStyle w:val="Compact"/>
              <w:jc w:val="left"/>
            </w:pPr>
            <w:r>
              <w:rPr>
                <w:sz w:val="17"/>
              </w:rPr>
              <w:t xml:space="preserve">FICO band</w:t>
            </w:r>
          </w:p>
        </w:tc>
        <w:tc>
          <w:tcPr/>
          <w:p>
            <w:pPr>
              <w:pStyle w:val="Compact"/>
              <w:jc w:val="right"/>
            </w:pPr>
            <w:r>
              <w:rPr>
                <w:sz w:val="17"/>
              </w:rPr>
              <w:t xml:space="preserve">Loans</w:t>
            </w:r>
          </w:p>
        </w:tc>
        <w:tc>
          <w:tcPr/>
          <w:p>
            <w:pPr>
              <w:pStyle w:val="Compact"/>
              <w:jc w:val="right"/>
            </w:pPr>
            <w:r>
              <w:rPr>
                <w:sz w:val="17"/>
              </w:rPr>
              <w:t xml:space="preserve">Defaults</w:t>
            </w:r>
          </w:p>
        </w:tc>
        <w:tc>
          <w:tcPr/>
          <w:p>
            <w:pPr>
              <w:pStyle w:val="Compact"/>
              <w:jc w:val="right"/>
            </w:pPr>
            <w:r>
              <w:rPr>
                <w:sz w:val="17"/>
              </w:rPr>
              <w:t xml:space="preserve">Observed rate</w:t>
            </w:r>
          </w:p>
        </w:tc>
        <w:tc>
          <w:tcPr/>
          <w:p>
            <w:pPr>
              <w:pStyle w:val="Compact"/>
              <w:jc w:val="right"/>
            </w:pPr>
            <w:r>
              <w:rPr>
                <w:sz w:val="17"/>
              </w:rPr>
              <w:t xml:space="preserve">Mean PD</w:t>
            </w:r>
          </w:p>
        </w:tc>
        <w:tc>
          <w:tcPr/>
          <w:p>
            <w:pPr>
              <w:pStyle w:val="Compact"/>
              <w:jc w:val="right"/>
            </w:pPr>
            <w:r>
              <w:rPr>
                <w:sz w:val="17"/>
              </w:rPr>
              <w:t xml:space="preserve">Within-band AUC</w:t>
            </w:r>
          </w:p>
        </w:tc>
      </w:tr>
      <w:tr>
        <w:tc>
          <w:tcPr/>
          <w:p>
            <w:pPr>
              <w:pStyle w:val="Compact"/>
              <w:jc w:val="left"/>
            </w:pPr>
            <w:r>
              <w:rPr>
                <w:sz w:val="17"/>
              </w:rPr>
              <w:t xml:space="preserve">&lt;620</w:t>
            </w:r>
          </w:p>
        </w:tc>
        <w:tc>
          <w:tcPr/>
          <w:p>
            <w:pPr>
              <w:pStyle w:val="Compact"/>
              <w:jc w:val="right"/>
            </w:pPr>
            <w:r>
              <w:rPr>
                <w:sz w:val="17"/>
              </w:rPr>
              <w:t xml:space="preserve">147</w:t>
            </w:r>
          </w:p>
        </w:tc>
        <w:tc>
          <w:tcPr/>
          <w:p>
            <w:pPr>
              <w:pStyle w:val="Compact"/>
              <w:jc w:val="right"/>
            </w:pPr>
            <w:r>
              <w:rPr>
                <w:sz w:val="17"/>
              </w:rPr>
              <w:t xml:space="preserve">42</w:t>
            </w:r>
          </w:p>
        </w:tc>
        <w:tc>
          <w:tcPr/>
          <w:p>
            <w:pPr>
              <w:pStyle w:val="Compact"/>
              <w:jc w:val="right"/>
            </w:pPr>
            <w:r>
              <w:rPr>
                <w:sz w:val="17"/>
              </w:rPr>
              <w:t xml:space="preserve">28.57%</w:t>
            </w:r>
          </w:p>
        </w:tc>
        <w:tc>
          <w:tcPr/>
          <w:p>
            <w:pPr>
              <w:pStyle w:val="Compact"/>
              <w:jc w:val="right"/>
            </w:pPr>
            <w:r>
              <w:rPr>
                <w:sz w:val="17"/>
              </w:rPr>
              <w:t xml:space="preserve">40.68%</w:t>
            </w:r>
          </w:p>
        </w:tc>
        <w:tc>
          <w:tcPr/>
          <w:p>
            <w:pPr>
              <w:pStyle w:val="Compact"/>
              <w:jc w:val="right"/>
            </w:pPr>
            <w:r>
              <w:rPr>
                <w:sz w:val="17"/>
              </w:rPr>
              <w:t xml:space="preserve">0.707</w:t>
            </w:r>
          </w:p>
        </w:tc>
      </w:tr>
      <w:tr>
        <w:tc>
          <w:tcPr/>
          <w:p>
            <w:pPr>
              <w:pStyle w:val="Compact"/>
              <w:jc w:val="left"/>
            </w:pPr>
            <w:r>
              <w:rPr>
                <w:sz w:val="17"/>
              </w:rPr>
              <w:t xml:space="preserve">620-659</w:t>
            </w:r>
          </w:p>
        </w:tc>
        <w:tc>
          <w:tcPr/>
          <w:p>
            <w:pPr>
              <w:pStyle w:val="Compact"/>
              <w:jc w:val="right"/>
            </w:pPr>
            <w:r>
              <w:rPr>
                <w:sz w:val="17"/>
              </w:rPr>
              <w:t xml:space="preserve">2,306</w:t>
            </w:r>
          </w:p>
        </w:tc>
        <w:tc>
          <w:tcPr/>
          <w:p>
            <w:pPr>
              <w:pStyle w:val="Compact"/>
              <w:jc w:val="right"/>
            </w:pPr>
            <w:r>
              <w:rPr>
                <w:sz w:val="17"/>
              </w:rPr>
              <w:t xml:space="preserve">373</w:t>
            </w:r>
          </w:p>
        </w:tc>
        <w:tc>
          <w:tcPr/>
          <w:p>
            <w:pPr>
              <w:pStyle w:val="Compact"/>
              <w:jc w:val="right"/>
            </w:pPr>
            <w:r>
              <w:rPr>
                <w:sz w:val="17"/>
              </w:rPr>
              <w:t xml:space="preserve">16.18%</w:t>
            </w:r>
          </w:p>
        </w:tc>
        <w:tc>
          <w:tcPr/>
          <w:p>
            <w:pPr>
              <w:pStyle w:val="Compact"/>
              <w:jc w:val="right"/>
            </w:pPr>
            <w:r>
              <w:rPr>
                <w:sz w:val="17"/>
              </w:rPr>
              <w:t xml:space="preserve">16.72%</w:t>
            </w:r>
          </w:p>
        </w:tc>
        <w:tc>
          <w:tcPr/>
          <w:p>
            <w:pPr>
              <w:pStyle w:val="Compact"/>
              <w:jc w:val="right"/>
            </w:pPr>
            <w:r>
              <w:rPr>
                <w:sz w:val="17"/>
              </w:rPr>
              <w:t xml:space="preserve">0.650</w:t>
            </w:r>
          </w:p>
        </w:tc>
      </w:tr>
      <w:tr>
        <w:tc>
          <w:tcPr/>
          <w:p>
            <w:pPr>
              <w:pStyle w:val="Compact"/>
              <w:jc w:val="left"/>
            </w:pPr>
            <w:r>
              <w:rPr>
                <w:sz w:val="17"/>
              </w:rPr>
              <w:t xml:space="preserve">660-699</w:t>
            </w:r>
          </w:p>
        </w:tc>
        <w:tc>
          <w:tcPr/>
          <w:p>
            <w:pPr>
              <w:pStyle w:val="Compact"/>
              <w:jc w:val="right"/>
            </w:pPr>
            <w:r>
              <w:rPr>
                <w:sz w:val="17"/>
              </w:rPr>
              <w:t xml:space="preserve">13,959</w:t>
            </w:r>
          </w:p>
        </w:tc>
        <w:tc>
          <w:tcPr/>
          <w:p>
            <w:pPr>
              <w:pStyle w:val="Compact"/>
              <w:jc w:val="right"/>
            </w:pPr>
            <w:r>
              <w:rPr>
                <w:sz w:val="17"/>
              </w:rPr>
              <w:t xml:space="preserve">984</w:t>
            </w:r>
          </w:p>
        </w:tc>
        <w:tc>
          <w:tcPr/>
          <w:p>
            <w:pPr>
              <w:pStyle w:val="Compact"/>
              <w:jc w:val="right"/>
            </w:pPr>
            <w:r>
              <w:rPr>
                <w:sz w:val="17"/>
              </w:rPr>
              <w:t xml:space="preserve">7.05%</w:t>
            </w:r>
          </w:p>
        </w:tc>
        <w:tc>
          <w:tcPr/>
          <w:p>
            <w:pPr>
              <w:pStyle w:val="Compact"/>
              <w:jc w:val="right"/>
            </w:pPr>
            <w:r>
              <w:rPr>
                <w:sz w:val="17"/>
              </w:rPr>
              <w:t xml:space="preserve">5.86%</w:t>
            </w:r>
          </w:p>
        </w:tc>
        <w:tc>
          <w:tcPr/>
          <w:p>
            <w:pPr>
              <w:pStyle w:val="Compact"/>
              <w:jc w:val="right"/>
            </w:pPr>
            <w:r>
              <w:rPr>
                <w:sz w:val="17"/>
              </w:rPr>
              <w:t xml:space="preserve">0.669</w:t>
            </w:r>
          </w:p>
        </w:tc>
      </w:tr>
      <w:tr>
        <w:tc>
          <w:tcPr/>
          <w:p>
            <w:pPr>
              <w:pStyle w:val="Compact"/>
              <w:jc w:val="left"/>
            </w:pPr>
            <w:r>
              <w:rPr>
                <w:sz w:val="17"/>
              </w:rPr>
              <w:t xml:space="preserve">700-739</w:t>
            </w:r>
          </w:p>
        </w:tc>
        <w:tc>
          <w:tcPr/>
          <w:p>
            <w:pPr>
              <w:pStyle w:val="Compact"/>
              <w:jc w:val="right"/>
            </w:pPr>
            <w:r>
              <w:rPr>
                <w:sz w:val="17"/>
              </w:rPr>
              <w:t xml:space="preserve">36,004</w:t>
            </w:r>
          </w:p>
        </w:tc>
        <w:tc>
          <w:tcPr/>
          <w:p>
            <w:pPr>
              <w:pStyle w:val="Compact"/>
              <w:jc w:val="right"/>
            </w:pPr>
            <w:r>
              <w:rPr>
                <w:sz w:val="17"/>
              </w:rPr>
              <w:t xml:space="preserve">927</w:t>
            </w:r>
          </w:p>
        </w:tc>
        <w:tc>
          <w:tcPr/>
          <w:p>
            <w:pPr>
              <w:pStyle w:val="Compact"/>
              <w:jc w:val="right"/>
            </w:pPr>
            <w:r>
              <w:rPr>
                <w:sz w:val="17"/>
              </w:rPr>
              <w:t xml:space="preserve">2.57%</w:t>
            </w:r>
          </w:p>
        </w:tc>
        <w:tc>
          <w:tcPr/>
          <w:p>
            <w:pPr>
              <w:pStyle w:val="Compact"/>
              <w:jc w:val="right"/>
            </w:pPr>
            <w:r>
              <w:rPr>
                <w:sz w:val="17"/>
              </w:rPr>
              <w:t xml:space="preserve">1.96%</w:t>
            </w:r>
          </w:p>
        </w:tc>
        <w:tc>
          <w:tcPr/>
          <w:p>
            <w:pPr>
              <w:pStyle w:val="Compact"/>
              <w:jc w:val="right"/>
            </w:pPr>
            <w:r>
              <w:rPr>
                <w:sz w:val="17"/>
              </w:rPr>
              <w:t xml:space="preserve">0.648</w:t>
            </w:r>
          </w:p>
        </w:tc>
      </w:tr>
      <w:tr>
        <w:tc>
          <w:tcPr/>
          <w:p>
            <w:pPr>
              <w:pStyle w:val="Compact"/>
              <w:jc w:val="left"/>
            </w:pPr>
            <w:r>
              <w:rPr>
                <w:sz w:val="17"/>
              </w:rPr>
              <w:t xml:space="preserve">740-779</w:t>
            </w:r>
          </w:p>
        </w:tc>
        <w:tc>
          <w:tcPr/>
          <w:p>
            <w:pPr>
              <w:pStyle w:val="Compact"/>
              <w:jc w:val="right"/>
            </w:pPr>
            <w:r>
              <w:rPr>
                <w:sz w:val="17"/>
              </w:rPr>
              <w:t xml:space="preserve">41,875</w:t>
            </w:r>
          </w:p>
        </w:tc>
        <w:tc>
          <w:tcPr/>
          <w:p>
            <w:pPr>
              <w:pStyle w:val="Compact"/>
              <w:jc w:val="right"/>
            </w:pPr>
            <w:r>
              <w:rPr>
                <w:sz w:val="17"/>
              </w:rPr>
              <w:t xml:space="preserve">444</w:t>
            </w:r>
          </w:p>
        </w:tc>
        <w:tc>
          <w:tcPr/>
          <w:p>
            <w:pPr>
              <w:pStyle w:val="Compact"/>
              <w:jc w:val="right"/>
            </w:pPr>
            <w:r>
              <w:rPr>
                <w:sz w:val="17"/>
              </w:rPr>
              <w:t xml:space="preserve">1.06%</w:t>
            </w:r>
          </w:p>
        </w:tc>
        <w:tc>
          <w:tcPr/>
          <w:p>
            <w:pPr>
              <w:pStyle w:val="Compact"/>
              <w:jc w:val="right"/>
            </w:pPr>
            <w:r>
              <w:rPr>
                <w:sz w:val="17"/>
              </w:rPr>
              <w:t xml:space="preserve">0.76%</w:t>
            </w:r>
          </w:p>
        </w:tc>
        <w:tc>
          <w:tcPr/>
          <w:p>
            <w:pPr>
              <w:pStyle w:val="Compact"/>
              <w:jc w:val="right"/>
            </w:pPr>
            <w:r>
              <w:rPr>
                <w:sz w:val="17"/>
              </w:rPr>
              <w:t xml:space="preserve">0.632</w:t>
            </w:r>
          </w:p>
        </w:tc>
      </w:tr>
      <w:tr>
        <w:tc>
          <w:tcPr/>
          <w:p>
            <w:pPr>
              <w:pStyle w:val="Compact"/>
              <w:jc w:val="left"/>
            </w:pPr>
            <w:r>
              <w:rPr>
                <w:sz w:val="17"/>
              </w:rPr>
              <w:t xml:space="preserve">780+</w:t>
            </w:r>
          </w:p>
        </w:tc>
        <w:tc>
          <w:tcPr/>
          <w:p>
            <w:pPr>
              <w:pStyle w:val="Compact"/>
              <w:jc w:val="right"/>
            </w:pPr>
            <w:r>
              <w:rPr>
                <w:sz w:val="17"/>
              </w:rPr>
              <w:t xml:space="preserve">29,104</w:t>
            </w:r>
          </w:p>
        </w:tc>
        <w:tc>
          <w:tcPr/>
          <w:p>
            <w:pPr>
              <w:pStyle w:val="Compact"/>
              <w:jc w:val="right"/>
            </w:pPr>
            <w:r>
              <w:rPr>
                <w:sz w:val="17"/>
              </w:rPr>
              <w:t xml:space="preserve">93</w:t>
            </w:r>
          </w:p>
        </w:tc>
        <w:tc>
          <w:tcPr/>
          <w:p>
            <w:pPr>
              <w:pStyle w:val="Compact"/>
              <w:jc w:val="right"/>
            </w:pPr>
            <w:r>
              <w:rPr>
                <w:sz w:val="17"/>
              </w:rPr>
              <w:t xml:space="preserve">0.32%</w:t>
            </w:r>
          </w:p>
        </w:tc>
        <w:tc>
          <w:tcPr/>
          <w:p>
            <w:pPr>
              <w:pStyle w:val="Compact"/>
              <w:jc w:val="right"/>
            </w:pPr>
            <w:r>
              <w:rPr>
                <w:sz w:val="17"/>
              </w:rPr>
              <w:t xml:space="preserve">0.22%</w:t>
            </w:r>
          </w:p>
        </w:tc>
        <w:tc>
          <w:tcPr/>
          <w:p>
            <w:pPr>
              <w:pStyle w:val="Compact"/>
              <w:jc w:val="right"/>
            </w:pPr>
            <w:r>
              <w:rPr>
                <w:sz w:val="17"/>
              </w:rPr>
              <w:t xml:space="preserve">0.688</w:t>
            </w:r>
          </w:p>
        </w:tc>
      </w:tr>
    </w:tbl>
    <w:p>
      <w:pPr>
        <w:pStyle w:val="BodyText"/>
      </w:pPr>
      <w:r>
        <w:t xml:space="preserve">The model puts the right order on the bands. Within-band AUC is lower than the overall AUC (0.632 to 0.707) because most of the overall separation comes from FICO itself. The below-620 band has only 147 snapshots and shows an observed rate of 28.6% against a predicted 40.7%, an over-prediction on a very small sample that should not be read as a pattern. The 780+ band has observed 0.32% and predicted 0.22%.</w:t>
      </w:r>
    </w:p>
    <w:p>
      <w:pPr>
        <w:pStyle w:val="TableCaption"/>
      </w:pPr>
      <w:r>
        <w:t xml:space="preserve">LightGBM out-of-time performance by loan purpose and occupancy. The simulated default hazard has no purpose or occupancy effect, so AUCs and rates are similar across segments, as they should be.</w:t>
      </w:r>
    </w:p>
    <w:tbl>
      <w:tblPr>
        <w:tblStyle w:val="Table"/>
        <w:tblW w:type="auto" w:w="0"/>
        <w:tblLook w:firstRow="1" w:lastRow="0" w:firstColumn="0" w:lastColumn="0" w:noHBand="0" w:noVBand="0" w:val="0020"/>
        <w:tblCaption w:val="LightGBM out-of-time performance by loan purpose and occupancy. The simulated default hazard has no purpose or occupancy effect, so AUCs and rates are similar across segments, as they should b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Dimension</w:t>
            </w:r>
          </w:p>
        </w:tc>
        <w:tc>
          <w:tcPr/>
          <w:p>
            <w:pPr>
              <w:pStyle w:val="Compact"/>
              <w:jc w:val="right"/>
            </w:pPr>
            <w:r>
              <w:rPr>
                <w:sz w:val="17"/>
              </w:rPr>
              <w:t xml:space="preserve">Segment</w:t>
            </w:r>
          </w:p>
        </w:tc>
        <w:tc>
          <w:tcPr/>
          <w:p>
            <w:pPr>
              <w:pStyle w:val="Compact"/>
              <w:jc w:val="right"/>
            </w:pPr>
            <w:r>
              <w:rPr>
                <w:sz w:val="17"/>
              </w:rPr>
              <w:t xml:space="preserve">Loans</w:t>
            </w:r>
          </w:p>
        </w:tc>
        <w:tc>
          <w:tcPr/>
          <w:p>
            <w:pPr>
              <w:pStyle w:val="Compact"/>
              <w:jc w:val="right"/>
            </w:pPr>
            <w:r>
              <w:rPr>
                <w:sz w:val="17"/>
              </w:rPr>
              <w:t xml:space="preserve">Observed rate</w:t>
            </w:r>
          </w:p>
        </w:tc>
        <w:tc>
          <w:tcPr/>
          <w:p>
            <w:pPr>
              <w:pStyle w:val="Compact"/>
              <w:jc w:val="right"/>
            </w:pPr>
            <w:r>
              <w:rPr>
                <w:sz w:val="17"/>
              </w:rPr>
              <w:t xml:space="preserve">Mean PD</w:t>
            </w:r>
          </w:p>
        </w:tc>
        <w:tc>
          <w:tcPr/>
          <w:p>
            <w:pPr>
              <w:pStyle w:val="Compact"/>
              <w:jc w:val="right"/>
            </w:pPr>
            <w:r>
              <w:rPr>
                <w:sz w:val="17"/>
              </w:rPr>
              <w:t xml:space="preserve">AUC</w:t>
            </w:r>
          </w:p>
        </w:tc>
      </w:tr>
      <w:tr>
        <w:tc>
          <w:tcPr/>
          <w:p>
            <w:pPr>
              <w:pStyle w:val="Compact"/>
              <w:jc w:val="left"/>
            </w:pPr>
            <w:r>
              <w:rPr>
                <w:sz w:val="17"/>
              </w:rPr>
              <w:t xml:space="preserve">purpose</w:t>
            </w:r>
          </w:p>
        </w:tc>
        <w:tc>
          <w:tcPr/>
          <w:p>
            <w:pPr>
              <w:pStyle w:val="Compact"/>
              <w:jc w:val="right"/>
            </w:pPr>
            <w:r>
              <w:rPr>
                <w:sz w:val="17"/>
              </w:rPr>
              <w:t xml:space="preserve">P</w:t>
            </w:r>
          </w:p>
        </w:tc>
        <w:tc>
          <w:tcPr/>
          <w:p>
            <w:pPr>
              <w:pStyle w:val="Compact"/>
              <w:jc w:val="right"/>
            </w:pPr>
            <w:r>
              <w:rPr>
                <w:sz w:val="17"/>
              </w:rPr>
              <w:t xml:space="preserve">74,208</w:t>
            </w:r>
          </w:p>
        </w:tc>
        <w:tc>
          <w:tcPr/>
          <w:p>
            <w:pPr>
              <w:pStyle w:val="Compact"/>
              <w:jc w:val="right"/>
            </w:pPr>
            <w:r>
              <w:rPr>
                <w:sz w:val="17"/>
              </w:rPr>
              <w:t xml:space="preserve">2.30%</w:t>
            </w:r>
          </w:p>
        </w:tc>
        <w:tc>
          <w:tcPr/>
          <w:p>
            <w:pPr>
              <w:pStyle w:val="Compact"/>
              <w:jc w:val="right"/>
            </w:pPr>
            <w:r>
              <w:rPr>
                <w:sz w:val="17"/>
              </w:rPr>
              <w:t xml:space="preserve">1.92%</w:t>
            </w:r>
          </w:p>
        </w:tc>
        <w:tc>
          <w:tcPr/>
          <w:p>
            <w:pPr>
              <w:pStyle w:val="Compact"/>
              <w:jc w:val="right"/>
            </w:pPr>
            <w:r>
              <w:rPr>
                <w:sz w:val="17"/>
              </w:rPr>
              <w:t xml:space="preserve">0.811</w:t>
            </w:r>
          </w:p>
        </w:tc>
      </w:tr>
      <w:tr>
        <w:tc>
          <w:tcPr/>
          <w:p>
            <w:pPr>
              <w:pStyle w:val="Compact"/>
              <w:jc w:val="left"/>
            </w:pPr>
            <w:r>
              <w:rPr>
                <w:sz w:val="17"/>
              </w:rPr>
              <w:t xml:space="preserve">purpose</w:t>
            </w:r>
          </w:p>
        </w:tc>
        <w:tc>
          <w:tcPr/>
          <w:p>
            <w:pPr>
              <w:pStyle w:val="Compact"/>
              <w:jc w:val="right"/>
            </w:pPr>
            <w:r>
              <w:rPr>
                <w:sz w:val="17"/>
              </w:rPr>
              <w:t xml:space="preserve">C</w:t>
            </w:r>
          </w:p>
        </w:tc>
        <w:tc>
          <w:tcPr/>
          <w:p>
            <w:pPr>
              <w:pStyle w:val="Compact"/>
              <w:jc w:val="right"/>
            </w:pPr>
            <w:r>
              <w:rPr>
                <w:sz w:val="17"/>
              </w:rPr>
              <w:t xml:space="preserve">31,079</w:t>
            </w:r>
          </w:p>
        </w:tc>
        <w:tc>
          <w:tcPr/>
          <w:p>
            <w:pPr>
              <w:pStyle w:val="Compact"/>
              <w:jc w:val="right"/>
            </w:pPr>
            <w:r>
              <w:rPr>
                <w:sz w:val="17"/>
              </w:rPr>
              <w:t xml:space="preserve">2.29%</w:t>
            </w:r>
          </w:p>
        </w:tc>
        <w:tc>
          <w:tcPr/>
          <w:p>
            <w:pPr>
              <w:pStyle w:val="Compact"/>
              <w:jc w:val="right"/>
            </w:pPr>
            <w:r>
              <w:rPr>
                <w:sz w:val="17"/>
              </w:rPr>
              <w:t xml:space="preserve">1.90%</w:t>
            </w:r>
          </w:p>
        </w:tc>
        <w:tc>
          <w:tcPr/>
          <w:p>
            <w:pPr>
              <w:pStyle w:val="Compact"/>
              <w:jc w:val="right"/>
            </w:pPr>
            <w:r>
              <w:rPr>
                <w:sz w:val="17"/>
              </w:rPr>
              <w:t xml:space="preserve">0.798</w:t>
            </w:r>
          </w:p>
        </w:tc>
      </w:tr>
      <w:tr>
        <w:tc>
          <w:tcPr/>
          <w:p>
            <w:pPr>
              <w:pStyle w:val="Compact"/>
              <w:jc w:val="left"/>
            </w:pPr>
            <w:r>
              <w:rPr>
                <w:sz w:val="17"/>
              </w:rPr>
              <w:t xml:space="preserve">purpose</w:t>
            </w:r>
          </w:p>
        </w:tc>
        <w:tc>
          <w:tcPr/>
          <w:p>
            <w:pPr>
              <w:pStyle w:val="Compact"/>
              <w:jc w:val="right"/>
            </w:pPr>
            <w:r>
              <w:rPr>
                <w:sz w:val="17"/>
              </w:rPr>
              <w:t xml:space="preserve">N</w:t>
            </w:r>
          </w:p>
        </w:tc>
        <w:tc>
          <w:tcPr/>
          <w:p>
            <w:pPr>
              <w:pStyle w:val="Compact"/>
              <w:jc w:val="right"/>
            </w:pPr>
            <w:r>
              <w:rPr>
                <w:sz w:val="17"/>
              </w:rPr>
              <w:t xml:space="preserve">18,108</w:t>
            </w:r>
          </w:p>
        </w:tc>
        <w:tc>
          <w:tcPr/>
          <w:p>
            <w:pPr>
              <w:pStyle w:val="Compact"/>
              <w:jc w:val="right"/>
            </w:pPr>
            <w:r>
              <w:rPr>
                <w:sz w:val="17"/>
              </w:rPr>
              <w:t xml:space="preserve">2.47%</w:t>
            </w:r>
          </w:p>
        </w:tc>
        <w:tc>
          <w:tcPr/>
          <w:p>
            <w:pPr>
              <w:pStyle w:val="Compact"/>
              <w:jc w:val="right"/>
            </w:pPr>
            <w:r>
              <w:rPr>
                <w:sz w:val="17"/>
              </w:rPr>
              <w:t xml:space="preserve">1.86%</w:t>
            </w:r>
          </w:p>
        </w:tc>
        <w:tc>
          <w:tcPr/>
          <w:p>
            <w:pPr>
              <w:pStyle w:val="Compact"/>
              <w:jc w:val="right"/>
            </w:pPr>
            <w:r>
              <w:rPr>
                <w:sz w:val="17"/>
              </w:rPr>
              <w:t xml:space="preserve">0.814</w:t>
            </w:r>
          </w:p>
        </w:tc>
      </w:tr>
      <w:tr>
        <w:tc>
          <w:tcPr/>
          <w:p>
            <w:pPr>
              <w:pStyle w:val="Compact"/>
              <w:jc w:val="left"/>
            </w:pPr>
            <w:r>
              <w:rPr>
                <w:sz w:val="17"/>
              </w:rPr>
              <w:t xml:space="preserve">occupancy</w:t>
            </w:r>
          </w:p>
        </w:tc>
        <w:tc>
          <w:tcPr/>
          <w:p>
            <w:pPr>
              <w:pStyle w:val="Compact"/>
              <w:jc w:val="right"/>
            </w:pPr>
            <w:r>
              <w:rPr>
                <w:sz w:val="17"/>
              </w:rPr>
              <w:t xml:space="preserve">O</w:t>
            </w:r>
          </w:p>
        </w:tc>
        <w:tc>
          <w:tcPr/>
          <w:p>
            <w:pPr>
              <w:pStyle w:val="Compact"/>
              <w:jc w:val="right"/>
            </w:pPr>
            <w:r>
              <w:rPr>
                <w:sz w:val="17"/>
              </w:rPr>
              <w:t xml:space="preserve">111,130</w:t>
            </w:r>
          </w:p>
        </w:tc>
        <w:tc>
          <w:tcPr/>
          <w:p>
            <w:pPr>
              <w:pStyle w:val="Compact"/>
              <w:jc w:val="right"/>
            </w:pPr>
            <w:r>
              <w:rPr>
                <w:sz w:val="17"/>
              </w:rPr>
              <w:t xml:space="preserve">2.34%</w:t>
            </w:r>
          </w:p>
        </w:tc>
        <w:tc>
          <w:tcPr/>
          <w:p>
            <w:pPr>
              <w:pStyle w:val="Compact"/>
              <w:jc w:val="right"/>
            </w:pPr>
            <w:r>
              <w:rPr>
                <w:sz w:val="17"/>
              </w:rPr>
              <w:t xml:space="preserve">1.91%</w:t>
            </w:r>
          </w:p>
        </w:tc>
        <w:tc>
          <w:tcPr/>
          <w:p>
            <w:pPr>
              <w:pStyle w:val="Compact"/>
              <w:jc w:val="right"/>
            </w:pPr>
            <w:r>
              <w:rPr>
                <w:sz w:val="17"/>
              </w:rPr>
              <w:t xml:space="preserve">0.808</w:t>
            </w:r>
          </w:p>
        </w:tc>
      </w:tr>
      <w:tr>
        <w:tc>
          <w:tcPr/>
          <w:p>
            <w:pPr>
              <w:pStyle w:val="Compact"/>
              <w:jc w:val="left"/>
            </w:pPr>
            <w:r>
              <w:rPr>
                <w:sz w:val="17"/>
              </w:rPr>
              <w:t xml:space="preserve">occupancy</w:t>
            </w:r>
          </w:p>
        </w:tc>
        <w:tc>
          <w:tcPr/>
          <w:p>
            <w:pPr>
              <w:pStyle w:val="Compact"/>
              <w:jc w:val="right"/>
            </w:pPr>
            <w:r>
              <w:rPr>
                <w:sz w:val="17"/>
              </w:rPr>
              <w:t xml:space="preserve">I</w:t>
            </w:r>
          </w:p>
        </w:tc>
        <w:tc>
          <w:tcPr/>
          <w:p>
            <w:pPr>
              <w:pStyle w:val="Compact"/>
              <w:jc w:val="right"/>
            </w:pPr>
            <w:r>
              <w:rPr>
                <w:sz w:val="17"/>
              </w:rPr>
              <w:t xml:space="preserve">7,532</w:t>
            </w:r>
          </w:p>
        </w:tc>
        <w:tc>
          <w:tcPr/>
          <w:p>
            <w:pPr>
              <w:pStyle w:val="Compact"/>
              <w:jc w:val="right"/>
            </w:pPr>
            <w:r>
              <w:rPr>
                <w:sz w:val="17"/>
              </w:rPr>
              <w:t xml:space="preserve">2.18%</w:t>
            </w:r>
          </w:p>
        </w:tc>
        <w:tc>
          <w:tcPr/>
          <w:p>
            <w:pPr>
              <w:pStyle w:val="Compact"/>
              <w:jc w:val="right"/>
            </w:pPr>
            <w:r>
              <w:rPr>
                <w:sz w:val="17"/>
              </w:rPr>
              <w:t xml:space="preserve">1.92%</w:t>
            </w:r>
          </w:p>
        </w:tc>
        <w:tc>
          <w:tcPr/>
          <w:p>
            <w:pPr>
              <w:pStyle w:val="Compact"/>
              <w:jc w:val="right"/>
            </w:pPr>
            <w:r>
              <w:rPr>
                <w:sz w:val="17"/>
              </w:rPr>
              <w:t xml:space="preserve">0.800</w:t>
            </w:r>
          </w:p>
        </w:tc>
      </w:tr>
      <w:tr>
        <w:tc>
          <w:tcPr/>
          <w:p>
            <w:pPr>
              <w:pStyle w:val="Compact"/>
              <w:jc w:val="left"/>
            </w:pPr>
            <w:r>
              <w:rPr>
                <w:sz w:val="17"/>
              </w:rPr>
              <w:t xml:space="preserve">occupancy</w:t>
            </w:r>
          </w:p>
        </w:tc>
        <w:tc>
          <w:tcPr/>
          <w:p>
            <w:pPr>
              <w:pStyle w:val="Compact"/>
              <w:jc w:val="right"/>
            </w:pPr>
            <w:r>
              <w:rPr>
                <w:sz w:val="17"/>
              </w:rPr>
              <w:t xml:space="preserve">S</w:t>
            </w:r>
          </w:p>
        </w:tc>
        <w:tc>
          <w:tcPr/>
          <w:p>
            <w:pPr>
              <w:pStyle w:val="Compact"/>
              <w:jc w:val="right"/>
            </w:pPr>
            <w:r>
              <w:rPr>
                <w:sz w:val="17"/>
              </w:rPr>
              <w:t xml:space="preserve">4,733</w:t>
            </w:r>
          </w:p>
        </w:tc>
        <w:tc>
          <w:tcPr/>
          <w:p>
            <w:pPr>
              <w:pStyle w:val="Compact"/>
              <w:jc w:val="right"/>
            </w:pPr>
            <w:r>
              <w:rPr>
                <w:sz w:val="17"/>
              </w:rPr>
              <w:t xml:space="preserve">2.16%</w:t>
            </w:r>
          </w:p>
        </w:tc>
        <w:tc>
          <w:tcPr/>
          <w:p>
            <w:pPr>
              <w:pStyle w:val="Compact"/>
              <w:jc w:val="right"/>
            </w:pPr>
            <w:r>
              <w:rPr>
                <w:sz w:val="17"/>
              </w:rPr>
              <w:t xml:space="preserve">1.87%</w:t>
            </w:r>
          </w:p>
        </w:tc>
        <w:tc>
          <w:tcPr/>
          <w:p>
            <w:pPr>
              <w:pStyle w:val="Compact"/>
              <w:jc w:val="right"/>
            </w:pPr>
            <w:r>
              <w:rPr>
                <w:sz w:val="17"/>
              </w:rPr>
              <w:t xml:space="preserve">0.833</w:t>
            </w:r>
          </w:p>
        </w:tc>
      </w:tr>
    </w:tbl>
    <w:bookmarkEnd w:id="69"/>
    <w:bookmarkStart w:id="73" w:name="population-and-characteristic-stability"/>
    <w:p>
      <w:pPr>
        <w:pStyle w:val="Heading2"/>
      </w:pPr>
      <w:r>
        <w:rPr>
          <w:rStyle w:val="SectionNumber"/>
        </w:rPr>
        <w:t xml:space="preserve">8.5</w:t>
      </w:r>
      <w:r>
        <w:tab/>
      </w:r>
      <w:r>
        <w:t xml:space="preserve">Population and characteristic stability</w:t>
      </w:r>
    </w:p>
    <w:p>
      <w:pPr>
        <w:pStyle w:val="TableCaption"/>
      </w:pPr>
      <w:r>
        <w:t xml:space="preserve">Score PSI of each PD model, training scores against calibration-window and OOT scores.</w:t>
      </w:r>
    </w:p>
    <w:tbl>
      <w:tblPr>
        <w:tblStyle w:val="Table"/>
        <w:tblW w:type="auto" w:w="0"/>
        <w:tblLook w:firstRow="1" w:lastRow="0" w:firstColumn="0" w:lastColumn="0" w:noHBand="0" w:noVBand="0" w:val="0020"/>
        <w:tblCaption w:val="Score PSI of each PD model, training scores against calibration-window and OOT score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jc w:val="left"/>
            </w:pPr>
            <w:r>
              <w:rPr>
                <w:sz w:val="17"/>
              </w:rPr>
              <w:t xml:space="preserve">Model</w:t>
            </w:r>
          </w:p>
        </w:tc>
        <w:tc>
          <w:tcPr/>
          <w:p>
            <w:pPr>
              <w:pStyle w:val="Compact"/>
              <w:jc w:val="right"/>
            </w:pPr>
            <w:r>
              <w:rPr>
                <w:sz w:val="17"/>
              </w:rPr>
              <w:t xml:space="preserve">Comparison</w:t>
            </w:r>
          </w:p>
        </w:tc>
        <w:tc>
          <w:tcPr/>
          <w:p>
            <w:pPr>
              <w:pStyle w:val="Compact"/>
              <w:jc w:val="right"/>
            </w:pPr>
            <w:r>
              <w:rPr>
                <w:sz w:val="17"/>
              </w:rPr>
              <w:t xml:space="preserve">PSI</w:t>
            </w:r>
          </w:p>
        </w:tc>
        <w:tc>
          <w:tcPr/>
          <w:p>
            <w:pPr>
              <w:pStyle w:val="Compact"/>
              <w:jc w:val="right"/>
            </w:pPr>
            <w:r>
              <w:rPr>
                <w:sz w:val="17"/>
              </w:rPr>
              <w:t xml:space="preserve">Band</w:t>
            </w:r>
          </w:p>
        </w:tc>
      </w:tr>
      <w:tr>
        <w:tc>
          <w:tcPr/>
          <w:p>
            <w:pPr>
              <w:pStyle w:val="Compact"/>
              <w:jc w:val="left"/>
            </w:pPr>
            <w:r>
              <w:rPr>
                <w:sz w:val="17"/>
              </w:rPr>
              <w:t xml:space="preserve">Scorecard logit</w:t>
            </w:r>
          </w:p>
        </w:tc>
        <w:tc>
          <w:tcPr/>
          <w:p>
            <w:pPr>
              <w:pStyle w:val="Compact"/>
              <w:jc w:val="right"/>
            </w:pPr>
            <w:r>
              <w:rPr>
                <w:sz w:val="17"/>
              </w:rPr>
              <w:t xml:space="preserve">train vs calib</w:t>
            </w:r>
          </w:p>
        </w:tc>
        <w:tc>
          <w:tcPr/>
          <w:p>
            <w:pPr>
              <w:pStyle w:val="Compact"/>
              <w:jc w:val="right"/>
            </w:pPr>
            <w:r>
              <w:rPr>
                <w:sz w:val="17"/>
              </w:rPr>
              <w:t xml:space="preserve">0.1023</w:t>
            </w:r>
          </w:p>
        </w:tc>
        <w:tc>
          <w:tcPr/>
          <w:p>
            <w:pPr>
              <w:pStyle w:val="Compact"/>
              <w:jc w:val="right"/>
            </w:pPr>
            <w:r>
              <w:rPr>
                <w:sz w:val="17"/>
              </w:rPr>
              <w:t xml:space="preserve">moderate</w:t>
            </w:r>
          </w:p>
        </w:tc>
      </w:tr>
      <w:tr>
        <w:tc>
          <w:tcPr/>
          <w:p>
            <w:pPr>
              <w:pStyle w:val="Compact"/>
              <w:jc w:val="left"/>
            </w:pPr>
            <w:r>
              <w:rPr>
                <w:sz w:val="17"/>
              </w:rPr>
              <w:t xml:space="preserve">Scorecard logit</w:t>
            </w:r>
          </w:p>
        </w:tc>
        <w:tc>
          <w:tcPr/>
          <w:p>
            <w:pPr>
              <w:pStyle w:val="Compact"/>
              <w:jc w:val="right"/>
            </w:pPr>
            <w:r>
              <w:rPr>
                <w:sz w:val="17"/>
              </w:rPr>
              <w:t xml:space="preserve">train vs oot</w:t>
            </w:r>
          </w:p>
        </w:tc>
        <w:tc>
          <w:tcPr/>
          <w:p>
            <w:pPr>
              <w:pStyle w:val="Compact"/>
              <w:jc w:val="right"/>
            </w:pPr>
            <w:r>
              <w:rPr>
                <w:sz w:val="17"/>
              </w:rPr>
              <w:t xml:space="preserve">0.0118</w:t>
            </w:r>
          </w:p>
        </w:tc>
        <w:tc>
          <w:tcPr/>
          <w:p>
            <w:pPr>
              <w:pStyle w:val="Compact"/>
              <w:jc w:val="right"/>
            </w:pPr>
            <w:r>
              <w:rPr>
                <w:sz w:val="17"/>
              </w:rPr>
              <w:t xml:space="preserve">stable</w:t>
            </w:r>
          </w:p>
        </w:tc>
      </w:tr>
      <w:tr>
        <w:tc>
          <w:tcPr/>
          <w:p>
            <w:pPr>
              <w:pStyle w:val="Compact"/>
              <w:jc w:val="left"/>
            </w:pPr>
            <w:r>
              <w:rPr>
                <w:sz w:val="17"/>
              </w:rPr>
              <w:t xml:space="preserve">XGBoost</w:t>
            </w:r>
          </w:p>
        </w:tc>
        <w:tc>
          <w:tcPr/>
          <w:p>
            <w:pPr>
              <w:pStyle w:val="Compact"/>
              <w:jc w:val="right"/>
            </w:pPr>
            <w:r>
              <w:rPr>
                <w:sz w:val="17"/>
              </w:rPr>
              <w:t xml:space="preserve">train vs calib</w:t>
            </w:r>
          </w:p>
        </w:tc>
        <w:tc>
          <w:tcPr/>
          <w:p>
            <w:pPr>
              <w:pStyle w:val="Compact"/>
              <w:jc w:val="right"/>
            </w:pPr>
            <w:r>
              <w:rPr>
                <w:sz w:val="17"/>
              </w:rPr>
              <w:t xml:space="preserve">0.0798</w:t>
            </w:r>
          </w:p>
        </w:tc>
        <w:tc>
          <w:tcPr/>
          <w:p>
            <w:pPr>
              <w:pStyle w:val="Compact"/>
              <w:jc w:val="right"/>
            </w:pPr>
            <w:r>
              <w:rPr>
                <w:sz w:val="17"/>
              </w:rPr>
              <w:t xml:space="preserve">stable</w:t>
            </w:r>
          </w:p>
        </w:tc>
      </w:tr>
      <w:tr>
        <w:tc>
          <w:tcPr/>
          <w:p>
            <w:pPr>
              <w:pStyle w:val="Compact"/>
              <w:jc w:val="left"/>
            </w:pPr>
            <w:r>
              <w:rPr>
                <w:sz w:val="17"/>
              </w:rPr>
              <w:t xml:space="preserve">XGBoost</w:t>
            </w:r>
          </w:p>
        </w:tc>
        <w:tc>
          <w:tcPr/>
          <w:p>
            <w:pPr>
              <w:pStyle w:val="Compact"/>
              <w:jc w:val="right"/>
            </w:pPr>
            <w:r>
              <w:rPr>
                <w:sz w:val="17"/>
              </w:rPr>
              <w:t xml:space="preserve">train vs oot</w:t>
            </w:r>
          </w:p>
        </w:tc>
        <w:tc>
          <w:tcPr/>
          <w:p>
            <w:pPr>
              <w:pStyle w:val="Compact"/>
              <w:jc w:val="right"/>
            </w:pPr>
            <w:r>
              <w:rPr>
                <w:sz w:val="17"/>
              </w:rPr>
              <w:t xml:space="preserve">0.0062</w:t>
            </w:r>
          </w:p>
        </w:tc>
        <w:tc>
          <w:tcPr/>
          <w:p>
            <w:pPr>
              <w:pStyle w:val="Compact"/>
              <w:jc w:val="right"/>
            </w:pPr>
            <w:r>
              <w:rPr>
                <w:sz w:val="17"/>
              </w:rPr>
              <w:t xml:space="preserve">stable</w:t>
            </w:r>
          </w:p>
        </w:tc>
      </w:tr>
      <w:tr>
        <w:tc>
          <w:tcPr/>
          <w:p>
            <w:pPr>
              <w:pStyle w:val="Compact"/>
              <w:jc w:val="left"/>
            </w:pPr>
            <w:r>
              <w:rPr>
                <w:sz w:val="17"/>
              </w:rPr>
              <w:t xml:space="preserve">LightGBM</w:t>
            </w:r>
          </w:p>
        </w:tc>
        <w:tc>
          <w:tcPr/>
          <w:p>
            <w:pPr>
              <w:pStyle w:val="Compact"/>
              <w:jc w:val="right"/>
            </w:pPr>
            <w:r>
              <w:rPr>
                <w:sz w:val="17"/>
              </w:rPr>
              <w:t xml:space="preserve">train vs calib</w:t>
            </w:r>
          </w:p>
        </w:tc>
        <w:tc>
          <w:tcPr/>
          <w:p>
            <w:pPr>
              <w:pStyle w:val="Compact"/>
              <w:jc w:val="right"/>
            </w:pPr>
            <w:r>
              <w:rPr>
                <w:sz w:val="17"/>
              </w:rPr>
              <w:t xml:space="preserve">0.0774</w:t>
            </w:r>
          </w:p>
        </w:tc>
        <w:tc>
          <w:tcPr/>
          <w:p>
            <w:pPr>
              <w:pStyle w:val="Compact"/>
              <w:jc w:val="right"/>
            </w:pPr>
            <w:r>
              <w:rPr>
                <w:sz w:val="17"/>
              </w:rPr>
              <w:t xml:space="preserve">stable</w:t>
            </w:r>
          </w:p>
        </w:tc>
      </w:tr>
      <w:tr>
        <w:tc>
          <w:tcPr/>
          <w:p>
            <w:pPr>
              <w:pStyle w:val="Compact"/>
              <w:jc w:val="left"/>
            </w:pPr>
            <w:r>
              <w:rPr>
                <w:sz w:val="17"/>
              </w:rPr>
              <w:t xml:space="preserve">LightGBM</w:t>
            </w:r>
          </w:p>
        </w:tc>
        <w:tc>
          <w:tcPr/>
          <w:p>
            <w:pPr>
              <w:pStyle w:val="Compact"/>
              <w:jc w:val="right"/>
            </w:pPr>
            <w:r>
              <w:rPr>
                <w:sz w:val="17"/>
              </w:rPr>
              <w:t xml:space="preserve">train vs oot</w:t>
            </w:r>
          </w:p>
        </w:tc>
        <w:tc>
          <w:tcPr/>
          <w:p>
            <w:pPr>
              <w:pStyle w:val="Compact"/>
              <w:jc w:val="right"/>
            </w:pPr>
            <w:r>
              <w:rPr>
                <w:sz w:val="17"/>
              </w:rPr>
              <w:t xml:space="preserve">0.0087</w:t>
            </w:r>
          </w:p>
        </w:tc>
        <w:tc>
          <w:tcPr/>
          <w:p>
            <w:pPr>
              <w:pStyle w:val="Compact"/>
              <w:jc w:val="right"/>
            </w:pPr>
            <w:r>
              <w:rPr>
                <w:sz w:val="17"/>
              </w:rPr>
              <w:t xml:space="preserve">stable</w:t>
            </w:r>
          </w:p>
        </w:tc>
      </w:tr>
    </w:tbl>
    <w:p>
      <w:pPr>
        <w:pStyle w:val="CaptionedFigure"/>
      </w:pPr>
      <w:r>
        <w:drawing>
          <wp:inline>
            <wp:extent cx="4533900" cy="3836376"/>
            <wp:effectExtent b="0" l="0" r="0" t="0"/>
            <wp:docPr descr="PSI of the PD score and CSI of each feature, out-of-time against training." title="" id="71" name="Picture"/>
            <a:graphic>
              <a:graphicData uri="http://schemas.openxmlformats.org/drawingml/2006/picture">
                <pic:pic>
                  <pic:nvPicPr>
                    <pic:cNvPr descr="../python/outputs/charts/psi_bars.png" id="72" name="Picture"/>
                    <pic:cNvPicPr>
                      <a:picLocks noChangeArrowheads="1" noChangeAspect="1"/>
                    </pic:cNvPicPr>
                  </pic:nvPicPr>
                  <pic:blipFill>
                    <a:blip r:embed="rId70"/>
                    <a:stretch>
                      <a:fillRect/>
                    </a:stretch>
                  </pic:blipFill>
                  <pic:spPr bwMode="auto">
                    <a:xfrm>
                      <a:off x="0" y="0"/>
                      <a:ext cx="4533900" cy="3836376"/>
                    </a:xfrm>
                    <a:prstGeom prst="rect">
                      <a:avLst/>
                    </a:prstGeom>
                    <a:noFill/>
                    <a:ln w="9525">
                      <a:noFill/>
                      <a:headEnd/>
                      <a:tailEnd/>
                    </a:ln>
                  </pic:spPr>
                </pic:pic>
              </a:graphicData>
            </a:graphic>
          </wp:inline>
        </w:drawing>
      </w:r>
    </w:p>
    <w:p>
      <w:pPr>
        <w:pStyle w:val="ImageCaption"/>
      </w:pPr>
      <w:r>
        <w:t xml:space="preserve">PSI of the PD score and CSI of each feature, out-of-time against training.</w:t>
      </w:r>
    </w:p>
    <w:p>
      <w:pPr>
        <w:pStyle w:val="TableCaption"/>
      </w:pPr>
      <w:r>
        <w:t xml:space="preserve">Characteristic stability index of each PD feature, out-of-time against training. 6 of 17 features are in the significant band and 1 in the moderate band.</w:t>
      </w:r>
    </w:p>
    <w:tbl>
      <w:tblPr>
        <w:tblStyle w:val="Table"/>
        <w:tblW w:type="auto" w:w="0"/>
        <w:tblLook w:firstRow="1" w:lastRow="0" w:firstColumn="0" w:lastColumn="0" w:noHBand="0" w:noVBand="0" w:val="0020"/>
        <w:tblCaption w:val="Characteristic stability index of each PD feature, out-of-time against training. 6 of 17 features are in the significant band and 1 in the moderate ban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Feature</w:t>
            </w:r>
          </w:p>
        </w:tc>
        <w:tc>
          <w:tcPr/>
          <w:p>
            <w:pPr>
              <w:pStyle w:val="Compact"/>
              <w:jc w:val="right"/>
            </w:pPr>
            <w:r>
              <w:rPr>
                <w:sz w:val="17"/>
              </w:rPr>
              <w:t xml:space="preserve">CSI (OOT vs train)</w:t>
            </w:r>
          </w:p>
        </w:tc>
        <w:tc>
          <w:tcPr/>
          <w:p>
            <w:pPr>
              <w:pStyle w:val="Compact"/>
              <w:jc w:val="right"/>
            </w:pPr>
            <w:r>
              <w:rPr>
                <w:sz w:val="17"/>
              </w:rPr>
              <w:t xml:space="preserve">Band</w:t>
            </w:r>
          </w:p>
        </w:tc>
      </w:tr>
      <w:tr>
        <w:tc>
          <w:tcPr/>
          <w:p>
            <w:pPr>
              <w:pStyle w:val="Compact"/>
              <w:jc w:val="left"/>
            </w:pPr>
            <w:r>
              <w:rPr>
                <w:sz w:val="17"/>
              </w:rPr>
              <w:t xml:space="preserve">unemp_chg_12m</w:t>
            </w:r>
          </w:p>
        </w:tc>
        <w:tc>
          <w:tcPr/>
          <w:p>
            <w:pPr>
              <w:pStyle w:val="Compact"/>
              <w:jc w:val="right"/>
            </w:pPr>
            <w:r>
              <w:rPr>
                <w:sz w:val="17"/>
              </w:rPr>
              <w:t xml:space="preserve">6.5340</w:t>
            </w:r>
          </w:p>
        </w:tc>
        <w:tc>
          <w:tcPr/>
          <w:p>
            <w:pPr>
              <w:pStyle w:val="Compact"/>
              <w:jc w:val="right"/>
            </w:pPr>
            <w:r>
              <w:rPr>
                <w:sz w:val="17"/>
              </w:rPr>
              <w:t xml:space="preserve">significant</w:t>
            </w:r>
          </w:p>
        </w:tc>
      </w:tr>
      <w:tr>
        <w:tc>
          <w:tcPr/>
          <w:p>
            <w:pPr>
              <w:pStyle w:val="Compact"/>
              <w:jc w:val="left"/>
            </w:pPr>
            <w:r>
              <w:rPr>
                <w:sz w:val="17"/>
              </w:rPr>
              <w:t xml:space="preserve">hpi_chg_12m</w:t>
            </w:r>
          </w:p>
        </w:tc>
        <w:tc>
          <w:tcPr/>
          <w:p>
            <w:pPr>
              <w:pStyle w:val="Compact"/>
              <w:jc w:val="right"/>
            </w:pPr>
            <w:r>
              <w:rPr>
                <w:sz w:val="17"/>
              </w:rPr>
              <w:t xml:space="preserve">1.6971</w:t>
            </w:r>
          </w:p>
        </w:tc>
        <w:tc>
          <w:tcPr/>
          <w:p>
            <w:pPr>
              <w:pStyle w:val="Compact"/>
              <w:jc w:val="right"/>
            </w:pPr>
            <w:r>
              <w:rPr>
                <w:sz w:val="17"/>
              </w:rPr>
              <w:t xml:space="preserve">significant</w:t>
            </w:r>
          </w:p>
        </w:tc>
      </w:tr>
      <w:tr>
        <w:tc>
          <w:tcPr/>
          <w:p>
            <w:pPr>
              <w:pStyle w:val="Compact"/>
              <w:jc w:val="left"/>
            </w:pPr>
            <w:r>
              <w:rPr>
                <w:sz w:val="17"/>
              </w:rPr>
              <w:t xml:space="preserve">incentive</w:t>
            </w:r>
          </w:p>
        </w:tc>
        <w:tc>
          <w:tcPr/>
          <w:p>
            <w:pPr>
              <w:pStyle w:val="Compact"/>
              <w:jc w:val="right"/>
            </w:pPr>
            <w:r>
              <w:rPr>
                <w:sz w:val="17"/>
              </w:rPr>
              <w:t xml:space="preserve">0.8319</w:t>
            </w:r>
          </w:p>
        </w:tc>
        <w:tc>
          <w:tcPr/>
          <w:p>
            <w:pPr>
              <w:pStyle w:val="Compact"/>
              <w:jc w:val="right"/>
            </w:pPr>
            <w:r>
              <w:rPr>
                <w:sz w:val="17"/>
              </w:rPr>
              <w:t xml:space="preserve">significant</w:t>
            </w:r>
          </w:p>
        </w:tc>
      </w:tr>
      <w:tr>
        <w:tc>
          <w:tcPr/>
          <w:p>
            <w:pPr>
              <w:pStyle w:val="Compact"/>
              <w:jc w:val="left"/>
            </w:pPr>
            <w:r>
              <w:rPr>
                <w:sz w:val="17"/>
              </w:rPr>
              <w:t xml:space="preserve">unemp</w:t>
            </w:r>
          </w:p>
        </w:tc>
        <w:tc>
          <w:tcPr/>
          <w:p>
            <w:pPr>
              <w:pStyle w:val="Compact"/>
              <w:jc w:val="right"/>
            </w:pPr>
            <w:r>
              <w:rPr>
                <w:sz w:val="17"/>
              </w:rPr>
              <w:t xml:space="preserve">0.7148</w:t>
            </w:r>
          </w:p>
        </w:tc>
        <w:tc>
          <w:tcPr/>
          <w:p>
            <w:pPr>
              <w:pStyle w:val="Compact"/>
              <w:jc w:val="right"/>
            </w:pPr>
            <w:r>
              <w:rPr>
                <w:sz w:val="17"/>
              </w:rPr>
              <w:t xml:space="preserve">significant</w:t>
            </w:r>
          </w:p>
        </w:tc>
      </w:tr>
      <w:tr>
        <w:tc>
          <w:tcPr/>
          <w:p>
            <w:pPr>
              <w:pStyle w:val="Compact"/>
              <w:jc w:val="left"/>
            </w:pPr>
            <w:r>
              <w:rPr>
                <w:sz w:val="17"/>
              </w:rPr>
              <w:t xml:space="preserve">orig_rate</w:t>
            </w:r>
          </w:p>
        </w:tc>
        <w:tc>
          <w:tcPr/>
          <w:p>
            <w:pPr>
              <w:pStyle w:val="Compact"/>
              <w:jc w:val="right"/>
            </w:pPr>
            <w:r>
              <w:rPr>
                <w:sz w:val="17"/>
              </w:rPr>
              <w:t xml:space="preserve">0.6714</w:t>
            </w:r>
          </w:p>
        </w:tc>
        <w:tc>
          <w:tcPr/>
          <w:p>
            <w:pPr>
              <w:pStyle w:val="Compact"/>
              <w:jc w:val="right"/>
            </w:pPr>
            <w:r>
              <w:rPr>
                <w:sz w:val="17"/>
              </w:rPr>
              <w:t xml:space="preserve">significant</w:t>
            </w:r>
          </w:p>
        </w:tc>
      </w:tr>
      <w:tr>
        <w:tc>
          <w:tcPr/>
          <w:p>
            <w:pPr>
              <w:pStyle w:val="Compact"/>
              <w:jc w:val="left"/>
            </w:pPr>
            <w:r>
              <w:rPr>
                <w:sz w:val="17"/>
              </w:rPr>
              <w:t xml:space="preserve">age</w:t>
            </w:r>
          </w:p>
        </w:tc>
        <w:tc>
          <w:tcPr/>
          <w:p>
            <w:pPr>
              <w:pStyle w:val="Compact"/>
              <w:jc w:val="right"/>
            </w:pPr>
            <w:r>
              <w:rPr>
                <w:sz w:val="17"/>
              </w:rPr>
              <w:t xml:space="preserve">0.3562</w:t>
            </w:r>
          </w:p>
        </w:tc>
        <w:tc>
          <w:tcPr/>
          <w:p>
            <w:pPr>
              <w:pStyle w:val="Compact"/>
              <w:jc w:val="right"/>
            </w:pPr>
            <w:r>
              <w:rPr>
                <w:sz w:val="17"/>
              </w:rPr>
              <w:t xml:space="preserve">significant</w:t>
            </w:r>
          </w:p>
        </w:tc>
      </w:tr>
      <w:tr>
        <w:tc>
          <w:tcPr/>
          <w:p>
            <w:pPr>
              <w:pStyle w:val="Compact"/>
              <w:jc w:val="left"/>
            </w:pPr>
            <w:r>
              <w:rPr>
                <w:sz w:val="17"/>
              </w:rPr>
              <w:t xml:space="preserve">mtm_ltv</w:t>
            </w:r>
          </w:p>
        </w:tc>
        <w:tc>
          <w:tcPr/>
          <w:p>
            <w:pPr>
              <w:pStyle w:val="Compact"/>
              <w:jc w:val="right"/>
            </w:pPr>
            <w:r>
              <w:rPr>
                <w:sz w:val="17"/>
              </w:rPr>
              <w:t xml:space="preserve">0.1488</w:t>
            </w:r>
          </w:p>
        </w:tc>
        <w:tc>
          <w:tcPr/>
          <w:p>
            <w:pPr>
              <w:pStyle w:val="Compact"/>
              <w:jc w:val="right"/>
            </w:pPr>
            <w:r>
              <w:rPr>
                <w:sz w:val="17"/>
              </w:rPr>
              <w:t xml:space="preserve">moderate</w:t>
            </w:r>
          </w:p>
        </w:tc>
      </w:tr>
      <w:tr>
        <w:tc>
          <w:tcPr/>
          <w:p>
            <w:pPr>
              <w:pStyle w:val="Compact"/>
              <w:jc w:val="left"/>
            </w:pPr>
            <w:r>
              <w:rPr>
                <w:sz w:val="17"/>
              </w:rPr>
              <w:t xml:space="preserve">log_upb</w:t>
            </w:r>
          </w:p>
        </w:tc>
        <w:tc>
          <w:tcPr/>
          <w:p>
            <w:pPr>
              <w:pStyle w:val="Compact"/>
              <w:jc w:val="right"/>
            </w:pPr>
            <w:r>
              <w:rPr>
                <w:sz w:val="17"/>
              </w:rPr>
              <w:t xml:space="preserve">0.0116</w:t>
            </w:r>
          </w:p>
        </w:tc>
        <w:tc>
          <w:tcPr/>
          <w:p>
            <w:pPr>
              <w:pStyle w:val="Compact"/>
              <w:jc w:val="right"/>
            </w:pPr>
            <w:r>
              <w:rPr>
                <w:sz w:val="17"/>
              </w:rPr>
              <w:t xml:space="preserve">stable</w:t>
            </w:r>
          </w:p>
        </w:tc>
      </w:tr>
      <w:tr>
        <w:tc>
          <w:tcPr/>
          <w:p>
            <w:pPr>
              <w:pStyle w:val="Compact"/>
              <w:jc w:val="left"/>
            </w:pPr>
            <w:r>
              <w:rPr>
                <w:sz w:val="17"/>
              </w:rPr>
              <w:t xml:space="preserve">times_30dpd_12m</w:t>
            </w:r>
          </w:p>
        </w:tc>
        <w:tc>
          <w:tcPr/>
          <w:p>
            <w:pPr>
              <w:pStyle w:val="Compact"/>
              <w:jc w:val="right"/>
            </w:pPr>
            <w:r>
              <w:rPr>
                <w:sz w:val="17"/>
              </w:rPr>
              <w:t xml:space="preserve">0.0016</w:t>
            </w:r>
          </w:p>
        </w:tc>
        <w:tc>
          <w:tcPr/>
          <w:p>
            <w:pPr>
              <w:pStyle w:val="Compact"/>
              <w:jc w:val="right"/>
            </w:pPr>
            <w:r>
              <w:rPr>
                <w:sz w:val="17"/>
              </w:rPr>
              <w:t xml:space="preserve">stable</w:t>
            </w:r>
          </w:p>
        </w:tc>
      </w:tr>
      <w:tr>
        <w:tc>
          <w:tcPr/>
          <w:p>
            <w:pPr>
              <w:pStyle w:val="Compact"/>
              <w:jc w:val="left"/>
            </w:pPr>
            <w:r>
              <w:rPr>
                <w:sz w:val="17"/>
              </w:rPr>
              <w:t xml:space="preserve">fico</w:t>
            </w:r>
          </w:p>
        </w:tc>
        <w:tc>
          <w:tcPr/>
          <w:p>
            <w:pPr>
              <w:pStyle w:val="Compact"/>
              <w:jc w:val="right"/>
            </w:pPr>
            <w:r>
              <w:rPr>
                <w:sz w:val="17"/>
              </w:rPr>
              <w:t xml:space="preserve">0.0015</w:t>
            </w:r>
          </w:p>
        </w:tc>
        <w:tc>
          <w:tcPr/>
          <w:p>
            <w:pPr>
              <w:pStyle w:val="Compact"/>
              <w:jc w:val="right"/>
            </w:pPr>
            <w:r>
              <w:rPr>
                <w:sz w:val="17"/>
              </w:rPr>
              <w:t xml:space="preserve">stable</w:t>
            </w:r>
          </w:p>
        </w:tc>
      </w:tr>
      <w:tr>
        <w:tc>
          <w:tcPr/>
          <w:p>
            <w:pPr>
              <w:pStyle w:val="Compact"/>
              <w:jc w:val="left"/>
            </w:pPr>
            <w:r>
              <w:rPr>
                <w:sz w:val="17"/>
              </w:rPr>
              <w:t xml:space="preserve">dti</w:t>
            </w:r>
          </w:p>
        </w:tc>
        <w:tc>
          <w:tcPr/>
          <w:p>
            <w:pPr>
              <w:pStyle w:val="Compact"/>
              <w:jc w:val="right"/>
            </w:pPr>
            <w:r>
              <w:rPr>
                <w:sz w:val="17"/>
              </w:rPr>
              <w:t xml:space="preserve">0.0010</w:t>
            </w:r>
          </w:p>
        </w:tc>
        <w:tc>
          <w:tcPr/>
          <w:p>
            <w:pPr>
              <w:pStyle w:val="Compact"/>
              <w:jc w:val="right"/>
            </w:pPr>
            <w:r>
              <w:rPr>
                <w:sz w:val="17"/>
              </w:rPr>
              <w:t xml:space="preserve">stable</w:t>
            </w:r>
          </w:p>
        </w:tc>
      </w:tr>
      <w:tr>
        <w:tc>
          <w:tcPr/>
          <w:p>
            <w:pPr>
              <w:pStyle w:val="Compact"/>
              <w:jc w:val="left"/>
            </w:pPr>
            <w:r>
              <w:rPr>
                <w:sz w:val="17"/>
              </w:rPr>
              <w:t xml:space="preserve">state</w:t>
            </w:r>
          </w:p>
        </w:tc>
        <w:tc>
          <w:tcPr/>
          <w:p>
            <w:pPr>
              <w:pStyle w:val="Compact"/>
              <w:jc w:val="right"/>
            </w:pPr>
            <w:r>
              <w:rPr>
                <w:sz w:val="17"/>
              </w:rPr>
              <w:t xml:space="preserve">0.0006</w:t>
            </w:r>
          </w:p>
        </w:tc>
        <w:tc>
          <w:tcPr/>
          <w:p>
            <w:pPr>
              <w:pStyle w:val="Compact"/>
              <w:jc w:val="right"/>
            </w:pPr>
            <w:r>
              <w:rPr>
                <w:sz w:val="17"/>
              </w:rPr>
              <w:t xml:space="preserve">stable</w:t>
            </w:r>
          </w:p>
        </w:tc>
      </w:tr>
      <w:tr>
        <w:tc>
          <w:tcPr/>
          <w:p>
            <w:pPr>
              <w:pStyle w:val="Compact"/>
              <w:jc w:val="left"/>
            </w:pPr>
            <w:r>
              <w:rPr>
                <w:sz w:val="17"/>
              </w:rPr>
              <w:t xml:space="preserve">occupancy</w:t>
            </w:r>
          </w:p>
        </w:tc>
        <w:tc>
          <w:tcPr/>
          <w:p>
            <w:pPr>
              <w:pStyle w:val="Compact"/>
              <w:jc w:val="right"/>
            </w:pPr>
            <w:r>
              <w:rPr>
                <w:sz w:val="17"/>
              </w:rPr>
              <w:t xml:space="preserve">0.0003</w:t>
            </w:r>
          </w:p>
        </w:tc>
        <w:tc>
          <w:tcPr/>
          <w:p>
            <w:pPr>
              <w:pStyle w:val="Compact"/>
              <w:jc w:val="right"/>
            </w:pPr>
            <w:r>
              <w:rPr>
                <w:sz w:val="17"/>
              </w:rPr>
              <w:t xml:space="preserve">stable</w:t>
            </w:r>
          </w:p>
        </w:tc>
      </w:tr>
      <w:tr>
        <w:tc>
          <w:tcPr/>
          <w:p>
            <w:pPr>
              <w:pStyle w:val="Compact"/>
              <w:jc w:val="left"/>
            </w:pPr>
            <w:r>
              <w:rPr>
                <w:sz w:val="17"/>
              </w:rPr>
              <w:t xml:space="preserve">n_borrowers</w:t>
            </w:r>
          </w:p>
        </w:tc>
        <w:tc>
          <w:tcPr/>
          <w:p>
            <w:pPr>
              <w:pStyle w:val="Compact"/>
              <w:jc w:val="right"/>
            </w:pPr>
            <w:r>
              <w:rPr>
                <w:sz w:val="17"/>
              </w:rPr>
              <w:t xml:space="preserve">0.0002</w:t>
            </w:r>
          </w:p>
        </w:tc>
        <w:tc>
          <w:tcPr/>
          <w:p>
            <w:pPr>
              <w:pStyle w:val="Compact"/>
              <w:jc w:val="right"/>
            </w:pPr>
            <w:r>
              <w:rPr>
                <w:sz w:val="17"/>
              </w:rPr>
              <w:t xml:space="preserve">stable</w:t>
            </w:r>
          </w:p>
        </w:tc>
      </w:tr>
      <w:tr>
        <w:tc>
          <w:tcPr/>
          <w:p>
            <w:pPr>
              <w:pStyle w:val="Compact"/>
              <w:jc w:val="left"/>
            </w:pPr>
            <w:r>
              <w:rPr>
                <w:sz w:val="17"/>
              </w:rPr>
              <w:t xml:space="preserve">orig_ltv</w:t>
            </w:r>
          </w:p>
        </w:tc>
        <w:tc>
          <w:tcPr/>
          <w:p>
            <w:pPr>
              <w:pStyle w:val="Compact"/>
              <w:jc w:val="right"/>
            </w:pPr>
            <w:r>
              <w:rPr>
                <w:sz w:val="17"/>
              </w:rPr>
              <w:t xml:space="preserve">0.0002</w:t>
            </w:r>
          </w:p>
        </w:tc>
        <w:tc>
          <w:tcPr/>
          <w:p>
            <w:pPr>
              <w:pStyle w:val="Compact"/>
              <w:jc w:val="right"/>
            </w:pPr>
            <w:r>
              <w:rPr>
                <w:sz w:val="17"/>
              </w:rPr>
              <w:t xml:space="preserve">stable</w:t>
            </w:r>
          </w:p>
        </w:tc>
      </w:tr>
      <w:tr>
        <w:tc>
          <w:tcPr/>
          <w:p>
            <w:pPr>
              <w:pStyle w:val="Compact"/>
              <w:jc w:val="left"/>
            </w:pPr>
            <w:r>
              <w:rPr>
                <w:sz w:val="17"/>
              </w:rPr>
              <w:t xml:space="preserve">purpose</w:t>
            </w:r>
          </w:p>
        </w:tc>
        <w:tc>
          <w:tcPr/>
          <w:p>
            <w:pPr>
              <w:pStyle w:val="Compact"/>
              <w:jc w:val="right"/>
            </w:pPr>
            <w:r>
              <w:rPr>
                <w:sz w:val="17"/>
              </w:rPr>
              <w:t xml:space="preserve">0.0001</w:t>
            </w:r>
          </w:p>
        </w:tc>
        <w:tc>
          <w:tcPr/>
          <w:p>
            <w:pPr>
              <w:pStyle w:val="Compact"/>
              <w:jc w:val="right"/>
            </w:pPr>
            <w:r>
              <w:rPr>
                <w:sz w:val="17"/>
              </w:rPr>
              <w:t xml:space="preserve">stable</w:t>
            </w:r>
          </w:p>
        </w:tc>
      </w:tr>
      <w:tr>
        <w:tc>
          <w:tcPr/>
          <w:p>
            <w:pPr>
              <w:pStyle w:val="Compact"/>
              <w:jc w:val="left"/>
            </w:pPr>
            <w:r>
              <w:rPr>
                <w:sz w:val="17"/>
              </w:rPr>
              <w:t xml:space="preserve">dlq_status</w:t>
            </w:r>
          </w:p>
        </w:tc>
        <w:tc>
          <w:tcPr/>
          <w:p>
            <w:pPr>
              <w:pStyle w:val="Compact"/>
              <w:jc w:val="right"/>
            </w:pPr>
            <w:r>
              <w:rPr>
                <w:sz w:val="17"/>
              </w:rPr>
              <w:t xml:space="preserve">0.0001</w:t>
            </w:r>
          </w:p>
        </w:tc>
        <w:tc>
          <w:tcPr/>
          <w:p>
            <w:pPr>
              <w:pStyle w:val="Compact"/>
              <w:jc w:val="right"/>
            </w:pPr>
            <w:r>
              <w:rPr>
                <w:sz w:val="17"/>
              </w:rPr>
              <w:t xml:space="preserve">stable</w:t>
            </w:r>
          </w:p>
        </w:tc>
      </w:tr>
    </w:tbl>
    <w:p>
      <w:pPr>
        <w:pStyle w:val="BodyText"/>
      </w:pPr>
      <w:r>
        <w:t xml:space="preserve">The score distributions are stable out of time (LightGBM PSI 0.0087, XGBoost 0.0062, scorecard 0.0118), while the</w:t>
      </w:r>
      <w:r>
        <w:t xml:space="preserve"> </w:t>
      </w:r>
      <w:r>
        <w:rPr>
          <w:i/>
          <w:iCs/>
        </w:rPr>
        <w:t xml:space="preserve">inputs</w:t>
      </w:r>
      <w:r>
        <w:t xml:space="preserve"> </w:t>
      </w:r>
      <w:r>
        <w:t xml:space="preserve">drifted a lot: the macro and rate features dominate the CSI ranking (</w:t>
      </w:r>
      <w:r>
        <w:rPr>
          <w:rStyle w:val="VerbatimChar"/>
        </w:rPr>
        <w:t xml:space="preserve">unemp_chg_12m</w:t>
      </w:r>
      <w:r>
        <w:t xml:space="preserve"> </w:t>
      </w:r>
      <w:r>
        <w:t xml:space="preserve">(6.53),</w:t>
      </w:r>
      <w:r>
        <w:t xml:space="preserve"> </w:t>
      </w:r>
      <w:r>
        <w:rPr>
          <w:rStyle w:val="VerbatimChar"/>
        </w:rPr>
        <w:t xml:space="preserve">hpi_chg_12m</w:t>
      </w:r>
      <w:r>
        <w:t xml:space="preserve"> </w:t>
      </w:r>
      <w:r>
        <w:t xml:space="preserve">(1.70),</w:t>
      </w:r>
      <w:r>
        <w:t xml:space="preserve"> </w:t>
      </w:r>
      <w:r>
        <w:rPr>
          <w:rStyle w:val="VerbatimChar"/>
        </w:rPr>
        <w:t xml:space="preserve">incentive</w:t>
      </w:r>
      <w:r>
        <w:t xml:space="preserve"> </w:t>
      </w:r>
      <w:r>
        <w:t xml:space="preserve">(0.83),</w:t>
      </w:r>
      <w:r>
        <w:t xml:space="preserve"> </w:t>
      </w:r>
      <w:r>
        <w:rPr>
          <w:rStyle w:val="VerbatimChar"/>
        </w:rPr>
        <w:t xml:space="preserve">unemp</w:t>
      </w:r>
      <w:r>
        <w:t xml:space="preserve"> </w:t>
      </w:r>
      <w:r>
        <w:t xml:space="preserve">(0.71)). The reason is the test design: the OOT window includes the 2020 labour market shock and the 2022 rate rise. The scorecard's PSI against the calibration window (0.1023) is in the moderate band, which an ongoing monitoring programme would investigate; the cause here is that the calibration window is a short, benign half-year. The population features borrowers choose at origination (FICO, LTV, DTI, balance) have CSI near zero, as the simulator draws every vintage from the same distribution.</w:t>
      </w:r>
    </w:p>
    <w:p>
      <w:pPr>
        <w:pStyle w:val="BodyText"/>
      </w:pPr>
      <w:r>
        <w:t xml:space="preserve">The decile edges used for the scorecard PSI in the Excel workbook come from the training scores:</w:t>
      </w:r>
    </w:p>
    <w:p>
      <w:pPr>
        <w:pStyle w:val="TableCaption"/>
      </w:pPr>
      <w:r>
        <w:t xml:space="preserve">Training-score decile bins used as the PSI baseline (</w:t>
      </w:r>
      <w:r>
        <w:rPr>
          <w:rStyle w:val="VerbatimChar"/>
        </w:rPr>
        <w:t xml:space="preserve">excel_inputs/psi_train_bins.csv</w:t>
      </w:r>
      <w:r>
        <w:t xml:space="preserve">).</w:t>
      </w:r>
    </w:p>
    <w:tbl>
      <w:tblPr>
        <w:tblStyle w:val="Table"/>
        <w:tblW w:type="auto" w:w="0"/>
        <w:tblLook w:firstRow="1" w:lastRow="0" w:firstColumn="0" w:lastColumn="0" w:noHBand="0" w:noVBand="0" w:val="0020"/>
        <w:tblCaption w:val="Training-score decile bins used as the PSI baseline (excel_inputs/psi_train_bins.csv)."/>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jc w:val="left"/>
            </w:pPr>
            <w:r>
              <w:rPr>
                <w:sz w:val="17"/>
              </w:rPr>
              <w:t xml:space="preserve">Bin</w:t>
            </w:r>
          </w:p>
        </w:tc>
        <w:tc>
          <w:tcPr/>
          <w:p>
            <w:pPr>
              <w:pStyle w:val="Compact"/>
              <w:jc w:val="right"/>
            </w:pPr>
            <w:r>
              <w:rPr>
                <w:sz w:val="17"/>
              </w:rPr>
              <w:t xml:space="preserve">Lower edge (PD)</w:t>
            </w:r>
          </w:p>
        </w:tc>
        <w:tc>
          <w:tcPr/>
          <w:p>
            <w:pPr>
              <w:pStyle w:val="Compact"/>
              <w:jc w:val="right"/>
            </w:pPr>
            <w:r>
              <w:rPr>
                <w:sz w:val="17"/>
              </w:rPr>
              <w:t xml:space="preserve">Upper edge (PD)</w:t>
            </w:r>
          </w:p>
        </w:tc>
        <w:tc>
          <w:tcPr/>
          <w:p>
            <w:pPr>
              <w:pStyle w:val="Compact"/>
              <w:jc w:val="right"/>
            </w:pPr>
            <w:r>
              <w:rPr>
                <w:sz w:val="17"/>
              </w:rPr>
              <w:t xml:space="preserve">Train share</w:t>
            </w:r>
          </w:p>
        </w:tc>
      </w:tr>
      <w:tr>
        <w:tc>
          <w:tcPr/>
          <w:p>
            <w:pPr>
              <w:pStyle w:val="Compact"/>
              <w:jc w:val="left"/>
            </w:pPr>
            <w:r>
              <w:rPr>
                <w:sz w:val="17"/>
              </w:rPr>
              <w:t xml:space="preserve">1.0</w:t>
            </w:r>
          </w:p>
        </w:tc>
        <w:tc>
          <w:tcPr/>
          <w:p>
            <w:pPr>
              <w:pStyle w:val="Compact"/>
              <w:jc w:val="right"/>
            </w:pPr>
            <w:r>
              <w:rPr>
                <w:sz w:val="17"/>
              </w:rPr>
              <w:t xml:space="preserve">-inf</w:t>
            </w:r>
          </w:p>
        </w:tc>
        <w:tc>
          <w:tcPr/>
          <w:p>
            <w:pPr>
              <w:pStyle w:val="Compact"/>
              <w:jc w:val="right"/>
            </w:pPr>
            <w:r>
              <w:rPr>
                <w:sz w:val="17"/>
              </w:rPr>
              <w:t xml:space="preserve">0.160%</w:t>
            </w:r>
          </w:p>
        </w:tc>
        <w:tc>
          <w:tcPr/>
          <w:p>
            <w:pPr>
              <w:pStyle w:val="Compact"/>
              <w:jc w:val="right"/>
            </w:pPr>
            <w:r>
              <w:rPr>
                <w:sz w:val="17"/>
              </w:rPr>
              <w:t xml:space="preserve">10.00%</w:t>
            </w:r>
          </w:p>
        </w:tc>
      </w:tr>
      <w:tr>
        <w:tc>
          <w:tcPr/>
          <w:p>
            <w:pPr>
              <w:pStyle w:val="Compact"/>
              <w:jc w:val="left"/>
            </w:pPr>
            <w:r>
              <w:rPr>
                <w:sz w:val="17"/>
              </w:rPr>
              <w:t xml:space="preserve">2.0</w:t>
            </w:r>
          </w:p>
        </w:tc>
        <w:tc>
          <w:tcPr/>
          <w:p>
            <w:pPr>
              <w:pStyle w:val="Compact"/>
              <w:jc w:val="right"/>
            </w:pPr>
            <w:r>
              <w:rPr>
                <w:sz w:val="17"/>
              </w:rPr>
              <w:t xml:space="preserve">0.160%</w:t>
            </w:r>
          </w:p>
        </w:tc>
        <w:tc>
          <w:tcPr/>
          <w:p>
            <w:pPr>
              <w:pStyle w:val="Compact"/>
              <w:jc w:val="right"/>
            </w:pPr>
            <w:r>
              <w:rPr>
                <w:sz w:val="17"/>
              </w:rPr>
              <w:t xml:space="preserve">0.271%</w:t>
            </w:r>
          </w:p>
        </w:tc>
        <w:tc>
          <w:tcPr/>
          <w:p>
            <w:pPr>
              <w:pStyle w:val="Compact"/>
              <w:jc w:val="right"/>
            </w:pPr>
            <w:r>
              <w:rPr>
                <w:sz w:val="17"/>
              </w:rPr>
              <w:t xml:space="preserve">10.00%</w:t>
            </w:r>
          </w:p>
        </w:tc>
      </w:tr>
      <w:tr>
        <w:tc>
          <w:tcPr/>
          <w:p>
            <w:pPr>
              <w:pStyle w:val="Compact"/>
              <w:jc w:val="left"/>
            </w:pPr>
            <w:r>
              <w:rPr>
                <w:sz w:val="17"/>
              </w:rPr>
              <w:t xml:space="preserve">3.0</w:t>
            </w:r>
          </w:p>
        </w:tc>
        <w:tc>
          <w:tcPr/>
          <w:p>
            <w:pPr>
              <w:pStyle w:val="Compact"/>
              <w:jc w:val="right"/>
            </w:pPr>
            <w:r>
              <w:rPr>
                <w:sz w:val="17"/>
              </w:rPr>
              <w:t xml:space="preserve">0.271%</w:t>
            </w:r>
          </w:p>
        </w:tc>
        <w:tc>
          <w:tcPr/>
          <w:p>
            <w:pPr>
              <w:pStyle w:val="Compact"/>
              <w:jc w:val="right"/>
            </w:pPr>
            <w:r>
              <w:rPr>
                <w:sz w:val="17"/>
              </w:rPr>
              <w:t xml:space="preserve">0.427%</w:t>
            </w:r>
          </w:p>
        </w:tc>
        <w:tc>
          <w:tcPr/>
          <w:p>
            <w:pPr>
              <w:pStyle w:val="Compact"/>
              <w:jc w:val="right"/>
            </w:pPr>
            <w:r>
              <w:rPr>
                <w:sz w:val="17"/>
              </w:rPr>
              <w:t xml:space="preserve">10.00%</w:t>
            </w:r>
          </w:p>
        </w:tc>
      </w:tr>
      <w:tr>
        <w:tc>
          <w:tcPr/>
          <w:p>
            <w:pPr>
              <w:pStyle w:val="Compact"/>
              <w:jc w:val="left"/>
            </w:pPr>
            <w:r>
              <w:rPr>
                <w:sz w:val="17"/>
              </w:rPr>
              <w:t xml:space="preserve">4.0</w:t>
            </w:r>
          </w:p>
        </w:tc>
        <w:tc>
          <w:tcPr/>
          <w:p>
            <w:pPr>
              <w:pStyle w:val="Compact"/>
              <w:jc w:val="right"/>
            </w:pPr>
            <w:r>
              <w:rPr>
                <w:sz w:val="17"/>
              </w:rPr>
              <w:t xml:space="preserve">0.427%</w:t>
            </w:r>
          </w:p>
        </w:tc>
        <w:tc>
          <w:tcPr/>
          <w:p>
            <w:pPr>
              <w:pStyle w:val="Compact"/>
              <w:jc w:val="right"/>
            </w:pPr>
            <w:r>
              <w:rPr>
                <w:sz w:val="17"/>
              </w:rPr>
              <w:t xml:space="preserve">0.616%</w:t>
            </w:r>
          </w:p>
        </w:tc>
        <w:tc>
          <w:tcPr/>
          <w:p>
            <w:pPr>
              <w:pStyle w:val="Compact"/>
              <w:jc w:val="right"/>
            </w:pPr>
            <w:r>
              <w:rPr>
                <w:sz w:val="17"/>
              </w:rPr>
              <w:t xml:space="preserve">10.00%</w:t>
            </w:r>
          </w:p>
        </w:tc>
      </w:tr>
      <w:tr>
        <w:tc>
          <w:tcPr/>
          <w:p>
            <w:pPr>
              <w:pStyle w:val="Compact"/>
              <w:jc w:val="left"/>
            </w:pPr>
            <w:r>
              <w:rPr>
                <w:sz w:val="17"/>
              </w:rPr>
              <w:t xml:space="preserve">5.0</w:t>
            </w:r>
          </w:p>
        </w:tc>
        <w:tc>
          <w:tcPr/>
          <w:p>
            <w:pPr>
              <w:pStyle w:val="Compact"/>
              <w:jc w:val="right"/>
            </w:pPr>
            <w:r>
              <w:rPr>
                <w:sz w:val="17"/>
              </w:rPr>
              <w:t xml:space="preserve">0.616%</w:t>
            </w:r>
          </w:p>
        </w:tc>
        <w:tc>
          <w:tcPr/>
          <w:p>
            <w:pPr>
              <w:pStyle w:val="Compact"/>
              <w:jc w:val="right"/>
            </w:pPr>
            <w:r>
              <w:rPr>
                <w:sz w:val="17"/>
              </w:rPr>
              <w:t xml:space="preserve">0.859%</w:t>
            </w:r>
          </w:p>
        </w:tc>
        <w:tc>
          <w:tcPr/>
          <w:p>
            <w:pPr>
              <w:pStyle w:val="Compact"/>
              <w:jc w:val="right"/>
            </w:pPr>
            <w:r>
              <w:rPr>
                <w:sz w:val="17"/>
              </w:rPr>
              <w:t xml:space="preserve">10.00%</w:t>
            </w:r>
          </w:p>
        </w:tc>
      </w:tr>
      <w:tr>
        <w:tc>
          <w:tcPr/>
          <w:p>
            <w:pPr>
              <w:pStyle w:val="Compact"/>
              <w:jc w:val="left"/>
            </w:pPr>
            <w:r>
              <w:rPr>
                <w:sz w:val="17"/>
              </w:rPr>
              <w:t xml:space="preserve">6.0</w:t>
            </w:r>
          </w:p>
        </w:tc>
        <w:tc>
          <w:tcPr/>
          <w:p>
            <w:pPr>
              <w:pStyle w:val="Compact"/>
              <w:jc w:val="right"/>
            </w:pPr>
            <w:r>
              <w:rPr>
                <w:sz w:val="17"/>
              </w:rPr>
              <w:t xml:space="preserve">0.859%</w:t>
            </w:r>
          </w:p>
        </w:tc>
        <w:tc>
          <w:tcPr/>
          <w:p>
            <w:pPr>
              <w:pStyle w:val="Compact"/>
              <w:jc w:val="right"/>
            </w:pPr>
            <w:r>
              <w:rPr>
                <w:sz w:val="17"/>
              </w:rPr>
              <w:t xml:space="preserve">1.205%</w:t>
            </w:r>
          </w:p>
        </w:tc>
        <w:tc>
          <w:tcPr/>
          <w:p>
            <w:pPr>
              <w:pStyle w:val="Compact"/>
              <w:jc w:val="right"/>
            </w:pPr>
            <w:r>
              <w:rPr>
                <w:sz w:val="17"/>
              </w:rPr>
              <w:t xml:space="preserve">10.00%</w:t>
            </w:r>
          </w:p>
        </w:tc>
      </w:tr>
      <w:tr>
        <w:tc>
          <w:tcPr/>
          <w:p>
            <w:pPr>
              <w:pStyle w:val="Compact"/>
              <w:jc w:val="left"/>
            </w:pPr>
            <w:r>
              <w:rPr>
                <w:sz w:val="17"/>
              </w:rPr>
              <w:t xml:space="preserve">7.0</w:t>
            </w:r>
          </w:p>
        </w:tc>
        <w:tc>
          <w:tcPr/>
          <w:p>
            <w:pPr>
              <w:pStyle w:val="Compact"/>
              <w:jc w:val="right"/>
            </w:pPr>
            <w:r>
              <w:rPr>
                <w:sz w:val="17"/>
              </w:rPr>
              <w:t xml:space="preserve">1.205%</w:t>
            </w:r>
          </w:p>
        </w:tc>
        <w:tc>
          <w:tcPr/>
          <w:p>
            <w:pPr>
              <w:pStyle w:val="Compact"/>
              <w:jc w:val="right"/>
            </w:pPr>
            <w:r>
              <w:rPr>
                <w:sz w:val="17"/>
              </w:rPr>
              <w:t xml:space="preserve">1.719%</w:t>
            </w:r>
          </w:p>
        </w:tc>
        <w:tc>
          <w:tcPr/>
          <w:p>
            <w:pPr>
              <w:pStyle w:val="Compact"/>
              <w:jc w:val="right"/>
            </w:pPr>
            <w:r>
              <w:rPr>
                <w:sz w:val="17"/>
              </w:rPr>
              <w:t xml:space="preserve">10.00%</w:t>
            </w:r>
          </w:p>
        </w:tc>
      </w:tr>
      <w:tr>
        <w:tc>
          <w:tcPr/>
          <w:p>
            <w:pPr>
              <w:pStyle w:val="Compact"/>
              <w:jc w:val="left"/>
            </w:pPr>
            <w:r>
              <w:rPr>
                <w:sz w:val="17"/>
              </w:rPr>
              <w:t xml:space="preserve">8.0</w:t>
            </w:r>
          </w:p>
        </w:tc>
        <w:tc>
          <w:tcPr/>
          <w:p>
            <w:pPr>
              <w:pStyle w:val="Compact"/>
              <w:jc w:val="right"/>
            </w:pPr>
            <w:r>
              <w:rPr>
                <w:sz w:val="17"/>
              </w:rPr>
              <w:t xml:space="preserve">1.719%</w:t>
            </w:r>
          </w:p>
        </w:tc>
        <w:tc>
          <w:tcPr/>
          <w:p>
            <w:pPr>
              <w:pStyle w:val="Compact"/>
              <w:jc w:val="right"/>
            </w:pPr>
            <w:r>
              <w:rPr>
                <w:sz w:val="17"/>
              </w:rPr>
              <w:t xml:space="preserve">2.664%</w:t>
            </w:r>
          </w:p>
        </w:tc>
        <w:tc>
          <w:tcPr/>
          <w:p>
            <w:pPr>
              <w:pStyle w:val="Compact"/>
              <w:jc w:val="right"/>
            </w:pPr>
            <w:r>
              <w:rPr>
                <w:sz w:val="17"/>
              </w:rPr>
              <w:t xml:space="preserve">10.00%</w:t>
            </w:r>
          </w:p>
        </w:tc>
      </w:tr>
      <w:tr>
        <w:tc>
          <w:tcPr/>
          <w:p>
            <w:pPr>
              <w:pStyle w:val="Compact"/>
              <w:jc w:val="left"/>
            </w:pPr>
            <w:r>
              <w:rPr>
                <w:sz w:val="17"/>
              </w:rPr>
              <w:t xml:space="preserve">9.0</w:t>
            </w:r>
          </w:p>
        </w:tc>
        <w:tc>
          <w:tcPr/>
          <w:p>
            <w:pPr>
              <w:pStyle w:val="Compact"/>
              <w:jc w:val="right"/>
            </w:pPr>
            <w:r>
              <w:rPr>
                <w:sz w:val="17"/>
              </w:rPr>
              <w:t xml:space="preserve">2.664%</w:t>
            </w:r>
          </w:p>
        </w:tc>
        <w:tc>
          <w:tcPr/>
          <w:p>
            <w:pPr>
              <w:pStyle w:val="Compact"/>
              <w:jc w:val="right"/>
            </w:pPr>
            <w:r>
              <w:rPr>
                <w:sz w:val="17"/>
              </w:rPr>
              <w:t xml:space="preserve">4.769%</w:t>
            </w:r>
          </w:p>
        </w:tc>
        <w:tc>
          <w:tcPr/>
          <w:p>
            <w:pPr>
              <w:pStyle w:val="Compact"/>
              <w:jc w:val="right"/>
            </w:pPr>
            <w:r>
              <w:rPr>
                <w:sz w:val="17"/>
              </w:rPr>
              <w:t xml:space="preserve">10.00%</w:t>
            </w:r>
          </w:p>
        </w:tc>
      </w:tr>
      <w:tr>
        <w:tc>
          <w:tcPr/>
          <w:p>
            <w:pPr>
              <w:pStyle w:val="Compact"/>
              <w:jc w:val="left"/>
            </w:pPr>
            <w:r>
              <w:rPr>
                <w:sz w:val="17"/>
              </w:rPr>
              <w:t xml:space="preserve">10.0</w:t>
            </w:r>
          </w:p>
        </w:tc>
        <w:tc>
          <w:tcPr/>
          <w:p>
            <w:pPr>
              <w:pStyle w:val="Compact"/>
              <w:jc w:val="right"/>
            </w:pPr>
            <w:r>
              <w:rPr>
                <w:sz w:val="17"/>
              </w:rPr>
              <w:t xml:space="preserve">4.769%</w:t>
            </w:r>
          </w:p>
        </w:tc>
        <w:tc>
          <w:tcPr/>
          <w:p>
            <w:pPr>
              <w:pStyle w:val="Compact"/>
              <w:jc w:val="right"/>
            </w:pPr>
            <w:r>
              <w:rPr>
                <w:sz w:val="17"/>
              </w:rPr>
              <w:t xml:space="preserve">inf</w:t>
            </w:r>
          </w:p>
        </w:tc>
        <w:tc>
          <w:tcPr/>
          <w:p>
            <w:pPr>
              <w:pStyle w:val="Compact"/>
              <w:jc w:val="right"/>
            </w:pPr>
            <w:r>
              <w:rPr>
                <w:sz w:val="17"/>
              </w:rPr>
              <w:t xml:space="preserve">10.00%</w:t>
            </w:r>
          </w:p>
        </w:tc>
      </w:tr>
    </w:tbl>
    <w:bookmarkEnd w:id="73"/>
    <w:bookmarkStart w:id="83" w:name="prepayment-results"/>
    <w:p>
      <w:pPr>
        <w:pStyle w:val="Heading2"/>
      </w:pPr>
      <w:r>
        <w:rPr>
          <w:rStyle w:val="SectionNumber"/>
        </w:rPr>
        <w:t xml:space="preserve">8.6</w:t>
      </w:r>
      <w:r>
        <w:tab/>
      </w:r>
      <w:r>
        <w:t xml:space="preserve">Prepayment results</w:t>
      </w:r>
    </w:p>
    <w:p>
      <w:pPr>
        <w:pStyle w:val="TableCaption"/>
      </w:pPr>
      <w:r>
        <w:t xml:space="preserve">Prepayment models, out-of-time on loan-month rows. The hinge logit is the baseline.</w:t>
      </w:r>
    </w:p>
    <w:tbl>
      <w:tblPr>
        <w:tblStyle w:val="Table"/>
        <w:tblW w:type="pct" w:w="5000"/>
        <w:tblLayout w:type="fixed"/>
        <w:tblLook w:firstRow="1" w:lastRow="0" w:firstColumn="0" w:lastColumn="0" w:noHBand="0" w:noVBand="0" w:val="0020"/>
        <w:tblCaption w:val="Prepayment models, out-of-time on loan-month rows. The hinge logit is the baselin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26"/>
        <w:gridCol w:w="758"/>
        <w:gridCol w:w="758"/>
        <w:gridCol w:w="589"/>
        <w:gridCol w:w="1179"/>
        <w:gridCol w:w="674"/>
        <w:gridCol w:w="505"/>
        <w:gridCol w:w="758"/>
        <w:gridCol w:w="1095"/>
        <w:gridCol w:w="674"/>
      </w:tblGrid>
      <w:tr>
        <w:trPr>
          <w:tblHeader w:val="on"/>
        </w:trPr>
        <w:tc>
          <w:tcPr/>
          <w:p>
            <w:pPr>
              <w:pStyle w:val="Compact"/>
              <w:jc w:val="left"/>
            </w:pPr>
            <w:r>
              <w:rPr>
                <w:sz w:val="17"/>
              </w:rPr>
              <w:t xml:space="preserve">Model</w:t>
            </w:r>
          </w:p>
        </w:tc>
        <w:tc>
          <w:tcPr/>
          <w:p>
            <w:pPr>
              <w:pStyle w:val="Compact"/>
              <w:jc w:val="right"/>
            </w:pPr>
            <w:r>
              <w:rPr>
                <w:sz w:val="17"/>
              </w:rPr>
              <w:t xml:space="preserve">Train AUC</w:t>
            </w:r>
          </w:p>
        </w:tc>
        <w:tc>
          <w:tcPr/>
          <w:p>
            <w:pPr>
              <w:pStyle w:val="Compact"/>
              <w:jc w:val="right"/>
            </w:pPr>
            <w:r>
              <w:rPr>
                <w:sz w:val="17"/>
              </w:rPr>
              <w:t xml:space="preserve">Calib AUC</w:t>
            </w:r>
          </w:p>
        </w:tc>
        <w:tc>
          <w:tcPr/>
          <w:p>
            <w:pPr>
              <w:pStyle w:val="Compact"/>
              <w:jc w:val="right"/>
            </w:pPr>
            <w:r>
              <w:rPr>
                <w:sz w:val="17"/>
              </w:rPr>
              <w:t xml:space="preserve">OOT AUC</w:t>
            </w:r>
          </w:p>
        </w:tc>
        <w:tc>
          <w:tcPr/>
          <w:p>
            <w:pPr>
              <w:pStyle w:val="Compact"/>
              <w:jc w:val="right"/>
            </w:pPr>
            <w:r>
              <w:rPr>
                <w:sz w:val="17"/>
              </w:rPr>
              <w:t xml:space="preserve">OOT AUC 95% CI</w:t>
            </w:r>
          </w:p>
        </w:tc>
        <w:tc>
          <w:tcPr/>
          <w:p>
            <w:pPr>
              <w:pStyle w:val="Compact"/>
              <w:jc w:val="right"/>
            </w:pPr>
            <w:r>
              <w:rPr>
                <w:sz w:val="17"/>
              </w:rPr>
              <w:t xml:space="preserve">OOT Gini</w:t>
            </w:r>
          </w:p>
        </w:tc>
        <w:tc>
          <w:tcPr/>
          <w:p>
            <w:pPr>
              <w:pStyle w:val="Compact"/>
              <w:jc w:val="right"/>
            </w:pPr>
            <w:r>
              <w:rPr>
                <w:sz w:val="17"/>
              </w:rPr>
              <w:t xml:space="preserve">OOT KS</w:t>
            </w:r>
          </w:p>
        </w:tc>
        <w:tc>
          <w:tcPr/>
          <w:p>
            <w:pPr>
              <w:pStyle w:val="Compact"/>
              <w:jc w:val="right"/>
            </w:pPr>
            <w:r>
              <w:rPr>
                <w:sz w:val="17"/>
              </w:rPr>
              <w:t xml:space="preserve">OOT Brier</w:t>
            </w:r>
          </w:p>
        </w:tc>
        <w:tc>
          <w:tcPr/>
          <w:p>
            <w:pPr>
              <w:pStyle w:val="Compact"/>
              <w:jc w:val="right"/>
            </w:pPr>
            <w:r>
              <w:rPr>
                <w:sz w:val="17"/>
              </w:rPr>
              <w:t xml:space="preserve">dAUC vs logit</w:t>
            </w:r>
          </w:p>
        </w:tc>
        <w:tc>
          <w:tcPr/>
          <w:p>
            <w:pPr>
              <w:pStyle w:val="Compact"/>
              <w:jc w:val="right"/>
            </w:pPr>
            <w:r>
              <w:rPr>
                <w:sz w:val="17"/>
              </w:rPr>
              <w:t xml:space="preserve">DeLong p</w:t>
            </w:r>
          </w:p>
        </w:tc>
      </w:tr>
      <w:tr>
        <w:tc>
          <w:tcPr/>
          <w:p>
            <w:pPr>
              <w:pStyle w:val="Compact"/>
              <w:jc w:val="left"/>
            </w:pPr>
            <w:r>
              <w:rPr>
                <w:sz w:val="17"/>
              </w:rPr>
              <w:t xml:space="preserve">Hinge logit</w:t>
            </w:r>
          </w:p>
        </w:tc>
        <w:tc>
          <w:tcPr/>
          <w:p>
            <w:pPr>
              <w:pStyle w:val="Compact"/>
              <w:jc w:val="right"/>
            </w:pPr>
            <w:r>
              <w:rPr>
                <w:sz w:val="17"/>
              </w:rPr>
              <w:t xml:space="preserve">0.673</w:t>
            </w:r>
          </w:p>
        </w:tc>
        <w:tc>
          <w:tcPr/>
          <w:p>
            <w:pPr>
              <w:pStyle w:val="Compact"/>
              <w:jc w:val="right"/>
            </w:pPr>
            <w:r>
              <w:rPr>
                <w:sz w:val="17"/>
              </w:rPr>
              <w:t xml:space="preserve">0.652</w:t>
            </w:r>
          </w:p>
        </w:tc>
        <w:tc>
          <w:tcPr/>
          <w:p>
            <w:pPr>
              <w:pStyle w:val="Compact"/>
              <w:jc w:val="right"/>
            </w:pPr>
            <w:r>
              <w:rPr>
                <w:sz w:val="17"/>
              </w:rPr>
              <w:t xml:space="preserve">0.727</w:t>
            </w:r>
          </w:p>
        </w:tc>
        <w:tc>
          <w:tcPr/>
          <w:p>
            <w:pPr>
              <w:pStyle w:val="Compact"/>
              <w:jc w:val="right"/>
            </w:pPr>
            <w:r>
              <w:rPr>
                <w:sz w:val="17"/>
              </w:rPr>
              <w:t xml:space="preserve">0.701 to 0.745</w:t>
            </w:r>
          </w:p>
        </w:tc>
        <w:tc>
          <w:tcPr/>
          <w:p>
            <w:pPr>
              <w:pStyle w:val="Compact"/>
              <w:jc w:val="right"/>
            </w:pPr>
            <w:r>
              <w:rPr>
                <w:sz w:val="17"/>
              </w:rPr>
              <w:t xml:space="preserve">0.455</w:t>
            </w:r>
          </w:p>
        </w:tc>
        <w:tc>
          <w:tcPr/>
          <w:p>
            <w:pPr>
              <w:pStyle w:val="Compact"/>
              <w:jc w:val="right"/>
            </w:pPr>
            <w:r>
              <w:rPr>
                <w:sz w:val="17"/>
              </w:rPr>
              <w:t xml:space="preserve">0.376</w:t>
            </w:r>
          </w:p>
        </w:tc>
        <w:tc>
          <w:tcPr/>
          <w:p>
            <w:pPr>
              <w:pStyle w:val="Compact"/>
              <w:jc w:val="right"/>
            </w:pPr>
            <w:r>
              <w:rPr>
                <w:sz w:val="17"/>
              </w:rPr>
              <w:t xml:space="preserve">0.0222</w:t>
            </w:r>
          </w:p>
        </w:tc>
        <w:tc>
          <w:tcPr/>
          <w:p>
            <w:pPr>
              <w:pStyle w:val="Compact"/>
              <w:jc w:val="right"/>
            </w:pPr>
            <w:r>
              <w:rPr>
                <w:sz w:val="17"/>
              </w:rPr>
              <w:t xml:space="preserve">baseline</w:t>
            </w:r>
          </w:p>
        </w:tc>
        <w:tc>
          <w:tcPr/>
          <w:p>
            <w:pPr>
              <w:pStyle w:val="Compact"/>
              <w:jc w:val="right"/>
            </w:pPr>
            <w:r>
              <w:rPr>
                <w:sz w:val="17"/>
              </w:rPr>
              <w:t xml:space="preserve">n/a</w:t>
            </w:r>
          </w:p>
        </w:tc>
      </w:tr>
      <w:tr>
        <w:tc>
          <w:tcPr/>
          <w:p>
            <w:pPr>
              <w:pStyle w:val="Compact"/>
              <w:jc w:val="left"/>
            </w:pPr>
            <w:r>
              <w:rPr>
                <w:sz w:val="17"/>
              </w:rPr>
              <w:t xml:space="preserve">XGBoost</w:t>
            </w:r>
          </w:p>
        </w:tc>
        <w:tc>
          <w:tcPr/>
          <w:p>
            <w:pPr>
              <w:pStyle w:val="Compact"/>
              <w:jc w:val="right"/>
            </w:pPr>
            <w:r>
              <w:rPr>
                <w:sz w:val="17"/>
              </w:rPr>
              <w:t xml:space="preserve">0.689</w:t>
            </w:r>
          </w:p>
        </w:tc>
        <w:tc>
          <w:tcPr/>
          <w:p>
            <w:pPr>
              <w:pStyle w:val="Compact"/>
              <w:jc w:val="right"/>
            </w:pPr>
            <w:r>
              <w:rPr>
                <w:sz w:val="17"/>
              </w:rPr>
              <w:t xml:space="preserve">0.648</w:t>
            </w:r>
          </w:p>
        </w:tc>
        <w:tc>
          <w:tcPr/>
          <w:p>
            <w:pPr>
              <w:pStyle w:val="Compact"/>
              <w:jc w:val="right"/>
            </w:pPr>
            <w:r>
              <w:rPr>
                <w:sz w:val="17"/>
              </w:rPr>
              <w:t xml:space="preserve">0.729</w:t>
            </w:r>
          </w:p>
        </w:tc>
        <w:tc>
          <w:tcPr/>
          <w:p>
            <w:pPr>
              <w:pStyle w:val="Compact"/>
              <w:jc w:val="right"/>
            </w:pPr>
            <w:r>
              <w:rPr>
                <w:sz w:val="17"/>
              </w:rPr>
              <w:t xml:space="preserve">0.699 to 0.743</w:t>
            </w:r>
          </w:p>
        </w:tc>
        <w:tc>
          <w:tcPr/>
          <w:p>
            <w:pPr>
              <w:pStyle w:val="Compact"/>
              <w:jc w:val="right"/>
            </w:pPr>
            <w:r>
              <w:rPr>
                <w:sz w:val="17"/>
              </w:rPr>
              <w:t xml:space="preserve">0.459</w:t>
            </w:r>
          </w:p>
        </w:tc>
        <w:tc>
          <w:tcPr/>
          <w:p>
            <w:pPr>
              <w:pStyle w:val="Compact"/>
              <w:jc w:val="right"/>
            </w:pPr>
            <w:r>
              <w:rPr>
                <w:sz w:val="17"/>
              </w:rPr>
              <w:t xml:space="preserve">0.372</w:t>
            </w:r>
          </w:p>
        </w:tc>
        <w:tc>
          <w:tcPr/>
          <w:p>
            <w:pPr>
              <w:pStyle w:val="Compact"/>
              <w:jc w:val="right"/>
            </w:pPr>
            <w:r>
              <w:rPr>
                <w:sz w:val="17"/>
              </w:rPr>
              <w:t xml:space="preserve">0.0223</w:t>
            </w:r>
          </w:p>
        </w:tc>
        <w:tc>
          <w:tcPr/>
          <w:p>
            <w:pPr>
              <w:pStyle w:val="Compact"/>
              <w:jc w:val="right"/>
            </w:pPr>
            <w:r>
              <w:rPr>
                <w:sz w:val="17"/>
              </w:rPr>
              <w:t xml:space="preserve">+0.0021</w:t>
            </w:r>
          </w:p>
        </w:tc>
        <w:tc>
          <w:tcPr/>
          <w:p>
            <w:pPr>
              <w:pStyle w:val="Compact"/>
              <w:jc w:val="right"/>
            </w:pPr>
            <w:r>
              <w:rPr>
                <w:sz w:val="17"/>
              </w:rPr>
              <w:t xml:space="preserve">0.140</w:t>
            </w:r>
          </w:p>
        </w:tc>
      </w:tr>
      <w:tr>
        <w:tc>
          <w:tcPr/>
          <w:p>
            <w:pPr>
              <w:pStyle w:val="Compact"/>
              <w:jc w:val="left"/>
            </w:pPr>
            <w:r>
              <w:rPr>
                <w:sz w:val="17"/>
              </w:rPr>
              <w:t xml:space="preserve">LightGBM</w:t>
            </w:r>
          </w:p>
        </w:tc>
        <w:tc>
          <w:tcPr/>
          <w:p>
            <w:pPr>
              <w:pStyle w:val="Compact"/>
              <w:jc w:val="right"/>
            </w:pPr>
            <w:r>
              <w:rPr>
                <w:sz w:val="17"/>
              </w:rPr>
              <w:t xml:space="preserve">0.700</w:t>
            </w:r>
          </w:p>
        </w:tc>
        <w:tc>
          <w:tcPr/>
          <w:p>
            <w:pPr>
              <w:pStyle w:val="Compact"/>
              <w:jc w:val="right"/>
            </w:pPr>
            <w:r>
              <w:rPr>
                <w:sz w:val="17"/>
              </w:rPr>
              <w:t xml:space="preserve">0.648</w:t>
            </w:r>
          </w:p>
        </w:tc>
        <w:tc>
          <w:tcPr/>
          <w:p>
            <w:pPr>
              <w:pStyle w:val="Compact"/>
              <w:jc w:val="right"/>
            </w:pPr>
            <w:r>
              <w:rPr>
                <w:sz w:val="17"/>
              </w:rPr>
              <w:t xml:space="preserve">0.731</w:t>
            </w:r>
          </w:p>
        </w:tc>
        <w:tc>
          <w:tcPr/>
          <w:p>
            <w:pPr>
              <w:pStyle w:val="Compact"/>
              <w:jc w:val="right"/>
            </w:pPr>
            <w:r>
              <w:rPr>
                <w:sz w:val="17"/>
              </w:rPr>
              <w:t xml:space="preserve">0.701 to 0.744</w:t>
            </w:r>
          </w:p>
        </w:tc>
        <w:tc>
          <w:tcPr/>
          <w:p>
            <w:pPr>
              <w:pStyle w:val="Compact"/>
              <w:jc w:val="right"/>
            </w:pPr>
            <w:r>
              <w:rPr>
                <w:sz w:val="17"/>
              </w:rPr>
              <w:t xml:space="preserve">0.462</w:t>
            </w:r>
          </w:p>
        </w:tc>
        <w:tc>
          <w:tcPr/>
          <w:p>
            <w:pPr>
              <w:pStyle w:val="Compact"/>
              <w:jc w:val="right"/>
            </w:pPr>
            <w:r>
              <w:rPr>
                <w:sz w:val="17"/>
              </w:rPr>
              <w:t xml:space="preserve">0.376</w:t>
            </w:r>
          </w:p>
        </w:tc>
        <w:tc>
          <w:tcPr/>
          <w:p>
            <w:pPr>
              <w:pStyle w:val="Compact"/>
              <w:jc w:val="right"/>
            </w:pPr>
            <w:r>
              <w:rPr>
                <w:sz w:val="17"/>
              </w:rPr>
              <w:t xml:space="preserve">0.0223</w:t>
            </w:r>
          </w:p>
        </w:tc>
        <w:tc>
          <w:tcPr/>
          <w:p>
            <w:pPr>
              <w:pStyle w:val="Compact"/>
              <w:jc w:val="right"/>
            </w:pPr>
            <w:r>
              <w:rPr>
                <w:sz w:val="17"/>
              </w:rPr>
              <w:t xml:space="preserve">+0.0036</w:t>
            </w:r>
          </w:p>
        </w:tc>
        <w:tc>
          <w:tcPr/>
          <w:p>
            <w:pPr>
              <w:pStyle w:val="Compact"/>
              <w:jc w:val="right"/>
            </w:pPr>
            <w:r>
              <w:rPr>
                <w:sz w:val="17"/>
              </w:rPr>
              <w:t xml:space="preserve">0.015</w:t>
            </w:r>
          </w:p>
        </w:tc>
      </w:tr>
    </w:tbl>
    <w:p>
      <w:pPr>
        <w:pStyle w:val="BodyText"/>
      </w:pPr>
      <w:r>
        <w:t xml:space="preserve">The hinge logit's out-of-time AUC is 0.727, XGBoost 0.729 and LightGBM 0.731. Only LightGBM's gain is statistically significant (p = 0.015; XGBoost p = 0.140), and it is tiny (+0.0036 AUC). That is a sensible result rather than a disappointment: the simulated monthly prepayment hazard is a smooth logistic function of the inputs, which a well-designed piecewise-linear logit already captures. Note also that out-of-time AUC (about 0.73) is</w:t>
      </w:r>
      <w:r>
        <w:t xml:space="preserve"> </w:t>
      </w:r>
      <w:r>
        <w:rPr>
          <w:i/>
          <w:iCs/>
        </w:rPr>
        <w:t xml:space="preserve">higher</w:t>
      </w:r>
      <w:r>
        <w:t xml:space="preserve"> </w:t>
      </w:r>
      <w:r>
        <w:t xml:space="preserve">than training AUC (about 0.67 to 0.70): during 2013 to 2018 the market rate barely varies relative to note rates, so incentive carries little information, whereas 2020 to 2022 contains a large rate swing that makes incentive highly informative.</w:t>
      </w:r>
    </w:p>
    <w:p>
      <w:pPr>
        <w:pStyle w:val="BodyText"/>
      </w:pPr>
      <w:r>
        <w:t xml:space="preserve">The hinge logit coefficients and the slope each segment of the incentive implies:</w:t>
      </w:r>
    </w:p>
    <w:p>
      <w:pPr>
        <w:pStyle w:val="TableCaption"/>
      </w:pPr>
      <w:r>
        <w:t xml:space="preserve">Hinge logit coefficients (statsmodels).</w:t>
      </w:r>
    </w:p>
    <w:tbl>
      <w:tblPr>
        <w:tblStyle w:val="Table"/>
        <w:tblW w:type="auto" w:w="0"/>
        <w:tblLook w:firstRow="1" w:lastRow="0" w:firstColumn="0" w:lastColumn="0" w:noHBand="0" w:noVBand="0" w:val="0020"/>
        <w:tblCaption w:val="Hinge logit coefficients (statsmodel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Term</w:t>
            </w:r>
          </w:p>
        </w:tc>
        <w:tc>
          <w:tcPr/>
          <w:p>
            <w:pPr>
              <w:pStyle w:val="Compact"/>
              <w:jc w:val="right"/>
            </w:pPr>
            <w:r>
              <w:rPr>
                <w:sz w:val="17"/>
              </w:rPr>
              <w:t xml:space="preserve">Coefficient</w:t>
            </w:r>
          </w:p>
        </w:tc>
        <w:tc>
          <w:tcPr/>
          <w:p>
            <w:pPr>
              <w:pStyle w:val="Compact"/>
              <w:jc w:val="right"/>
            </w:pPr>
            <w:r>
              <w:rPr>
                <w:sz w:val="17"/>
              </w:rPr>
              <w:t xml:space="preserve">Knot (pp)</w:t>
            </w:r>
          </w:p>
        </w:tc>
      </w:tr>
      <w:tr>
        <w:tc>
          <w:tcPr/>
          <w:p>
            <w:pPr>
              <w:pStyle w:val="Compact"/>
              <w:jc w:val="left"/>
            </w:pPr>
            <w:r>
              <w:rPr>
                <w:sz w:val="17"/>
              </w:rPr>
              <w:t xml:space="preserve">const</w:t>
            </w:r>
          </w:p>
        </w:tc>
        <w:tc>
          <w:tcPr/>
          <w:p>
            <w:pPr>
              <w:pStyle w:val="Compact"/>
              <w:jc w:val="right"/>
            </w:pPr>
            <w:r>
              <w:rPr>
                <w:sz w:val="17"/>
              </w:rPr>
              <w:t xml:space="preserve">-7.3564</w:t>
            </w:r>
          </w:p>
        </w:tc>
        <w:tc>
          <w:tcPr/>
          <w:p>
            <w:pPr>
              <w:pStyle w:val="Compact"/>
            </w:pPr>
          </w:p>
        </w:tc>
      </w:tr>
      <w:tr>
        <w:tc>
          <w:tcPr/>
          <w:p>
            <w:pPr>
              <w:pStyle w:val="Compact"/>
              <w:jc w:val="left"/>
            </w:pPr>
            <w:r>
              <w:rPr>
                <w:sz w:val="17"/>
              </w:rPr>
              <w:t xml:space="preserve">hinge_0.0</w:t>
            </w:r>
          </w:p>
        </w:tc>
        <w:tc>
          <w:tcPr/>
          <w:p>
            <w:pPr>
              <w:pStyle w:val="Compact"/>
              <w:jc w:val="right"/>
            </w:pPr>
            <w:r>
              <w:rPr>
                <w:sz w:val="17"/>
              </w:rPr>
              <w:t xml:space="preserve">2.9007</w:t>
            </w:r>
          </w:p>
        </w:tc>
        <w:tc>
          <w:tcPr/>
          <w:p>
            <w:pPr>
              <w:pStyle w:val="Compact"/>
              <w:jc w:val="right"/>
            </w:pPr>
            <w:r>
              <w:rPr>
                <w:sz w:val="17"/>
              </w:rPr>
              <w:t xml:space="preserve">0.0</w:t>
            </w:r>
          </w:p>
        </w:tc>
      </w:tr>
      <w:tr>
        <w:tc>
          <w:tcPr/>
          <w:p>
            <w:pPr>
              <w:pStyle w:val="Compact"/>
              <w:jc w:val="left"/>
            </w:pPr>
            <w:r>
              <w:rPr>
                <w:sz w:val="17"/>
              </w:rPr>
              <w:t xml:space="preserve">hinge_0.5</w:t>
            </w:r>
          </w:p>
        </w:tc>
        <w:tc>
          <w:tcPr/>
          <w:p>
            <w:pPr>
              <w:pStyle w:val="Compact"/>
              <w:jc w:val="right"/>
            </w:pPr>
            <w:r>
              <w:rPr>
                <w:sz w:val="17"/>
              </w:rPr>
              <w:t xml:space="preserve">-1.1730</w:t>
            </w:r>
          </w:p>
        </w:tc>
        <w:tc>
          <w:tcPr/>
          <w:p>
            <w:pPr>
              <w:pStyle w:val="Compact"/>
              <w:jc w:val="right"/>
            </w:pPr>
            <w:r>
              <w:rPr>
                <w:sz w:val="17"/>
              </w:rPr>
              <w:t xml:space="preserve">0.5</w:t>
            </w:r>
          </w:p>
        </w:tc>
      </w:tr>
      <w:tr>
        <w:tc>
          <w:tcPr/>
          <w:p>
            <w:pPr>
              <w:pStyle w:val="Compact"/>
              <w:jc w:val="left"/>
            </w:pPr>
            <w:r>
              <w:rPr>
                <w:sz w:val="17"/>
              </w:rPr>
              <w:t xml:space="preserve">hinge_1.0</w:t>
            </w:r>
          </w:p>
        </w:tc>
        <w:tc>
          <w:tcPr/>
          <w:p>
            <w:pPr>
              <w:pStyle w:val="Compact"/>
              <w:jc w:val="right"/>
            </w:pPr>
            <w:r>
              <w:rPr>
                <w:sz w:val="17"/>
              </w:rPr>
              <w:t xml:space="preserve">-2.0790</w:t>
            </w:r>
          </w:p>
        </w:tc>
        <w:tc>
          <w:tcPr/>
          <w:p>
            <w:pPr>
              <w:pStyle w:val="Compact"/>
              <w:jc w:val="right"/>
            </w:pPr>
            <w:r>
              <w:rPr>
                <w:sz w:val="17"/>
              </w:rPr>
              <w:t xml:space="preserve">1.0</w:t>
            </w:r>
          </w:p>
        </w:tc>
      </w:tr>
      <w:tr>
        <w:tc>
          <w:tcPr/>
          <w:p>
            <w:pPr>
              <w:pStyle w:val="Compact"/>
              <w:jc w:val="left"/>
            </w:pPr>
            <w:r>
              <w:rPr>
                <w:sz w:val="17"/>
              </w:rPr>
              <w:t xml:space="preserve">hinge_1.5</w:t>
            </w:r>
          </w:p>
        </w:tc>
        <w:tc>
          <w:tcPr/>
          <w:p>
            <w:pPr>
              <w:pStyle w:val="Compact"/>
              <w:jc w:val="right"/>
            </w:pPr>
            <w:r>
              <w:rPr>
                <w:sz w:val="17"/>
              </w:rPr>
              <w:t xml:space="preserve">0.8237</w:t>
            </w:r>
          </w:p>
        </w:tc>
        <w:tc>
          <w:tcPr/>
          <w:p>
            <w:pPr>
              <w:pStyle w:val="Compact"/>
              <w:jc w:val="right"/>
            </w:pPr>
            <w:r>
              <w:rPr>
                <w:sz w:val="17"/>
              </w:rPr>
              <w:t xml:space="preserve">1.5</w:t>
            </w:r>
          </w:p>
        </w:tc>
      </w:tr>
      <w:tr>
        <w:tc>
          <w:tcPr/>
          <w:p>
            <w:pPr>
              <w:pStyle w:val="Compact"/>
              <w:jc w:val="left"/>
            </w:pPr>
            <w:r>
              <w:rPr>
                <w:sz w:val="17"/>
              </w:rPr>
              <w:t xml:space="preserve">burnout</w:t>
            </w:r>
          </w:p>
        </w:tc>
        <w:tc>
          <w:tcPr/>
          <w:p>
            <w:pPr>
              <w:pStyle w:val="Compact"/>
              <w:jc w:val="right"/>
            </w:pPr>
            <w:r>
              <w:rPr>
                <w:sz w:val="17"/>
              </w:rPr>
              <w:t xml:space="preserve">-0.0337</w:t>
            </w:r>
          </w:p>
        </w:tc>
        <w:tc>
          <w:tcPr/>
          <w:p>
            <w:pPr>
              <w:pStyle w:val="Compact"/>
            </w:pPr>
          </w:p>
        </w:tc>
      </w:tr>
      <w:tr>
        <w:tc>
          <w:tcPr/>
          <w:p>
            <w:pPr>
              <w:pStyle w:val="Compact"/>
              <w:jc w:val="left"/>
            </w:pPr>
            <w:r>
              <w:rPr>
                <w:sz w:val="17"/>
              </w:rPr>
              <w:t xml:space="preserve">seasoning_ramp</w:t>
            </w:r>
          </w:p>
        </w:tc>
        <w:tc>
          <w:tcPr/>
          <w:p>
            <w:pPr>
              <w:pStyle w:val="Compact"/>
              <w:jc w:val="right"/>
            </w:pPr>
            <w:r>
              <w:rPr>
                <w:sz w:val="17"/>
              </w:rPr>
              <w:t xml:space="preserve">0.7983</w:t>
            </w:r>
          </w:p>
        </w:tc>
        <w:tc>
          <w:tcPr/>
          <w:p>
            <w:pPr>
              <w:pStyle w:val="Compact"/>
            </w:pPr>
          </w:p>
        </w:tc>
      </w:tr>
      <w:tr>
        <w:tc>
          <w:tcPr/>
          <w:p>
            <w:pPr>
              <w:pStyle w:val="Compact"/>
              <w:jc w:val="left"/>
            </w:pPr>
            <w:r>
              <w:rPr>
                <w:sz w:val="17"/>
              </w:rPr>
              <w:t xml:space="preserve">mtm_ltv</w:t>
            </w:r>
          </w:p>
        </w:tc>
        <w:tc>
          <w:tcPr/>
          <w:p>
            <w:pPr>
              <w:pStyle w:val="Compact"/>
              <w:jc w:val="right"/>
            </w:pPr>
            <w:r>
              <w:rPr>
                <w:sz w:val="17"/>
              </w:rPr>
              <w:t xml:space="preserve">-0.0025</w:t>
            </w:r>
          </w:p>
        </w:tc>
        <w:tc>
          <w:tcPr/>
          <w:p>
            <w:pPr>
              <w:pStyle w:val="Compact"/>
            </w:pPr>
          </w:p>
        </w:tc>
      </w:tr>
      <w:tr>
        <w:tc>
          <w:tcPr/>
          <w:p>
            <w:pPr>
              <w:pStyle w:val="Compact"/>
              <w:jc w:val="left"/>
            </w:pPr>
            <w:r>
              <w:rPr>
                <w:sz w:val="17"/>
              </w:rPr>
              <w:t xml:space="preserve">fico</w:t>
            </w:r>
          </w:p>
        </w:tc>
        <w:tc>
          <w:tcPr/>
          <w:p>
            <w:pPr>
              <w:pStyle w:val="Compact"/>
              <w:jc w:val="right"/>
            </w:pPr>
            <w:r>
              <w:rPr>
                <w:sz w:val="17"/>
              </w:rPr>
              <w:t xml:space="preserve">0.0032</w:t>
            </w:r>
          </w:p>
        </w:tc>
        <w:tc>
          <w:tcPr/>
          <w:p>
            <w:pPr>
              <w:pStyle w:val="Compact"/>
            </w:pPr>
          </w:p>
        </w:tc>
      </w:tr>
    </w:tbl>
    <w:p/>
    <w:p>
      <w:pPr>
        <w:pStyle w:val="TableCaption"/>
      </w:pPr>
      <w:r>
        <w:t xml:space="preserve">Slope of the prepay log-odds with respect to incentive, accumulated from the hinge terms.</w:t>
      </w:r>
    </w:p>
    <w:tbl>
      <w:tblPr>
        <w:tblStyle w:val="Table"/>
        <w:tblW w:type="auto" w:w="0"/>
        <w:tblLook w:firstRow="1" w:lastRow="0" w:firstColumn="0" w:lastColumn="0" w:noHBand="0" w:noVBand="0" w:val="0020"/>
        <w:tblCaption w:val="Slope of the prepay log-odds with respect to incentive, accumulated from the hinge term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jc w:val="left"/>
            </w:pPr>
            <w:r>
              <w:rPr>
                <w:sz w:val="17"/>
              </w:rPr>
              <w:t xml:space="preserve">Rate incentive (pp)</w:t>
            </w:r>
          </w:p>
        </w:tc>
        <w:tc>
          <w:tcPr/>
          <w:p>
            <w:pPr>
              <w:pStyle w:val="Compact"/>
              <w:jc w:val="right"/>
            </w:pPr>
            <w:r>
              <w:rPr>
                <w:sz w:val="17"/>
              </w:rPr>
              <w:t xml:space="preserve">Slope of log-odds per pp</w:t>
            </w:r>
          </w:p>
        </w:tc>
      </w:tr>
      <w:tr>
        <w:tc>
          <w:tcPr/>
          <w:p>
            <w:pPr>
              <w:pStyle w:val="Compact"/>
              <w:jc w:val="left"/>
            </w:pPr>
            <w:r>
              <w:rPr>
                <w:sz w:val="17"/>
              </w:rPr>
              <w:t xml:space="preserve">Incentive below 0 (out of the money)</w:t>
            </w:r>
          </w:p>
        </w:tc>
        <w:tc>
          <w:tcPr/>
          <w:p>
            <w:pPr>
              <w:pStyle w:val="Compact"/>
              <w:jc w:val="right"/>
            </w:pPr>
            <w:r>
              <w:rPr>
                <w:sz w:val="17"/>
              </w:rPr>
              <w:t xml:space="preserve">0.000</w:t>
            </w:r>
          </w:p>
        </w:tc>
      </w:tr>
      <w:tr>
        <w:tc>
          <w:tcPr/>
          <w:p>
            <w:pPr>
              <w:pStyle w:val="Compact"/>
              <w:jc w:val="left"/>
            </w:pPr>
            <w:r>
              <w:rPr>
                <w:sz w:val="17"/>
              </w:rPr>
              <w:t xml:space="preserve">0 to 0.5</w:t>
            </w:r>
          </w:p>
        </w:tc>
        <w:tc>
          <w:tcPr/>
          <w:p>
            <w:pPr>
              <w:pStyle w:val="Compact"/>
              <w:jc w:val="right"/>
            </w:pPr>
            <w:r>
              <w:rPr>
                <w:sz w:val="17"/>
              </w:rPr>
              <w:t xml:space="preserve">2.901</w:t>
            </w:r>
          </w:p>
        </w:tc>
      </w:tr>
      <w:tr>
        <w:tc>
          <w:tcPr/>
          <w:p>
            <w:pPr>
              <w:pStyle w:val="Compact"/>
              <w:jc w:val="left"/>
            </w:pPr>
            <w:r>
              <w:rPr>
                <w:sz w:val="17"/>
              </w:rPr>
              <w:t xml:space="preserve">0.5 to 1.0</w:t>
            </w:r>
          </w:p>
        </w:tc>
        <w:tc>
          <w:tcPr/>
          <w:p>
            <w:pPr>
              <w:pStyle w:val="Compact"/>
              <w:jc w:val="right"/>
            </w:pPr>
            <w:r>
              <w:rPr>
                <w:sz w:val="17"/>
              </w:rPr>
              <w:t xml:space="preserve">1.728</w:t>
            </w:r>
          </w:p>
        </w:tc>
      </w:tr>
      <w:tr>
        <w:tc>
          <w:tcPr/>
          <w:p>
            <w:pPr>
              <w:pStyle w:val="Compact"/>
              <w:jc w:val="left"/>
            </w:pPr>
            <w:r>
              <w:rPr>
                <w:sz w:val="17"/>
              </w:rPr>
              <w:t xml:space="preserve">1.0 to 1.5</w:t>
            </w:r>
          </w:p>
        </w:tc>
        <w:tc>
          <w:tcPr/>
          <w:p>
            <w:pPr>
              <w:pStyle w:val="Compact"/>
              <w:jc w:val="right"/>
            </w:pPr>
            <w:r>
              <w:rPr>
                <w:sz w:val="17"/>
              </w:rPr>
              <w:t xml:space="preserve">-0.351</w:t>
            </w:r>
          </w:p>
        </w:tc>
      </w:tr>
      <w:tr>
        <w:tc>
          <w:tcPr/>
          <w:p>
            <w:pPr>
              <w:pStyle w:val="Compact"/>
              <w:jc w:val="left"/>
            </w:pPr>
            <w:r>
              <w:rPr>
                <w:sz w:val="17"/>
              </w:rPr>
              <w:t xml:space="preserve">Above 1.5</w:t>
            </w:r>
          </w:p>
        </w:tc>
        <w:tc>
          <w:tcPr/>
          <w:p>
            <w:pPr>
              <w:pStyle w:val="Compact"/>
              <w:jc w:val="right"/>
            </w:pPr>
            <w:r>
              <w:rPr>
                <w:sz w:val="17"/>
              </w:rPr>
              <w:t xml:space="preserve">0.472</w:t>
            </w:r>
          </w:p>
        </w:tc>
      </w:tr>
    </w:tbl>
    <w:p>
      <w:pPr>
        <w:pStyle w:val="BodyText"/>
      </w:pPr>
      <w:r>
        <w:t xml:space="preserve">The slope is zero when the incentive is negative (the pool is out of the money and prepayment is only turnover), then rises to 2.90 per percentage point between 0 and 0.5, 1.73 between 0.5 and 1, and flattens at larger incentives (-0.35 and 0.47) as the S-shape saturates. Burnout has a coefficient of -0.0337 per month (negative, as designed), the seasoning ramp 0.798, MTM LTV -0.0025 per point and FICO 0.0032 per point.</w:t>
      </w:r>
    </w:p>
    <w:p>
      <w:pPr>
        <w:pStyle w:val="BodyText"/>
      </w:pPr>
      <w:r>
        <w:t xml:space="preserve">At the portfolio level, the LightGBM prediction follows the annualized CPR over time:</w:t>
      </w:r>
    </w:p>
    <w:p>
      <w:pPr>
        <w:pStyle w:val="CaptionedFigure"/>
      </w:pPr>
      <w:r>
        <w:drawing>
          <wp:inline>
            <wp:extent cx="4800600" cy="2160270"/>
            <wp:effectExtent b="0" l="0" r="0" t="0"/>
            <wp:docPr descr="Predicted against actual annualized CPR by month, out-of-time." title="" id="75" name="Picture"/>
            <a:graphic>
              <a:graphicData uri="http://schemas.openxmlformats.org/drawingml/2006/picture">
                <pic:pic>
                  <pic:nvPicPr>
                    <pic:cNvPr descr="../python/outputs/charts/prepay_cpr_oot.png" id="76" name="Picture"/>
                    <pic:cNvPicPr>
                      <a:picLocks noChangeArrowheads="1" noChangeAspect="1"/>
                    </pic:cNvPicPr>
                  </pic:nvPicPr>
                  <pic:blipFill>
                    <a:blip r:embed="rId74"/>
                    <a:stretch>
                      <a:fillRect/>
                    </a:stretch>
                  </pic:blipFill>
                  <pic:spPr bwMode="auto">
                    <a:xfrm>
                      <a:off x="0" y="0"/>
                      <a:ext cx="4800600" cy="2160270"/>
                    </a:xfrm>
                    <a:prstGeom prst="rect">
                      <a:avLst/>
                    </a:prstGeom>
                    <a:noFill/>
                    <a:ln w="9525">
                      <a:noFill/>
                      <a:headEnd/>
                      <a:tailEnd/>
                    </a:ln>
                  </pic:spPr>
                </pic:pic>
              </a:graphicData>
            </a:graphic>
          </wp:inline>
        </w:drawing>
      </w:r>
    </w:p>
    <w:p>
      <w:pPr>
        <w:pStyle w:val="ImageCaption"/>
      </w:pPr>
      <w:r>
        <w:t xml:space="preserve">Predicted against actual annualized CPR by month, out-of-time.</w:t>
      </w:r>
    </w:p>
    <w:p>
      <w:pPr>
        <w:pStyle w:val="TableCaption"/>
      </w:pPr>
      <w:r>
        <w:t xml:space="preserve">Average annualized CPR by year, actual against LightGBM predicted.</w:t>
      </w:r>
    </w:p>
    <w:tbl>
      <w:tblPr>
        <w:tblStyle w:val="Table"/>
        <w:tblW w:type="pct" w:w="5000"/>
        <w:tblLayout w:type="fixed"/>
        <w:tblLook w:firstRow="1" w:lastRow="0" w:firstColumn="0" w:lastColumn="0" w:noHBand="0" w:noVBand="0" w:val="0020"/>
        <w:tblCaption w:val="Average annualized CPR by year, actual against LightGBM predict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03"/>
        <w:gridCol w:w="1503"/>
        <w:gridCol w:w="2907"/>
        <w:gridCol w:w="2205"/>
      </w:tblGrid>
      <w:tr>
        <w:trPr>
          <w:tblHeader w:val="on"/>
        </w:trPr>
        <w:tc>
          <w:tcPr/>
          <w:p>
            <w:pPr>
              <w:pStyle w:val="Compact"/>
              <w:jc w:val="left"/>
            </w:pPr>
            <w:r>
              <w:rPr>
                <w:sz w:val="17"/>
              </w:rPr>
              <w:t xml:space="preserve">Calendar year</w:t>
            </w:r>
          </w:p>
        </w:tc>
        <w:tc>
          <w:tcPr/>
          <w:p>
            <w:pPr>
              <w:pStyle w:val="Compact"/>
              <w:jc w:val="right"/>
            </w:pPr>
            <w:r>
              <w:rPr>
                <w:sz w:val="17"/>
              </w:rPr>
              <w:t xml:space="preserve">Actual mean CPR</w:t>
            </w:r>
          </w:p>
        </w:tc>
        <w:tc>
          <w:tcPr/>
          <w:p>
            <w:pPr>
              <w:pStyle w:val="Compact"/>
              <w:jc w:val="right"/>
            </w:pPr>
            <w:r>
              <w:rPr>
                <w:sz w:val="17"/>
              </w:rPr>
              <w:t xml:space="preserve">Predicted mean CPR (LightGBM)</w:t>
            </w:r>
          </w:p>
        </w:tc>
        <w:tc>
          <w:tcPr/>
          <w:p>
            <w:pPr>
              <w:pStyle w:val="Compact"/>
              <w:jc w:val="right"/>
            </w:pPr>
            <w:r>
              <w:rPr>
                <w:sz w:val="17"/>
              </w:rPr>
              <w:t xml:space="preserve">Predicted minus actual</w:t>
            </w:r>
          </w:p>
        </w:tc>
      </w:tr>
      <w:tr>
        <w:tc>
          <w:tcPr/>
          <w:p>
            <w:pPr>
              <w:pStyle w:val="Compact"/>
              <w:jc w:val="left"/>
            </w:pPr>
            <w:r>
              <w:rPr>
                <w:sz w:val="17"/>
              </w:rPr>
              <w:t xml:space="preserve">2020.0</w:t>
            </w:r>
          </w:p>
        </w:tc>
        <w:tc>
          <w:tcPr/>
          <w:p>
            <w:pPr>
              <w:pStyle w:val="Compact"/>
              <w:jc w:val="right"/>
            </w:pPr>
            <w:r>
              <w:rPr>
                <w:sz w:val="17"/>
              </w:rPr>
              <w:t xml:space="preserve">40.0%</w:t>
            </w:r>
          </w:p>
        </w:tc>
        <w:tc>
          <w:tcPr/>
          <w:p>
            <w:pPr>
              <w:pStyle w:val="Compact"/>
              <w:jc w:val="right"/>
            </w:pPr>
            <w:r>
              <w:rPr>
                <w:sz w:val="17"/>
              </w:rPr>
              <w:t xml:space="preserve">32.9%</w:t>
            </w:r>
          </w:p>
        </w:tc>
        <w:tc>
          <w:tcPr/>
          <w:p>
            <w:pPr>
              <w:pStyle w:val="Compact"/>
              <w:jc w:val="right"/>
            </w:pPr>
            <w:r>
              <w:rPr>
                <w:sz w:val="17"/>
              </w:rPr>
              <w:t xml:space="preserve">-7.0 pp</w:t>
            </w:r>
          </w:p>
        </w:tc>
      </w:tr>
      <w:tr>
        <w:tc>
          <w:tcPr/>
          <w:p>
            <w:pPr>
              <w:pStyle w:val="Compact"/>
              <w:jc w:val="left"/>
            </w:pPr>
            <w:r>
              <w:rPr>
                <w:sz w:val="17"/>
              </w:rPr>
              <w:t xml:space="preserve">2021.0</w:t>
            </w:r>
          </w:p>
        </w:tc>
        <w:tc>
          <w:tcPr/>
          <w:p>
            <w:pPr>
              <w:pStyle w:val="Compact"/>
              <w:jc w:val="right"/>
            </w:pPr>
            <w:r>
              <w:rPr>
                <w:sz w:val="17"/>
              </w:rPr>
              <w:t xml:space="preserve">33.9%</w:t>
            </w:r>
          </w:p>
        </w:tc>
        <w:tc>
          <w:tcPr/>
          <w:p>
            <w:pPr>
              <w:pStyle w:val="Compact"/>
              <w:jc w:val="right"/>
            </w:pPr>
            <w:r>
              <w:rPr>
                <w:sz w:val="17"/>
              </w:rPr>
              <w:t xml:space="preserve">31.8%</w:t>
            </w:r>
          </w:p>
        </w:tc>
        <w:tc>
          <w:tcPr/>
          <w:p>
            <w:pPr>
              <w:pStyle w:val="Compact"/>
              <w:jc w:val="right"/>
            </w:pPr>
            <w:r>
              <w:rPr>
                <w:sz w:val="17"/>
              </w:rPr>
              <w:t xml:space="preserve">-2.1 pp</w:t>
            </w:r>
          </w:p>
        </w:tc>
      </w:tr>
      <w:tr>
        <w:tc>
          <w:tcPr/>
          <w:p>
            <w:pPr>
              <w:pStyle w:val="Compact"/>
              <w:jc w:val="left"/>
            </w:pPr>
            <w:r>
              <w:rPr>
                <w:sz w:val="17"/>
              </w:rPr>
              <w:t xml:space="preserve">2022.0</w:t>
            </w:r>
          </w:p>
        </w:tc>
        <w:tc>
          <w:tcPr/>
          <w:p>
            <w:pPr>
              <w:pStyle w:val="Compact"/>
              <w:jc w:val="right"/>
            </w:pPr>
            <w:r>
              <w:rPr>
                <w:sz w:val="17"/>
              </w:rPr>
              <w:t xml:space="preserve">10.0%</w:t>
            </w:r>
          </w:p>
        </w:tc>
        <w:tc>
          <w:tcPr/>
          <w:p>
            <w:pPr>
              <w:pStyle w:val="Compact"/>
              <w:jc w:val="right"/>
            </w:pPr>
            <w:r>
              <w:rPr>
                <w:sz w:val="17"/>
              </w:rPr>
              <w:t xml:space="preserve">11.7%</w:t>
            </w:r>
          </w:p>
        </w:tc>
        <w:tc>
          <w:tcPr/>
          <w:p>
            <w:pPr>
              <w:pStyle w:val="Compact"/>
              <w:jc w:val="right"/>
            </w:pPr>
            <w:r>
              <w:rPr>
                <w:sz w:val="17"/>
              </w:rPr>
              <w:t xml:space="preserve">+1.6 pp</w:t>
            </w:r>
          </w:p>
        </w:tc>
      </w:tr>
      <w:tr>
        <w:tc>
          <w:tcPr/>
          <w:p>
            <w:pPr>
              <w:pStyle w:val="Compact"/>
              <w:jc w:val="left"/>
            </w:pPr>
            <w:r>
              <w:rPr>
                <w:sz w:val="17"/>
              </w:rPr>
              <w:t xml:space="preserve">2023.0</w:t>
            </w:r>
          </w:p>
        </w:tc>
        <w:tc>
          <w:tcPr/>
          <w:p>
            <w:pPr>
              <w:pStyle w:val="Compact"/>
              <w:jc w:val="right"/>
            </w:pPr>
            <w:r>
              <w:rPr>
                <w:sz w:val="17"/>
              </w:rPr>
              <w:t xml:space="preserve">11.9%</w:t>
            </w:r>
          </w:p>
        </w:tc>
        <w:tc>
          <w:tcPr/>
          <w:p>
            <w:pPr>
              <w:pStyle w:val="Compact"/>
              <w:jc w:val="right"/>
            </w:pPr>
            <w:r>
              <w:rPr>
                <w:sz w:val="17"/>
              </w:rPr>
              <w:t xml:space="preserve">10.9%</w:t>
            </w:r>
          </w:p>
        </w:tc>
        <w:tc>
          <w:tcPr/>
          <w:p>
            <w:pPr>
              <w:pStyle w:val="Compact"/>
              <w:jc w:val="right"/>
            </w:pPr>
            <w:r>
              <w:rPr>
                <w:sz w:val="17"/>
              </w:rPr>
              <w:t xml:space="preserve">-1.0 pp</w:t>
            </w:r>
          </w:p>
        </w:tc>
      </w:tr>
      <w:tr>
        <w:tc>
          <w:tcPr/>
          <w:p>
            <w:pPr>
              <w:pStyle w:val="Compact"/>
              <w:jc w:val="left"/>
            </w:pPr>
            <w:r>
              <w:rPr>
                <w:sz w:val="17"/>
              </w:rPr>
              <w:t xml:space="preserve">2024.0</w:t>
            </w:r>
          </w:p>
        </w:tc>
        <w:tc>
          <w:tcPr/>
          <w:p>
            <w:pPr>
              <w:pStyle w:val="Compact"/>
              <w:jc w:val="right"/>
            </w:pPr>
            <w:r>
              <w:rPr>
                <w:sz w:val="17"/>
              </w:rPr>
              <w:t xml:space="preserve">12.0%</w:t>
            </w:r>
          </w:p>
        </w:tc>
        <w:tc>
          <w:tcPr/>
          <w:p>
            <w:pPr>
              <w:pStyle w:val="Compact"/>
              <w:jc w:val="right"/>
            </w:pPr>
            <w:r>
              <w:rPr>
                <w:sz w:val="17"/>
              </w:rPr>
              <w:t xml:space="preserve">11.5%</w:t>
            </w:r>
          </w:p>
        </w:tc>
        <w:tc>
          <w:tcPr/>
          <w:p>
            <w:pPr>
              <w:pStyle w:val="Compact"/>
              <w:jc w:val="right"/>
            </w:pPr>
            <w:r>
              <w:rPr>
                <w:sz w:val="17"/>
              </w:rPr>
              <w:t xml:space="preserve">-0.5 pp</w:t>
            </w:r>
          </w:p>
        </w:tc>
      </w:tr>
    </w:tbl>
    <w:p>
      <w:pPr>
        <w:pStyle w:val="BodyText"/>
      </w:pPr>
      <w:r>
        <w:t xml:space="preserve">The monthly root-mean-square error of CPR is 4.99 points for LightGBM, 5.17 for XGBoost and 4.74 for the hinge logit. The actual peak of 50.9% in 2020-07 is predicted as 39.2%: the model captures the wave but not its full height, and it responds a little late to the end of the wave in early 2022. In 2023 the actual average is 11.9% against a predicted 10.9%. The hinge logit has the lowest CPR error of the three, so it would be a defensible champion for prepayment projections on this evidence, even though XGBoost is wired into the scenario engine.</w:t>
      </w:r>
    </w:p>
    <w:p>
      <w:pPr>
        <w:pStyle w:val="CaptionedFigure"/>
      </w:pPr>
      <w:r>
        <w:drawing>
          <wp:inline>
            <wp:extent cx="4800600" cy="2160270"/>
            <wp:effectExtent b="0" l="0" r="0" t="0"/>
            <wp:docPr descr="Prepayment ROC and KS, out-of-time." title="" id="78" name="Picture"/>
            <a:graphic>
              <a:graphicData uri="http://schemas.openxmlformats.org/drawingml/2006/picture">
                <pic:pic>
                  <pic:nvPicPr>
                    <pic:cNvPr descr="../python/outputs/charts/roc_ks_prepay.png" id="79" name="Picture"/>
                    <pic:cNvPicPr>
                      <a:picLocks noChangeArrowheads="1" noChangeAspect="1"/>
                    </pic:cNvPicPr>
                  </pic:nvPicPr>
                  <pic:blipFill>
                    <a:blip r:embed="rId77"/>
                    <a:stretch>
                      <a:fillRect/>
                    </a:stretch>
                  </pic:blipFill>
                  <pic:spPr bwMode="auto">
                    <a:xfrm>
                      <a:off x="0" y="0"/>
                      <a:ext cx="4800600" cy="2160270"/>
                    </a:xfrm>
                    <a:prstGeom prst="rect">
                      <a:avLst/>
                    </a:prstGeom>
                    <a:noFill/>
                    <a:ln w="9525">
                      <a:noFill/>
                      <a:headEnd/>
                      <a:tailEnd/>
                    </a:ln>
                  </pic:spPr>
                </pic:pic>
              </a:graphicData>
            </a:graphic>
          </wp:inline>
        </w:drawing>
      </w:r>
    </w:p>
    <w:p>
      <w:pPr>
        <w:pStyle w:val="ImageCaption"/>
      </w:pPr>
      <w:r>
        <w:t xml:space="preserve">Prepayment ROC and KS, out-of-time.</w:t>
      </w:r>
    </w:p>
    <w:p>
      <w:pPr>
        <w:pStyle w:val="CaptionedFigure"/>
      </w:pPr>
      <w:r>
        <w:drawing>
          <wp:inline>
            <wp:extent cx="3467100" cy="2933700"/>
            <wp:effectExtent b="0" l="0" r="0" t="0"/>
            <wp:docPr descr="Prepayment calibration, out-of-time." title="" id="81" name="Picture"/>
            <a:graphic>
              <a:graphicData uri="http://schemas.openxmlformats.org/drawingml/2006/picture">
                <pic:pic>
                  <pic:nvPicPr>
                    <pic:cNvPr descr="../python/outputs/charts/calibration_prepay.png" id="82" name="Picture"/>
                    <pic:cNvPicPr>
                      <a:picLocks noChangeArrowheads="1" noChangeAspect="1"/>
                    </pic:cNvPicPr>
                  </pic:nvPicPr>
                  <pic:blipFill>
                    <a:blip r:embed="rId80"/>
                    <a:stretch>
                      <a:fillRect/>
                    </a:stretch>
                  </pic:blipFill>
                  <pic:spPr bwMode="auto">
                    <a:xfrm>
                      <a:off x="0" y="0"/>
                      <a:ext cx="3467100" cy="2933700"/>
                    </a:xfrm>
                    <a:prstGeom prst="rect">
                      <a:avLst/>
                    </a:prstGeom>
                    <a:noFill/>
                    <a:ln w="9525">
                      <a:noFill/>
                      <a:headEnd/>
                      <a:tailEnd/>
                    </a:ln>
                  </pic:spPr>
                </pic:pic>
              </a:graphicData>
            </a:graphic>
          </wp:inline>
        </w:drawing>
      </w:r>
    </w:p>
    <w:p>
      <w:pPr>
        <w:pStyle w:val="ImageCaption"/>
      </w:pPr>
      <w:r>
        <w:t xml:space="preserve">Prepayment calibration, out-of-time.</w:t>
      </w:r>
    </w:p>
    <w:bookmarkEnd w:id="83"/>
    <w:bookmarkEnd w:id="84"/>
    <w:bookmarkStart w:id="110" w:name="explainability"/>
    <w:p>
      <w:pPr>
        <w:pStyle w:val="Heading1"/>
      </w:pPr>
      <w:r>
        <w:rPr>
          <w:rStyle w:val="SectionNumber"/>
        </w:rPr>
        <w:t xml:space="preserve">9</w:t>
      </w:r>
      <w:r>
        <w:tab/>
      </w:r>
      <w:r>
        <w:t xml:space="preserve">Explainability</w:t>
      </w:r>
    </w:p>
    <w:bookmarkStart w:id="94" w:name="global-importance"/>
    <w:p>
      <w:pPr>
        <w:pStyle w:val="Heading2"/>
      </w:pPr>
      <w:r>
        <w:rPr>
          <w:rStyle w:val="SectionNumber"/>
        </w:rPr>
        <w:t xml:space="preserve">9.1</w:t>
      </w:r>
      <w:r>
        <w:tab/>
      </w:r>
      <w:r>
        <w:t xml:space="preserve">Global importance</w:t>
      </w:r>
    </w:p>
    <w:p>
      <w:pPr>
        <w:pStyle w:val="FirstParagraph"/>
      </w:pPr>
      <w:r>
        <w:t xml:space="preserve">SHAP values (section 7.12) were computed for the LightGBM PD model and the XGBoost prepayment model on random out-of-time samples.</w:t>
      </w:r>
    </w:p>
    <w:p>
      <w:pPr>
        <w:pStyle w:val="TableCaption"/>
      </w:pPr>
      <w:r>
        <w:t xml:space="preserve">Top ten PD features by mean absolute SHAP value (log-odds units).</w:t>
      </w:r>
    </w:p>
    <w:tbl>
      <w:tblPr>
        <w:tblStyle w:val="Table"/>
        <w:tblW w:type="auto" w:w="0"/>
        <w:tblLook w:firstRow="1" w:lastRow="0" w:firstColumn="0" w:lastColumn="0" w:noHBand="0" w:noVBand="0" w:val="0020"/>
        <w:tblCaption w:val="Top ten PD features by mean absolute SHAP value (log-odds unit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Rank</w:t>
            </w:r>
          </w:p>
        </w:tc>
        <w:tc>
          <w:tcPr/>
          <w:p>
            <w:pPr>
              <w:pStyle w:val="Compact"/>
              <w:jc w:val="right"/>
            </w:pPr>
            <w:r>
              <w:rPr>
                <w:sz w:val="17"/>
              </w:rPr>
              <w:t xml:space="preserve">Feature</w:t>
            </w:r>
          </w:p>
        </w:tc>
        <w:tc>
          <w:tcPr/>
          <w:p>
            <w:pPr>
              <w:pStyle w:val="Compact"/>
              <w:jc w:val="right"/>
            </w:pPr>
            <w:r>
              <w:rPr>
                <w:sz w:val="17"/>
              </w:rPr>
              <w:t xml:space="preserve">Mean absolute SHAP (log-odds)</w:t>
            </w:r>
          </w:p>
        </w:tc>
      </w:tr>
      <w:tr>
        <w:tc>
          <w:tcPr/>
          <w:p>
            <w:pPr>
              <w:pStyle w:val="Compact"/>
              <w:jc w:val="left"/>
            </w:pPr>
            <w:r>
              <w:rPr>
                <w:sz w:val="17"/>
              </w:rPr>
              <w:t xml:space="preserve">1</w:t>
            </w:r>
          </w:p>
        </w:tc>
        <w:tc>
          <w:tcPr/>
          <w:p>
            <w:pPr>
              <w:pStyle w:val="Compact"/>
              <w:jc w:val="right"/>
            </w:pPr>
            <w:r>
              <w:rPr>
                <w:sz w:val="17"/>
              </w:rPr>
              <w:t xml:space="preserve">fico</w:t>
            </w:r>
          </w:p>
        </w:tc>
        <w:tc>
          <w:tcPr/>
          <w:p>
            <w:pPr>
              <w:pStyle w:val="Compact"/>
              <w:jc w:val="right"/>
            </w:pPr>
            <w:r>
              <w:rPr>
                <w:sz w:val="17"/>
              </w:rPr>
              <w:t xml:space="preserve">0.8104</w:t>
            </w:r>
          </w:p>
        </w:tc>
      </w:tr>
      <w:tr>
        <w:tc>
          <w:tcPr/>
          <w:p>
            <w:pPr>
              <w:pStyle w:val="Compact"/>
              <w:jc w:val="left"/>
            </w:pPr>
            <w:r>
              <w:rPr>
                <w:sz w:val="17"/>
              </w:rPr>
              <w:t xml:space="preserve">2</w:t>
            </w:r>
          </w:p>
        </w:tc>
        <w:tc>
          <w:tcPr/>
          <w:p>
            <w:pPr>
              <w:pStyle w:val="Compact"/>
              <w:jc w:val="right"/>
            </w:pPr>
            <w:r>
              <w:rPr>
                <w:sz w:val="17"/>
              </w:rPr>
              <w:t xml:space="preserve">dti</w:t>
            </w:r>
          </w:p>
        </w:tc>
        <w:tc>
          <w:tcPr/>
          <w:p>
            <w:pPr>
              <w:pStyle w:val="Compact"/>
              <w:jc w:val="right"/>
            </w:pPr>
            <w:r>
              <w:rPr>
                <w:sz w:val="17"/>
              </w:rPr>
              <w:t xml:space="preserve">0.2179</w:t>
            </w:r>
          </w:p>
        </w:tc>
      </w:tr>
      <w:tr>
        <w:tc>
          <w:tcPr/>
          <w:p>
            <w:pPr>
              <w:pStyle w:val="Compact"/>
              <w:jc w:val="left"/>
            </w:pPr>
            <w:r>
              <w:rPr>
                <w:sz w:val="17"/>
              </w:rPr>
              <w:t xml:space="preserve">3</w:t>
            </w:r>
          </w:p>
        </w:tc>
        <w:tc>
          <w:tcPr/>
          <w:p>
            <w:pPr>
              <w:pStyle w:val="Compact"/>
              <w:jc w:val="right"/>
            </w:pPr>
            <w:r>
              <w:rPr>
                <w:sz w:val="17"/>
              </w:rPr>
              <w:t xml:space="preserve">unemp</w:t>
            </w:r>
          </w:p>
        </w:tc>
        <w:tc>
          <w:tcPr/>
          <w:p>
            <w:pPr>
              <w:pStyle w:val="Compact"/>
              <w:jc w:val="right"/>
            </w:pPr>
            <w:r>
              <w:rPr>
                <w:sz w:val="17"/>
              </w:rPr>
              <w:t xml:space="preserve">0.1887</w:t>
            </w:r>
          </w:p>
        </w:tc>
      </w:tr>
      <w:tr>
        <w:tc>
          <w:tcPr/>
          <w:p>
            <w:pPr>
              <w:pStyle w:val="Compact"/>
              <w:jc w:val="left"/>
            </w:pPr>
            <w:r>
              <w:rPr>
                <w:sz w:val="17"/>
              </w:rPr>
              <w:t xml:space="preserve">4</w:t>
            </w:r>
          </w:p>
        </w:tc>
        <w:tc>
          <w:tcPr/>
          <w:p>
            <w:pPr>
              <w:pStyle w:val="Compact"/>
              <w:jc w:val="right"/>
            </w:pPr>
            <w:r>
              <w:rPr>
                <w:sz w:val="17"/>
              </w:rPr>
              <w:t xml:space="preserve">age</w:t>
            </w:r>
          </w:p>
        </w:tc>
        <w:tc>
          <w:tcPr/>
          <w:p>
            <w:pPr>
              <w:pStyle w:val="Compact"/>
              <w:jc w:val="right"/>
            </w:pPr>
            <w:r>
              <w:rPr>
                <w:sz w:val="17"/>
              </w:rPr>
              <w:t xml:space="preserve">0.1374</w:t>
            </w:r>
          </w:p>
        </w:tc>
      </w:tr>
      <w:tr>
        <w:tc>
          <w:tcPr/>
          <w:p>
            <w:pPr>
              <w:pStyle w:val="Compact"/>
              <w:jc w:val="left"/>
            </w:pPr>
            <w:r>
              <w:rPr>
                <w:sz w:val="17"/>
              </w:rPr>
              <w:t xml:space="preserve">5</w:t>
            </w:r>
          </w:p>
        </w:tc>
        <w:tc>
          <w:tcPr/>
          <w:p>
            <w:pPr>
              <w:pStyle w:val="Compact"/>
              <w:jc w:val="right"/>
            </w:pPr>
            <w:r>
              <w:rPr>
                <w:sz w:val="17"/>
              </w:rPr>
              <w:t xml:space="preserve">mtm_ltv</w:t>
            </w:r>
          </w:p>
        </w:tc>
        <w:tc>
          <w:tcPr/>
          <w:p>
            <w:pPr>
              <w:pStyle w:val="Compact"/>
              <w:jc w:val="right"/>
            </w:pPr>
            <w:r>
              <w:rPr>
                <w:sz w:val="17"/>
              </w:rPr>
              <w:t xml:space="preserve">0.0918</w:t>
            </w:r>
          </w:p>
        </w:tc>
      </w:tr>
      <w:tr>
        <w:tc>
          <w:tcPr/>
          <w:p>
            <w:pPr>
              <w:pStyle w:val="Compact"/>
              <w:jc w:val="left"/>
            </w:pPr>
            <w:r>
              <w:rPr>
                <w:sz w:val="17"/>
              </w:rPr>
              <w:t xml:space="preserve">6</w:t>
            </w:r>
          </w:p>
        </w:tc>
        <w:tc>
          <w:tcPr/>
          <w:p>
            <w:pPr>
              <w:pStyle w:val="Compact"/>
              <w:jc w:val="right"/>
            </w:pPr>
            <w:r>
              <w:rPr>
                <w:sz w:val="17"/>
              </w:rPr>
              <w:t xml:space="preserve">unemp_chg_12m</w:t>
            </w:r>
          </w:p>
        </w:tc>
        <w:tc>
          <w:tcPr/>
          <w:p>
            <w:pPr>
              <w:pStyle w:val="Compact"/>
              <w:jc w:val="right"/>
            </w:pPr>
            <w:r>
              <w:rPr>
                <w:sz w:val="17"/>
              </w:rPr>
              <w:t xml:space="preserve">0.0688</w:t>
            </w:r>
          </w:p>
        </w:tc>
      </w:tr>
      <w:tr>
        <w:tc>
          <w:tcPr/>
          <w:p>
            <w:pPr>
              <w:pStyle w:val="Compact"/>
              <w:jc w:val="left"/>
            </w:pPr>
            <w:r>
              <w:rPr>
                <w:sz w:val="17"/>
              </w:rPr>
              <w:t xml:space="preserve">7</w:t>
            </w:r>
          </w:p>
        </w:tc>
        <w:tc>
          <w:tcPr/>
          <w:p>
            <w:pPr>
              <w:pStyle w:val="Compact"/>
              <w:jc w:val="right"/>
            </w:pPr>
            <w:r>
              <w:rPr>
                <w:sz w:val="17"/>
              </w:rPr>
              <w:t xml:space="preserve">orig_rate</w:t>
            </w:r>
          </w:p>
        </w:tc>
        <w:tc>
          <w:tcPr/>
          <w:p>
            <w:pPr>
              <w:pStyle w:val="Compact"/>
              <w:jc w:val="right"/>
            </w:pPr>
            <w:r>
              <w:rPr>
                <w:sz w:val="17"/>
              </w:rPr>
              <w:t xml:space="preserve">0.0635</w:t>
            </w:r>
          </w:p>
        </w:tc>
      </w:tr>
      <w:tr>
        <w:tc>
          <w:tcPr/>
          <w:p>
            <w:pPr>
              <w:pStyle w:val="Compact"/>
              <w:jc w:val="left"/>
            </w:pPr>
            <w:r>
              <w:rPr>
                <w:sz w:val="17"/>
              </w:rPr>
              <w:t xml:space="preserve">8</w:t>
            </w:r>
          </w:p>
        </w:tc>
        <w:tc>
          <w:tcPr/>
          <w:p>
            <w:pPr>
              <w:pStyle w:val="Compact"/>
              <w:jc w:val="right"/>
            </w:pPr>
            <w:r>
              <w:rPr>
                <w:sz w:val="17"/>
              </w:rPr>
              <w:t xml:space="preserve">incentive</w:t>
            </w:r>
          </w:p>
        </w:tc>
        <w:tc>
          <w:tcPr/>
          <w:p>
            <w:pPr>
              <w:pStyle w:val="Compact"/>
              <w:jc w:val="right"/>
            </w:pPr>
            <w:r>
              <w:rPr>
                <w:sz w:val="17"/>
              </w:rPr>
              <w:t xml:space="preserve">0.0579</w:t>
            </w:r>
          </w:p>
        </w:tc>
      </w:tr>
      <w:tr>
        <w:tc>
          <w:tcPr/>
          <w:p>
            <w:pPr>
              <w:pStyle w:val="Compact"/>
              <w:jc w:val="left"/>
            </w:pPr>
            <w:r>
              <w:rPr>
                <w:sz w:val="17"/>
              </w:rPr>
              <w:t xml:space="preserve">9</w:t>
            </w:r>
          </w:p>
        </w:tc>
        <w:tc>
          <w:tcPr/>
          <w:p>
            <w:pPr>
              <w:pStyle w:val="Compact"/>
              <w:jc w:val="right"/>
            </w:pPr>
            <w:r>
              <w:rPr>
                <w:sz w:val="17"/>
              </w:rPr>
              <w:t xml:space="preserve">dlq_status</w:t>
            </w:r>
          </w:p>
        </w:tc>
        <w:tc>
          <w:tcPr/>
          <w:p>
            <w:pPr>
              <w:pStyle w:val="Compact"/>
              <w:jc w:val="right"/>
            </w:pPr>
            <w:r>
              <w:rPr>
                <w:sz w:val="17"/>
              </w:rPr>
              <w:t xml:space="preserve">0.0541</w:t>
            </w:r>
          </w:p>
        </w:tc>
      </w:tr>
      <w:tr>
        <w:tc>
          <w:tcPr/>
          <w:p>
            <w:pPr>
              <w:pStyle w:val="Compact"/>
              <w:jc w:val="left"/>
            </w:pPr>
            <w:r>
              <w:rPr>
                <w:sz w:val="17"/>
              </w:rPr>
              <w:t xml:space="preserve">10</w:t>
            </w:r>
          </w:p>
        </w:tc>
        <w:tc>
          <w:tcPr/>
          <w:p>
            <w:pPr>
              <w:pStyle w:val="Compact"/>
              <w:jc w:val="right"/>
            </w:pPr>
            <w:r>
              <w:rPr>
                <w:sz w:val="17"/>
              </w:rPr>
              <w:t xml:space="preserve">log_upb</w:t>
            </w:r>
          </w:p>
        </w:tc>
        <w:tc>
          <w:tcPr/>
          <w:p>
            <w:pPr>
              <w:pStyle w:val="Compact"/>
              <w:jc w:val="right"/>
            </w:pPr>
            <w:r>
              <w:rPr>
                <w:sz w:val="17"/>
              </w:rPr>
              <w:t xml:space="preserve">0.0529</w:t>
            </w:r>
          </w:p>
        </w:tc>
      </w:tr>
    </w:tbl>
    <w:p>
      <w:pPr>
        <w:pStyle w:val="CaptionedFigure"/>
      </w:pPr>
      <w:r>
        <w:drawing>
          <wp:inline>
            <wp:extent cx="3733800" cy="3159369"/>
            <wp:effectExtent b="0" l="0" r="0" t="0"/>
            <wp:docPr descr="Mean absolute SHAP value, PD model." title="" id="86" name="Picture"/>
            <a:graphic>
              <a:graphicData uri="http://schemas.openxmlformats.org/drawingml/2006/picture">
                <pic:pic>
                  <pic:nvPicPr>
                    <pic:cNvPr descr="../python/outputs/charts/shap_bar_pd.png" id="87" name="Picture"/>
                    <pic:cNvPicPr>
                      <a:picLocks noChangeArrowheads="1" noChangeAspect="1"/>
                    </pic:cNvPicPr>
                  </pic:nvPicPr>
                  <pic:blipFill>
                    <a:blip r:embed="rId85"/>
                    <a:stretch>
                      <a:fillRect/>
                    </a:stretch>
                  </pic:blipFill>
                  <pic:spPr bwMode="auto">
                    <a:xfrm>
                      <a:off x="0" y="0"/>
                      <a:ext cx="3733800" cy="3159369"/>
                    </a:xfrm>
                    <a:prstGeom prst="rect">
                      <a:avLst/>
                    </a:prstGeom>
                    <a:noFill/>
                    <a:ln w="9525">
                      <a:noFill/>
                      <a:headEnd/>
                      <a:tailEnd/>
                    </a:ln>
                  </pic:spPr>
                </pic:pic>
              </a:graphicData>
            </a:graphic>
          </wp:inline>
        </w:drawing>
      </w:r>
    </w:p>
    <w:p>
      <w:pPr>
        <w:pStyle w:val="ImageCaption"/>
      </w:pPr>
      <w:r>
        <w:t xml:space="preserve">Mean absolute SHAP value, PD model.</w:t>
      </w:r>
    </w:p>
    <w:p>
      <w:pPr>
        <w:pStyle w:val="CaptionedFigure"/>
      </w:pPr>
      <w:r>
        <w:drawing>
          <wp:inline>
            <wp:extent cx="4267200" cy="3610707"/>
            <wp:effectExtent b="0" l="0" r="0" t="0"/>
            <wp:docPr descr="SHAP summary (beeswarm) for the PD model. Each dot is a loan; position is the effect on the log-odds of default; shade is the feature value." title="" id="89" name="Picture"/>
            <a:graphic>
              <a:graphicData uri="http://schemas.openxmlformats.org/drawingml/2006/picture">
                <pic:pic>
                  <pic:nvPicPr>
                    <pic:cNvPr descr="../python/outputs/charts/shap_beeswarm_pd.png" id="90" name="Picture"/>
                    <pic:cNvPicPr>
                      <a:picLocks noChangeArrowheads="1" noChangeAspect="1"/>
                    </pic:cNvPicPr>
                  </pic:nvPicPr>
                  <pic:blipFill>
                    <a:blip r:embed="rId88"/>
                    <a:stretch>
                      <a:fillRect/>
                    </a:stretch>
                  </pic:blipFill>
                  <pic:spPr bwMode="auto">
                    <a:xfrm>
                      <a:off x="0" y="0"/>
                      <a:ext cx="4267200" cy="3610707"/>
                    </a:xfrm>
                    <a:prstGeom prst="rect">
                      <a:avLst/>
                    </a:prstGeom>
                    <a:noFill/>
                    <a:ln w="9525">
                      <a:noFill/>
                      <a:headEnd/>
                      <a:tailEnd/>
                    </a:ln>
                  </pic:spPr>
                </pic:pic>
              </a:graphicData>
            </a:graphic>
          </wp:inline>
        </w:drawing>
      </w:r>
    </w:p>
    <w:p>
      <w:pPr>
        <w:pStyle w:val="ImageCaption"/>
      </w:pPr>
      <w:r>
        <w:t xml:space="preserve">SHAP summary (beeswarm) for the PD model. Each dot is a loan; position is the effect on the log-odds of default; shade is the feature value.</w:t>
      </w:r>
    </w:p>
    <w:p>
      <w:pPr>
        <w:pStyle w:val="BodyText"/>
      </w:pPr>
      <w:r>
        <w:rPr>
          <w:rStyle w:val="VerbatimChar"/>
        </w:rPr>
        <w:t xml:space="preserve">fico</w:t>
      </w:r>
      <w:r>
        <w:t xml:space="preserve"> </w:t>
      </w:r>
      <w:r>
        <w:t xml:space="preserve">dominates (0.810), followed by</w:t>
      </w:r>
      <w:r>
        <w:t xml:space="preserve"> </w:t>
      </w:r>
      <w:r>
        <w:rPr>
          <w:rStyle w:val="VerbatimChar"/>
        </w:rPr>
        <w:t xml:space="preserve">dti</w:t>
      </w:r>
      <w:r>
        <w:t xml:space="preserve">,</w:t>
      </w:r>
      <w:r>
        <w:t xml:space="preserve"> </w:t>
      </w:r>
      <w:r>
        <w:rPr>
          <w:rStyle w:val="VerbatimChar"/>
        </w:rPr>
        <w:t xml:space="preserve">unemp</w:t>
      </w:r>
      <w:r>
        <w:t xml:space="preserve">,</w:t>
      </w:r>
      <w:r>
        <w:t xml:space="preserve"> </w:t>
      </w:r>
      <w:r>
        <w:rPr>
          <w:rStyle w:val="VerbatimChar"/>
        </w:rPr>
        <w:t xml:space="preserve">age</w:t>
      </w:r>
      <w:r>
        <w:t xml:space="preserve"> </w:t>
      </w:r>
      <w:r>
        <w:t xml:space="preserve">and</w:t>
      </w:r>
      <w:r>
        <w:t xml:space="preserve"> </w:t>
      </w:r>
      <w:r>
        <w:rPr>
          <w:rStyle w:val="VerbatimChar"/>
        </w:rPr>
        <w:t xml:space="preserve">mtm_ltv</w:t>
      </w:r>
      <w:r>
        <w:t xml:space="preserve">. The beeswarm shows the direction: low FICO (light dots) pushes the log-odds up and high FICO pushes it down; high DTI, high unemployment and high mark-to-market LTV push it up; older age pulls it down in the simulated hump. One subtlety:</w:t>
      </w:r>
      <w:r>
        <w:t xml:space="preserve"> </w:t>
      </w:r>
      <w:r>
        <w:rPr>
          <w:rStyle w:val="VerbatimChar"/>
        </w:rPr>
        <w:t xml:space="preserve">dlq_status</w:t>
      </w:r>
      <w:r>
        <w:t xml:space="preserve"> </w:t>
      </w:r>
      <w:r>
        <w:t xml:space="preserve">ranks 9 with a mean absolute SHAP of only 0.054, yet in the beeswarm the few loans that are currently 30DPD receive a contribution of about +3 log-odds. Mean absolute SHAP averages over all loans, and only about 0.84% of snapshots are delinquent, so a rare feature can be decisive for the loans it touches and still rank low globally.</w:t>
      </w:r>
    </w:p>
    <w:p>
      <w:pPr>
        <w:pStyle w:val="TableCaption"/>
      </w:pPr>
      <w:r>
        <w:t xml:space="preserve">Top ten prepayment features by mean absolute SHAP value.</w:t>
      </w:r>
    </w:p>
    <w:tbl>
      <w:tblPr>
        <w:tblStyle w:val="Table"/>
        <w:tblW w:type="auto" w:w="0"/>
        <w:tblLook w:firstRow="1" w:lastRow="0" w:firstColumn="0" w:lastColumn="0" w:noHBand="0" w:noVBand="0" w:val="0020"/>
        <w:tblCaption w:val="Top ten prepayment features by mean absolute SHAP valu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Rank</w:t>
            </w:r>
          </w:p>
        </w:tc>
        <w:tc>
          <w:tcPr/>
          <w:p>
            <w:pPr>
              <w:pStyle w:val="Compact"/>
              <w:jc w:val="right"/>
            </w:pPr>
            <w:r>
              <w:rPr>
                <w:sz w:val="17"/>
              </w:rPr>
              <w:t xml:space="preserve">Feature</w:t>
            </w:r>
          </w:p>
        </w:tc>
        <w:tc>
          <w:tcPr/>
          <w:p>
            <w:pPr>
              <w:pStyle w:val="Compact"/>
              <w:jc w:val="right"/>
            </w:pPr>
            <w:r>
              <w:rPr>
                <w:sz w:val="17"/>
              </w:rPr>
              <w:t xml:space="preserve">Mean absolute SHAP (log-odds)</w:t>
            </w:r>
          </w:p>
        </w:tc>
      </w:tr>
      <w:tr>
        <w:tc>
          <w:tcPr/>
          <w:p>
            <w:pPr>
              <w:pStyle w:val="Compact"/>
              <w:jc w:val="left"/>
            </w:pPr>
            <w:r>
              <w:rPr>
                <w:sz w:val="17"/>
              </w:rPr>
              <w:t xml:space="preserve">1</w:t>
            </w:r>
          </w:p>
        </w:tc>
        <w:tc>
          <w:tcPr/>
          <w:p>
            <w:pPr>
              <w:pStyle w:val="Compact"/>
              <w:jc w:val="right"/>
            </w:pPr>
            <w:r>
              <w:rPr>
                <w:sz w:val="17"/>
              </w:rPr>
              <w:t xml:space="preserve">incentive</w:t>
            </w:r>
          </w:p>
        </w:tc>
        <w:tc>
          <w:tcPr/>
          <w:p>
            <w:pPr>
              <w:pStyle w:val="Compact"/>
              <w:jc w:val="right"/>
            </w:pPr>
            <w:r>
              <w:rPr>
                <w:sz w:val="17"/>
              </w:rPr>
              <w:t xml:space="preserve">0.6539</w:t>
            </w:r>
          </w:p>
        </w:tc>
      </w:tr>
      <w:tr>
        <w:tc>
          <w:tcPr/>
          <w:p>
            <w:pPr>
              <w:pStyle w:val="Compact"/>
              <w:jc w:val="left"/>
            </w:pPr>
            <w:r>
              <w:rPr>
                <w:sz w:val="17"/>
              </w:rPr>
              <w:t xml:space="preserve">2</w:t>
            </w:r>
          </w:p>
        </w:tc>
        <w:tc>
          <w:tcPr/>
          <w:p>
            <w:pPr>
              <w:pStyle w:val="Compact"/>
              <w:jc w:val="right"/>
            </w:pPr>
            <w:r>
              <w:rPr>
                <w:sz w:val="17"/>
              </w:rPr>
              <w:t xml:space="preserve">age</w:t>
            </w:r>
          </w:p>
        </w:tc>
        <w:tc>
          <w:tcPr/>
          <w:p>
            <w:pPr>
              <w:pStyle w:val="Compact"/>
              <w:jc w:val="right"/>
            </w:pPr>
            <w:r>
              <w:rPr>
                <w:sz w:val="17"/>
              </w:rPr>
              <w:t xml:space="preserve">0.1380</w:t>
            </w:r>
          </w:p>
        </w:tc>
      </w:tr>
      <w:tr>
        <w:tc>
          <w:tcPr/>
          <w:p>
            <w:pPr>
              <w:pStyle w:val="Compact"/>
              <w:jc w:val="left"/>
            </w:pPr>
            <w:r>
              <w:rPr>
                <w:sz w:val="17"/>
              </w:rPr>
              <w:t xml:space="preserve">3</w:t>
            </w:r>
          </w:p>
        </w:tc>
        <w:tc>
          <w:tcPr/>
          <w:p>
            <w:pPr>
              <w:pStyle w:val="Compact"/>
              <w:jc w:val="right"/>
            </w:pPr>
            <w:r>
              <w:rPr>
                <w:sz w:val="17"/>
              </w:rPr>
              <w:t xml:space="preserve">burnout</w:t>
            </w:r>
          </w:p>
        </w:tc>
        <w:tc>
          <w:tcPr/>
          <w:p>
            <w:pPr>
              <w:pStyle w:val="Compact"/>
              <w:jc w:val="right"/>
            </w:pPr>
            <w:r>
              <w:rPr>
                <w:sz w:val="17"/>
              </w:rPr>
              <w:t xml:space="preserve">0.0993</w:t>
            </w:r>
          </w:p>
        </w:tc>
      </w:tr>
      <w:tr>
        <w:tc>
          <w:tcPr/>
          <w:p>
            <w:pPr>
              <w:pStyle w:val="Compact"/>
              <w:jc w:val="left"/>
            </w:pPr>
            <w:r>
              <w:rPr>
                <w:sz w:val="17"/>
              </w:rPr>
              <w:t xml:space="preserve">4</w:t>
            </w:r>
          </w:p>
        </w:tc>
        <w:tc>
          <w:tcPr/>
          <w:p>
            <w:pPr>
              <w:pStyle w:val="Compact"/>
              <w:jc w:val="right"/>
            </w:pPr>
            <w:r>
              <w:rPr>
                <w:sz w:val="17"/>
              </w:rPr>
              <w:t xml:space="preserve">fico</w:t>
            </w:r>
          </w:p>
        </w:tc>
        <w:tc>
          <w:tcPr/>
          <w:p>
            <w:pPr>
              <w:pStyle w:val="Compact"/>
              <w:jc w:val="right"/>
            </w:pPr>
            <w:r>
              <w:rPr>
                <w:sz w:val="17"/>
              </w:rPr>
              <w:t xml:space="preserve">0.0837</w:t>
            </w:r>
          </w:p>
        </w:tc>
      </w:tr>
      <w:tr>
        <w:tc>
          <w:tcPr/>
          <w:p>
            <w:pPr>
              <w:pStyle w:val="Compact"/>
              <w:jc w:val="left"/>
            </w:pPr>
            <w:r>
              <w:rPr>
                <w:sz w:val="17"/>
              </w:rPr>
              <w:t xml:space="preserve">5</w:t>
            </w:r>
          </w:p>
        </w:tc>
        <w:tc>
          <w:tcPr/>
          <w:p>
            <w:pPr>
              <w:pStyle w:val="Compact"/>
              <w:jc w:val="right"/>
            </w:pPr>
            <w:r>
              <w:rPr>
                <w:sz w:val="17"/>
              </w:rPr>
              <w:t xml:space="preserve">log_upb</w:t>
            </w:r>
          </w:p>
        </w:tc>
        <w:tc>
          <w:tcPr/>
          <w:p>
            <w:pPr>
              <w:pStyle w:val="Compact"/>
              <w:jc w:val="right"/>
            </w:pPr>
            <w:r>
              <w:rPr>
                <w:sz w:val="17"/>
              </w:rPr>
              <w:t xml:space="preserve">0.0582</w:t>
            </w:r>
          </w:p>
        </w:tc>
      </w:tr>
      <w:tr>
        <w:tc>
          <w:tcPr/>
          <w:p>
            <w:pPr>
              <w:pStyle w:val="Compact"/>
              <w:jc w:val="left"/>
            </w:pPr>
            <w:r>
              <w:rPr>
                <w:sz w:val="17"/>
              </w:rPr>
              <w:t xml:space="preserve">6</w:t>
            </w:r>
          </w:p>
        </w:tc>
        <w:tc>
          <w:tcPr/>
          <w:p>
            <w:pPr>
              <w:pStyle w:val="Compact"/>
              <w:jc w:val="right"/>
            </w:pPr>
            <w:r>
              <w:rPr>
                <w:sz w:val="17"/>
              </w:rPr>
              <w:t xml:space="preserve">seasoning_ramp</w:t>
            </w:r>
          </w:p>
        </w:tc>
        <w:tc>
          <w:tcPr/>
          <w:p>
            <w:pPr>
              <w:pStyle w:val="Compact"/>
              <w:jc w:val="right"/>
            </w:pPr>
            <w:r>
              <w:rPr>
                <w:sz w:val="17"/>
              </w:rPr>
              <w:t xml:space="preserve">0.0331</w:t>
            </w:r>
          </w:p>
        </w:tc>
      </w:tr>
      <w:tr>
        <w:tc>
          <w:tcPr/>
          <w:p>
            <w:pPr>
              <w:pStyle w:val="Compact"/>
              <w:jc w:val="left"/>
            </w:pPr>
            <w:r>
              <w:rPr>
                <w:sz w:val="17"/>
              </w:rPr>
              <w:t xml:space="preserve">7</w:t>
            </w:r>
          </w:p>
        </w:tc>
        <w:tc>
          <w:tcPr/>
          <w:p>
            <w:pPr>
              <w:pStyle w:val="Compact"/>
              <w:jc w:val="right"/>
            </w:pPr>
            <w:r>
              <w:rPr>
                <w:sz w:val="17"/>
              </w:rPr>
              <w:t xml:space="preserve">month_of_year</w:t>
            </w:r>
          </w:p>
        </w:tc>
        <w:tc>
          <w:tcPr/>
          <w:p>
            <w:pPr>
              <w:pStyle w:val="Compact"/>
              <w:jc w:val="right"/>
            </w:pPr>
            <w:r>
              <w:rPr>
                <w:sz w:val="17"/>
              </w:rPr>
              <w:t xml:space="preserve">0.0236</w:t>
            </w:r>
          </w:p>
        </w:tc>
      </w:tr>
      <w:tr>
        <w:tc>
          <w:tcPr/>
          <w:p>
            <w:pPr>
              <w:pStyle w:val="Compact"/>
              <w:jc w:val="left"/>
            </w:pPr>
            <w:r>
              <w:rPr>
                <w:sz w:val="17"/>
              </w:rPr>
              <w:t xml:space="preserve">8</w:t>
            </w:r>
          </w:p>
        </w:tc>
        <w:tc>
          <w:tcPr/>
          <w:p>
            <w:pPr>
              <w:pStyle w:val="Compact"/>
              <w:jc w:val="right"/>
            </w:pPr>
            <w:r>
              <w:rPr>
                <w:sz w:val="17"/>
              </w:rPr>
              <w:t xml:space="preserve">mtm_ltv</w:t>
            </w:r>
          </w:p>
        </w:tc>
        <w:tc>
          <w:tcPr/>
          <w:p>
            <w:pPr>
              <w:pStyle w:val="Compact"/>
              <w:jc w:val="right"/>
            </w:pPr>
            <w:r>
              <w:rPr>
                <w:sz w:val="17"/>
              </w:rPr>
              <w:t xml:space="preserve">0.0217</w:t>
            </w:r>
          </w:p>
        </w:tc>
      </w:tr>
      <w:tr>
        <w:tc>
          <w:tcPr/>
          <w:p>
            <w:pPr>
              <w:pStyle w:val="Compact"/>
              <w:jc w:val="left"/>
            </w:pPr>
            <w:r>
              <w:rPr>
                <w:sz w:val="17"/>
              </w:rPr>
              <w:t xml:space="preserve">9</w:t>
            </w:r>
          </w:p>
        </w:tc>
        <w:tc>
          <w:tcPr/>
          <w:p>
            <w:pPr>
              <w:pStyle w:val="Compact"/>
              <w:jc w:val="right"/>
            </w:pPr>
            <w:r>
              <w:rPr>
                <w:sz w:val="17"/>
              </w:rPr>
              <w:t xml:space="preserve">dti</w:t>
            </w:r>
          </w:p>
        </w:tc>
        <w:tc>
          <w:tcPr/>
          <w:p>
            <w:pPr>
              <w:pStyle w:val="Compact"/>
              <w:jc w:val="right"/>
            </w:pPr>
            <w:r>
              <w:rPr>
                <w:sz w:val="17"/>
              </w:rPr>
              <w:t xml:space="preserve">0.0098</w:t>
            </w:r>
          </w:p>
        </w:tc>
      </w:tr>
      <w:tr>
        <w:tc>
          <w:tcPr/>
          <w:p>
            <w:pPr>
              <w:pStyle w:val="Compact"/>
              <w:jc w:val="left"/>
            </w:pPr>
            <w:r>
              <w:rPr>
                <w:sz w:val="17"/>
              </w:rPr>
              <w:t xml:space="preserve">10</w:t>
            </w:r>
          </w:p>
        </w:tc>
        <w:tc>
          <w:tcPr/>
          <w:p>
            <w:pPr>
              <w:pStyle w:val="Compact"/>
              <w:jc w:val="right"/>
            </w:pPr>
            <w:r>
              <w:rPr>
                <w:sz w:val="17"/>
              </w:rPr>
              <w:t xml:space="preserve">state</w:t>
            </w:r>
          </w:p>
        </w:tc>
        <w:tc>
          <w:tcPr/>
          <w:p>
            <w:pPr>
              <w:pStyle w:val="Compact"/>
              <w:jc w:val="right"/>
            </w:pPr>
            <w:r>
              <w:rPr>
                <w:sz w:val="17"/>
              </w:rPr>
              <w:t xml:space="preserve">0.0031</w:t>
            </w:r>
          </w:p>
        </w:tc>
      </w:tr>
    </w:tbl>
    <w:p>
      <w:pPr>
        <w:pStyle w:val="CaptionedFigure"/>
      </w:pPr>
      <w:r>
        <w:drawing>
          <wp:inline>
            <wp:extent cx="3733800" cy="3159369"/>
            <wp:effectExtent b="0" l="0" r="0" t="0"/>
            <wp:docPr descr="Mean absolute SHAP value, prepayment model." title="" id="92" name="Picture"/>
            <a:graphic>
              <a:graphicData uri="http://schemas.openxmlformats.org/drawingml/2006/picture">
                <pic:pic>
                  <pic:nvPicPr>
                    <pic:cNvPr descr="../python/outputs/charts/shap_bar_prepay.png" id="93" name="Picture"/>
                    <pic:cNvPicPr>
                      <a:picLocks noChangeArrowheads="1" noChangeAspect="1"/>
                    </pic:cNvPicPr>
                  </pic:nvPicPr>
                  <pic:blipFill>
                    <a:blip r:embed="rId91"/>
                    <a:stretch>
                      <a:fillRect/>
                    </a:stretch>
                  </pic:blipFill>
                  <pic:spPr bwMode="auto">
                    <a:xfrm>
                      <a:off x="0" y="0"/>
                      <a:ext cx="3733800" cy="3159369"/>
                    </a:xfrm>
                    <a:prstGeom prst="rect">
                      <a:avLst/>
                    </a:prstGeom>
                    <a:noFill/>
                    <a:ln w="9525">
                      <a:noFill/>
                      <a:headEnd/>
                      <a:tailEnd/>
                    </a:ln>
                  </pic:spPr>
                </pic:pic>
              </a:graphicData>
            </a:graphic>
          </wp:inline>
        </w:drawing>
      </w:r>
    </w:p>
    <w:p>
      <w:pPr>
        <w:pStyle w:val="ImageCaption"/>
      </w:pPr>
      <w:r>
        <w:t xml:space="preserve">Mean absolute SHAP value, prepayment model.</w:t>
      </w:r>
    </w:p>
    <w:p>
      <w:pPr>
        <w:pStyle w:val="BodyText"/>
      </w:pPr>
      <w:r>
        <w:t xml:space="preserve">For prepayment,</w:t>
      </w:r>
      <w:r>
        <w:t xml:space="preserve"> </w:t>
      </w:r>
      <w:r>
        <w:rPr>
          <w:rStyle w:val="VerbatimChar"/>
        </w:rPr>
        <w:t xml:space="preserve">incentive</w:t>
      </w:r>
      <w:r>
        <w:t xml:space="preserve"> </w:t>
      </w:r>
      <w:r>
        <w:t xml:space="preserve">alone carries 58% of the total importance, followed by</w:t>
      </w:r>
      <w:r>
        <w:t xml:space="preserve"> </w:t>
      </w:r>
      <w:r>
        <w:rPr>
          <w:rStyle w:val="VerbatimChar"/>
        </w:rPr>
        <w:t xml:space="preserve">age</w:t>
      </w:r>
      <w:r>
        <w:t xml:space="preserve">,</w:t>
      </w:r>
      <w:r>
        <w:t xml:space="preserve"> </w:t>
      </w:r>
      <w:r>
        <w:rPr>
          <w:rStyle w:val="VerbatimChar"/>
        </w:rPr>
        <w:t xml:space="preserve">burnout</w:t>
      </w:r>
      <w:r>
        <w:t xml:space="preserve"> </w:t>
      </w:r>
      <w:r>
        <w:t xml:space="preserve">and</w:t>
      </w:r>
      <w:r>
        <w:t xml:space="preserve"> </w:t>
      </w:r>
      <w:r>
        <w:rPr>
          <w:rStyle w:val="VerbatimChar"/>
        </w:rPr>
        <w:t xml:space="preserve">fico</w:t>
      </w:r>
      <w:r>
        <w:t xml:space="preserve">. This is what the simulated hazard implies: the refinance term is the biggest lever, with age/seasoning and burnout the next.</w:t>
      </w:r>
    </w:p>
    <w:bookmarkEnd w:id="94"/>
    <w:bookmarkStart w:id="95" w:name="X7a5251518d1958132b6970d74a6c77174165317"/>
    <w:p>
      <w:pPr>
        <w:pStyle w:val="Heading2"/>
      </w:pPr>
      <w:r>
        <w:rPr>
          <w:rStyle w:val="SectionNumber"/>
        </w:rPr>
        <w:t xml:space="preserve">9.2</w:t>
      </w:r>
      <w:r>
        <w:tab/>
      </w:r>
      <w:r>
        <w:t xml:space="preserve">Alignment with the data generating process</w:t>
      </w:r>
    </w:p>
    <w:p>
      <w:pPr>
        <w:pStyle w:val="FirstParagraph"/>
      </w:pPr>
      <w:r>
        <w:t xml:space="preserve">A check that explanations make sense is only possible here because the truth is known.</w:t>
      </w:r>
      <w:r>
        <w:t xml:space="preserve"> </w:t>
      </w:r>
      <w:r>
        <w:rPr>
          <w:rStyle w:val="VerbatimChar"/>
        </w:rPr>
        <w:t xml:space="preserve">explain.dgp_alignment</w:t>
      </w:r>
      <w:r>
        <w:t xml:space="preserve"> </w:t>
      </w:r>
      <w:r>
        <w:t xml:space="preserve">runs two kinds of test. The</w:t>
      </w:r>
      <w:r>
        <w:t xml:space="preserve"> </w:t>
      </w:r>
      <w:r>
        <w:rPr>
          <w:i/>
          <w:iCs/>
        </w:rPr>
        <w:t xml:space="preserve">rank</w:t>
      </w:r>
      <w:r>
        <w:t xml:space="preserve"> </w:t>
      </w:r>
      <w:r>
        <w:t xml:space="preserve">tests ask whether the features the DGP says matter most appear near the top of the SHAP ranking (for PD: FICO, mark-to-market LTV and unemployment in the top five, and DTI or recent delinquencies also in the top five; for prepay: incentive first, burnout in the top four). The</w:t>
      </w:r>
      <w:r>
        <w:t xml:space="preserve"> </w:t>
      </w:r>
      <w:r>
        <w:rPr>
          <w:i/>
          <w:iCs/>
        </w:rPr>
        <w:t xml:space="preserve">sign</w:t>
      </w:r>
      <w:r>
        <w:t xml:space="preserve"> </w:t>
      </w:r>
      <w:r>
        <w:t xml:space="preserve">tests compute the Spearman rank correlation between a feature's value and its SHAP value and require its sign to match the DGP coefficient with absolute value of at least 0.05.</w:t>
      </w:r>
    </w:p>
    <w:p>
      <w:pPr>
        <w:pStyle w:val="TableCaption"/>
      </w:pPr>
      <w:r>
        <w:t xml:space="preserve">DGP alignment checks. 13 of 13 pass.</w:t>
      </w:r>
    </w:p>
    <w:tbl>
      <w:tblPr>
        <w:tblStyle w:val="Table"/>
        <w:tblW w:type="auto" w:w="0"/>
        <w:tblLook w:firstRow="1" w:lastRow="0" w:firstColumn="0" w:lastColumn="0" w:noHBand="0" w:noVBand="0" w:val="0020"/>
        <w:tblCaption w:val="DGP alignment checks. 13 of 13 pas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jc w:val="left"/>
            </w:pPr>
            <w:r>
              <w:rPr>
                <w:sz w:val="17"/>
              </w:rPr>
              <w:t xml:space="preserve">Model</w:t>
            </w:r>
          </w:p>
        </w:tc>
        <w:tc>
          <w:tcPr/>
          <w:p>
            <w:pPr>
              <w:pStyle w:val="Compact"/>
              <w:jc w:val="right"/>
            </w:pPr>
            <w:r>
              <w:rPr>
                <w:sz w:val="17"/>
              </w:rPr>
              <w:t xml:space="preserve">Feature</w:t>
            </w:r>
          </w:p>
        </w:tc>
        <w:tc>
          <w:tcPr/>
          <w:p>
            <w:pPr>
              <w:pStyle w:val="Compact"/>
              <w:jc w:val="right"/>
            </w:pPr>
            <w:r>
              <w:rPr>
                <w:sz w:val="17"/>
              </w:rPr>
              <w:t xml:space="preserve">DGP-implied expectation</w:t>
            </w:r>
          </w:p>
        </w:tc>
        <w:tc>
          <w:tcPr/>
          <w:p>
            <w:pPr>
              <w:pStyle w:val="Compact"/>
              <w:jc w:val="right"/>
            </w:pPr>
            <w:r>
              <w:rPr>
                <w:sz w:val="17"/>
              </w:rPr>
              <w:t xml:space="preserve">SHAP rank</w:t>
            </w:r>
          </w:p>
        </w:tc>
        <w:tc>
          <w:tcPr/>
          <w:p>
            <w:pPr>
              <w:pStyle w:val="Compact"/>
              <w:jc w:val="right"/>
            </w:pPr>
            <w:r>
              <w:rPr>
                <w:sz w:val="17"/>
              </w:rPr>
              <w:t xml:space="preserve">Result</w:t>
            </w:r>
          </w:p>
        </w:tc>
      </w:tr>
      <w:tr>
        <w:tc>
          <w:tcPr/>
          <w:p>
            <w:pPr>
              <w:pStyle w:val="Compact"/>
              <w:jc w:val="left"/>
            </w:pPr>
            <w:r>
              <w:rPr>
                <w:sz w:val="17"/>
              </w:rPr>
              <w:t xml:space="preserve">PD</w:t>
            </w:r>
          </w:p>
        </w:tc>
        <w:tc>
          <w:tcPr/>
          <w:p>
            <w:pPr>
              <w:pStyle w:val="Compact"/>
              <w:jc w:val="right"/>
            </w:pPr>
            <w:r>
              <w:rPr>
                <w:sz w:val="17"/>
              </w:rPr>
              <w:t xml:space="preserve">fico</w:t>
            </w:r>
          </w:p>
        </w:tc>
        <w:tc>
          <w:tcPr/>
          <w:p>
            <w:pPr>
              <w:pStyle w:val="Compact"/>
              <w:jc w:val="right"/>
            </w:pPr>
            <w:r>
              <w:rPr>
                <w:sz w:val="17"/>
              </w:rPr>
              <w:t xml:space="preserve">top 5</w:t>
            </w:r>
          </w:p>
        </w:tc>
        <w:tc>
          <w:tcPr/>
          <w:p>
            <w:pPr>
              <w:pStyle w:val="Compact"/>
              <w:jc w:val="right"/>
            </w:pPr>
            <w:r>
              <w:rPr>
                <w:sz w:val="17"/>
              </w:rPr>
              <w:t xml:space="preserve">1</w:t>
            </w:r>
          </w:p>
        </w:tc>
        <w:tc>
          <w:tcPr/>
          <w:p>
            <w:pPr>
              <w:pStyle w:val="Compact"/>
              <w:jc w:val="right"/>
            </w:pPr>
            <w:r>
              <w:rPr>
                <w:sz w:val="17"/>
              </w:rPr>
              <w:t xml:space="preserve">pass</w:t>
            </w:r>
          </w:p>
        </w:tc>
      </w:tr>
      <w:tr>
        <w:tc>
          <w:tcPr/>
          <w:p>
            <w:pPr>
              <w:pStyle w:val="Compact"/>
              <w:jc w:val="left"/>
            </w:pPr>
            <w:r>
              <w:rPr>
                <w:sz w:val="17"/>
              </w:rPr>
              <w:t xml:space="preserve">PD</w:t>
            </w:r>
          </w:p>
        </w:tc>
        <w:tc>
          <w:tcPr/>
          <w:p>
            <w:pPr>
              <w:pStyle w:val="Compact"/>
              <w:jc w:val="right"/>
            </w:pPr>
            <w:r>
              <w:rPr>
                <w:sz w:val="17"/>
              </w:rPr>
              <w:t xml:space="preserve">mtm_ltv</w:t>
            </w:r>
          </w:p>
        </w:tc>
        <w:tc>
          <w:tcPr/>
          <w:p>
            <w:pPr>
              <w:pStyle w:val="Compact"/>
              <w:jc w:val="right"/>
            </w:pPr>
            <w:r>
              <w:rPr>
                <w:sz w:val="17"/>
              </w:rPr>
              <w:t xml:space="preserve">top 5</w:t>
            </w:r>
          </w:p>
        </w:tc>
        <w:tc>
          <w:tcPr/>
          <w:p>
            <w:pPr>
              <w:pStyle w:val="Compact"/>
              <w:jc w:val="right"/>
            </w:pPr>
            <w:r>
              <w:rPr>
                <w:sz w:val="17"/>
              </w:rPr>
              <w:t xml:space="preserve">5</w:t>
            </w:r>
          </w:p>
        </w:tc>
        <w:tc>
          <w:tcPr/>
          <w:p>
            <w:pPr>
              <w:pStyle w:val="Compact"/>
              <w:jc w:val="right"/>
            </w:pPr>
            <w:r>
              <w:rPr>
                <w:sz w:val="17"/>
              </w:rPr>
              <w:t xml:space="preserve">pass</w:t>
            </w:r>
          </w:p>
        </w:tc>
      </w:tr>
      <w:tr>
        <w:tc>
          <w:tcPr/>
          <w:p>
            <w:pPr>
              <w:pStyle w:val="Compact"/>
              <w:jc w:val="left"/>
            </w:pPr>
            <w:r>
              <w:rPr>
                <w:sz w:val="17"/>
              </w:rPr>
              <w:t xml:space="preserve">PD</w:t>
            </w:r>
          </w:p>
        </w:tc>
        <w:tc>
          <w:tcPr/>
          <w:p>
            <w:pPr>
              <w:pStyle w:val="Compact"/>
              <w:jc w:val="right"/>
            </w:pPr>
            <w:r>
              <w:rPr>
                <w:sz w:val="17"/>
              </w:rPr>
              <w:t xml:space="preserve">unemp</w:t>
            </w:r>
          </w:p>
        </w:tc>
        <w:tc>
          <w:tcPr/>
          <w:p>
            <w:pPr>
              <w:pStyle w:val="Compact"/>
              <w:jc w:val="right"/>
            </w:pPr>
            <w:r>
              <w:rPr>
                <w:sz w:val="17"/>
              </w:rPr>
              <w:t xml:space="preserve">top 5</w:t>
            </w:r>
          </w:p>
        </w:tc>
        <w:tc>
          <w:tcPr/>
          <w:p>
            <w:pPr>
              <w:pStyle w:val="Compact"/>
              <w:jc w:val="right"/>
            </w:pPr>
            <w:r>
              <w:rPr>
                <w:sz w:val="17"/>
              </w:rPr>
              <w:t xml:space="preserve">3</w:t>
            </w:r>
          </w:p>
        </w:tc>
        <w:tc>
          <w:tcPr/>
          <w:p>
            <w:pPr>
              <w:pStyle w:val="Compact"/>
              <w:jc w:val="right"/>
            </w:pPr>
            <w:r>
              <w:rPr>
                <w:sz w:val="17"/>
              </w:rPr>
              <w:t xml:space="preserve">pass</w:t>
            </w:r>
          </w:p>
        </w:tc>
      </w:tr>
      <w:tr>
        <w:tc>
          <w:tcPr/>
          <w:p>
            <w:pPr>
              <w:pStyle w:val="Compact"/>
              <w:jc w:val="left"/>
            </w:pPr>
            <w:r>
              <w:rPr>
                <w:sz w:val="17"/>
              </w:rPr>
              <w:t xml:space="preserve">PD</w:t>
            </w:r>
          </w:p>
        </w:tc>
        <w:tc>
          <w:tcPr/>
          <w:p>
            <w:pPr>
              <w:pStyle w:val="Compact"/>
              <w:jc w:val="right"/>
            </w:pPr>
            <w:r>
              <w:rPr>
                <w:sz w:val="17"/>
              </w:rPr>
              <w:t xml:space="preserve">dti/times_30dpd_12m</w:t>
            </w:r>
          </w:p>
        </w:tc>
        <w:tc>
          <w:tcPr/>
          <w:p>
            <w:pPr>
              <w:pStyle w:val="Compact"/>
              <w:jc w:val="right"/>
            </w:pPr>
            <w:r>
              <w:rPr>
                <w:sz w:val="17"/>
              </w:rPr>
              <w:t xml:space="preserve">either in top 5</w:t>
            </w:r>
          </w:p>
        </w:tc>
        <w:tc>
          <w:tcPr/>
          <w:p>
            <w:pPr>
              <w:pStyle w:val="Compact"/>
              <w:jc w:val="right"/>
            </w:pPr>
            <w:r>
              <w:rPr>
                <w:sz w:val="17"/>
              </w:rPr>
              <w:t xml:space="preserve">2</w:t>
            </w:r>
          </w:p>
        </w:tc>
        <w:tc>
          <w:tcPr/>
          <w:p>
            <w:pPr>
              <w:pStyle w:val="Compact"/>
              <w:jc w:val="right"/>
            </w:pPr>
            <w:r>
              <w:rPr>
                <w:sz w:val="17"/>
              </w:rPr>
              <w:t xml:space="preserve">pass</w:t>
            </w:r>
          </w:p>
        </w:tc>
      </w:tr>
      <w:tr>
        <w:tc>
          <w:tcPr/>
          <w:p>
            <w:pPr>
              <w:pStyle w:val="Compact"/>
              <w:jc w:val="left"/>
            </w:pPr>
            <w:r>
              <w:rPr>
                <w:sz w:val="17"/>
              </w:rPr>
              <w:t xml:space="preserve">PD</w:t>
            </w:r>
          </w:p>
        </w:tc>
        <w:tc>
          <w:tcPr/>
          <w:p>
            <w:pPr>
              <w:pStyle w:val="Compact"/>
              <w:jc w:val="right"/>
            </w:pPr>
            <w:r>
              <w:rPr>
                <w:sz w:val="17"/>
              </w:rPr>
              <w:t xml:space="preserve">fico</w:t>
            </w:r>
          </w:p>
        </w:tc>
        <w:tc>
          <w:tcPr/>
          <w:p>
            <w:pPr>
              <w:pStyle w:val="Compact"/>
              <w:jc w:val="right"/>
            </w:pPr>
            <w:r>
              <w:rPr>
                <w:sz w:val="17"/>
              </w:rPr>
              <w:t xml:space="preserve">sign -</w:t>
            </w:r>
          </w:p>
        </w:tc>
        <w:tc>
          <w:tcPr/>
          <w:p>
            <w:pPr>
              <w:pStyle w:val="Compact"/>
              <w:jc w:val="right"/>
            </w:pPr>
            <w:r>
              <w:rPr>
                <w:sz w:val="17"/>
              </w:rPr>
              <w:t xml:space="preserve">1</w:t>
            </w:r>
          </w:p>
        </w:tc>
        <w:tc>
          <w:tcPr/>
          <w:p>
            <w:pPr>
              <w:pStyle w:val="Compact"/>
              <w:jc w:val="right"/>
            </w:pPr>
            <w:r>
              <w:rPr>
                <w:sz w:val="17"/>
              </w:rPr>
              <w:t xml:space="preserve">pass</w:t>
            </w:r>
          </w:p>
        </w:tc>
      </w:tr>
      <w:tr>
        <w:tc>
          <w:tcPr/>
          <w:p>
            <w:pPr>
              <w:pStyle w:val="Compact"/>
              <w:jc w:val="left"/>
            </w:pPr>
            <w:r>
              <w:rPr>
                <w:sz w:val="17"/>
              </w:rPr>
              <w:t xml:space="preserve">PD</w:t>
            </w:r>
          </w:p>
        </w:tc>
        <w:tc>
          <w:tcPr/>
          <w:p>
            <w:pPr>
              <w:pStyle w:val="Compact"/>
              <w:jc w:val="right"/>
            </w:pPr>
            <w:r>
              <w:rPr>
                <w:sz w:val="17"/>
              </w:rPr>
              <w:t xml:space="preserve">mtm_ltv</w:t>
            </w:r>
          </w:p>
        </w:tc>
        <w:tc>
          <w:tcPr/>
          <w:p>
            <w:pPr>
              <w:pStyle w:val="Compact"/>
              <w:jc w:val="right"/>
            </w:pPr>
            <w:r>
              <w:rPr>
                <w:sz w:val="17"/>
              </w:rPr>
              <w:t xml:space="preserve">sign +</w:t>
            </w:r>
          </w:p>
        </w:tc>
        <w:tc>
          <w:tcPr/>
          <w:p>
            <w:pPr>
              <w:pStyle w:val="Compact"/>
              <w:jc w:val="right"/>
            </w:pPr>
            <w:r>
              <w:rPr>
                <w:sz w:val="17"/>
              </w:rPr>
              <w:t xml:space="preserve">5</w:t>
            </w:r>
          </w:p>
        </w:tc>
        <w:tc>
          <w:tcPr/>
          <w:p>
            <w:pPr>
              <w:pStyle w:val="Compact"/>
              <w:jc w:val="right"/>
            </w:pPr>
            <w:r>
              <w:rPr>
                <w:sz w:val="17"/>
              </w:rPr>
              <w:t xml:space="preserve">pass</w:t>
            </w:r>
          </w:p>
        </w:tc>
      </w:tr>
      <w:tr>
        <w:tc>
          <w:tcPr/>
          <w:p>
            <w:pPr>
              <w:pStyle w:val="Compact"/>
              <w:jc w:val="left"/>
            </w:pPr>
            <w:r>
              <w:rPr>
                <w:sz w:val="17"/>
              </w:rPr>
              <w:t xml:space="preserve">PD</w:t>
            </w:r>
          </w:p>
        </w:tc>
        <w:tc>
          <w:tcPr/>
          <w:p>
            <w:pPr>
              <w:pStyle w:val="Compact"/>
              <w:jc w:val="right"/>
            </w:pPr>
            <w:r>
              <w:rPr>
                <w:sz w:val="17"/>
              </w:rPr>
              <w:t xml:space="preserve">unemp</w:t>
            </w:r>
          </w:p>
        </w:tc>
        <w:tc>
          <w:tcPr/>
          <w:p>
            <w:pPr>
              <w:pStyle w:val="Compact"/>
              <w:jc w:val="right"/>
            </w:pPr>
            <w:r>
              <w:rPr>
                <w:sz w:val="17"/>
              </w:rPr>
              <w:t xml:space="preserve">sign +</w:t>
            </w:r>
          </w:p>
        </w:tc>
        <w:tc>
          <w:tcPr/>
          <w:p>
            <w:pPr>
              <w:pStyle w:val="Compact"/>
              <w:jc w:val="right"/>
            </w:pPr>
            <w:r>
              <w:rPr>
                <w:sz w:val="17"/>
              </w:rPr>
              <w:t xml:space="preserve">3</w:t>
            </w:r>
          </w:p>
        </w:tc>
        <w:tc>
          <w:tcPr/>
          <w:p>
            <w:pPr>
              <w:pStyle w:val="Compact"/>
              <w:jc w:val="right"/>
            </w:pPr>
            <w:r>
              <w:rPr>
                <w:sz w:val="17"/>
              </w:rPr>
              <w:t xml:space="preserve">pass</w:t>
            </w:r>
          </w:p>
        </w:tc>
      </w:tr>
      <w:tr>
        <w:tc>
          <w:tcPr/>
          <w:p>
            <w:pPr>
              <w:pStyle w:val="Compact"/>
              <w:jc w:val="left"/>
            </w:pPr>
            <w:r>
              <w:rPr>
                <w:sz w:val="17"/>
              </w:rPr>
              <w:t xml:space="preserve">PD</w:t>
            </w:r>
          </w:p>
        </w:tc>
        <w:tc>
          <w:tcPr/>
          <w:p>
            <w:pPr>
              <w:pStyle w:val="Compact"/>
              <w:jc w:val="right"/>
            </w:pPr>
            <w:r>
              <w:rPr>
                <w:sz w:val="17"/>
              </w:rPr>
              <w:t xml:space="preserve">dti</w:t>
            </w:r>
          </w:p>
        </w:tc>
        <w:tc>
          <w:tcPr/>
          <w:p>
            <w:pPr>
              <w:pStyle w:val="Compact"/>
              <w:jc w:val="right"/>
            </w:pPr>
            <w:r>
              <w:rPr>
                <w:sz w:val="17"/>
              </w:rPr>
              <w:t xml:space="preserve">sign +</w:t>
            </w:r>
          </w:p>
        </w:tc>
        <w:tc>
          <w:tcPr/>
          <w:p>
            <w:pPr>
              <w:pStyle w:val="Compact"/>
              <w:jc w:val="right"/>
            </w:pPr>
            <w:r>
              <w:rPr>
                <w:sz w:val="17"/>
              </w:rPr>
              <w:t xml:space="preserve">2</w:t>
            </w:r>
          </w:p>
        </w:tc>
        <w:tc>
          <w:tcPr/>
          <w:p>
            <w:pPr>
              <w:pStyle w:val="Compact"/>
              <w:jc w:val="right"/>
            </w:pPr>
            <w:r>
              <w:rPr>
                <w:sz w:val="17"/>
              </w:rPr>
              <w:t xml:space="preserve">pass</w:t>
            </w:r>
          </w:p>
        </w:tc>
      </w:tr>
      <w:tr>
        <w:tc>
          <w:tcPr/>
          <w:p>
            <w:pPr>
              <w:pStyle w:val="Compact"/>
              <w:jc w:val="left"/>
            </w:pPr>
            <w:r>
              <w:rPr>
                <w:sz w:val="17"/>
              </w:rPr>
              <w:t xml:space="preserve">Prepay</w:t>
            </w:r>
          </w:p>
        </w:tc>
        <w:tc>
          <w:tcPr/>
          <w:p>
            <w:pPr>
              <w:pStyle w:val="Compact"/>
              <w:jc w:val="right"/>
            </w:pPr>
            <w:r>
              <w:rPr>
                <w:sz w:val="17"/>
              </w:rPr>
              <w:t xml:space="preserve">incentive</w:t>
            </w:r>
          </w:p>
        </w:tc>
        <w:tc>
          <w:tcPr/>
          <w:p>
            <w:pPr>
              <w:pStyle w:val="Compact"/>
              <w:jc w:val="right"/>
            </w:pPr>
            <w:r>
              <w:rPr>
                <w:sz w:val="17"/>
              </w:rPr>
              <w:t xml:space="preserve">rank 1</w:t>
            </w:r>
          </w:p>
        </w:tc>
        <w:tc>
          <w:tcPr/>
          <w:p>
            <w:pPr>
              <w:pStyle w:val="Compact"/>
              <w:jc w:val="right"/>
            </w:pPr>
            <w:r>
              <w:rPr>
                <w:sz w:val="17"/>
              </w:rPr>
              <w:t xml:space="preserve">1</w:t>
            </w:r>
          </w:p>
        </w:tc>
        <w:tc>
          <w:tcPr/>
          <w:p>
            <w:pPr>
              <w:pStyle w:val="Compact"/>
              <w:jc w:val="right"/>
            </w:pPr>
            <w:r>
              <w:rPr>
                <w:sz w:val="17"/>
              </w:rPr>
              <w:t xml:space="preserve">pass</w:t>
            </w:r>
          </w:p>
        </w:tc>
      </w:tr>
      <w:tr>
        <w:tc>
          <w:tcPr/>
          <w:p>
            <w:pPr>
              <w:pStyle w:val="Compact"/>
              <w:jc w:val="left"/>
            </w:pPr>
            <w:r>
              <w:rPr>
                <w:sz w:val="17"/>
              </w:rPr>
              <w:t xml:space="preserve">Prepay</w:t>
            </w:r>
          </w:p>
        </w:tc>
        <w:tc>
          <w:tcPr/>
          <w:p>
            <w:pPr>
              <w:pStyle w:val="Compact"/>
              <w:jc w:val="right"/>
            </w:pPr>
            <w:r>
              <w:rPr>
                <w:sz w:val="17"/>
              </w:rPr>
              <w:t xml:space="preserve">burnout</w:t>
            </w:r>
          </w:p>
        </w:tc>
        <w:tc>
          <w:tcPr/>
          <w:p>
            <w:pPr>
              <w:pStyle w:val="Compact"/>
              <w:jc w:val="right"/>
            </w:pPr>
            <w:r>
              <w:rPr>
                <w:sz w:val="17"/>
              </w:rPr>
              <w:t xml:space="preserve">top 4</w:t>
            </w:r>
          </w:p>
        </w:tc>
        <w:tc>
          <w:tcPr/>
          <w:p>
            <w:pPr>
              <w:pStyle w:val="Compact"/>
              <w:jc w:val="right"/>
            </w:pPr>
            <w:r>
              <w:rPr>
                <w:sz w:val="17"/>
              </w:rPr>
              <w:t xml:space="preserve">3</w:t>
            </w:r>
          </w:p>
        </w:tc>
        <w:tc>
          <w:tcPr/>
          <w:p>
            <w:pPr>
              <w:pStyle w:val="Compact"/>
              <w:jc w:val="right"/>
            </w:pPr>
            <w:r>
              <w:rPr>
                <w:sz w:val="17"/>
              </w:rPr>
              <w:t xml:space="preserve">pass</w:t>
            </w:r>
          </w:p>
        </w:tc>
      </w:tr>
      <w:tr>
        <w:tc>
          <w:tcPr/>
          <w:p>
            <w:pPr>
              <w:pStyle w:val="Compact"/>
              <w:jc w:val="left"/>
            </w:pPr>
            <w:r>
              <w:rPr>
                <w:sz w:val="17"/>
              </w:rPr>
              <w:t xml:space="preserve">Prepay</w:t>
            </w:r>
          </w:p>
        </w:tc>
        <w:tc>
          <w:tcPr/>
          <w:p>
            <w:pPr>
              <w:pStyle w:val="Compact"/>
              <w:jc w:val="right"/>
            </w:pPr>
            <w:r>
              <w:rPr>
                <w:sz w:val="17"/>
              </w:rPr>
              <w:t xml:space="preserve">incentive</w:t>
            </w:r>
          </w:p>
        </w:tc>
        <w:tc>
          <w:tcPr/>
          <w:p>
            <w:pPr>
              <w:pStyle w:val="Compact"/>
              <w:jc w:val="right"/>
            </w:pPr>
            <w:r>
              <w:rPr>
                <w:sz w:val="17"/>
              </w:rPr>
              <w:t xml:space="preserve">sign +</w:t>
            </w:r>
          </w:p>
        </w:tc>
        <w:tc>
          <w:tcPr/>
          <w:p>
            <w:pPr>
              <w:pStyle w:val="Compact"/>
              <w:jc w:val="right"/>
            </w:pPr>
            <w:r>
              <w:rPr>
                <w:sz w:val="17"/>
              </w:rPr>
              <w:t xml:space="preserve">1</w:t>
            </w:r>
          </w:p>
        </w:tc>
        <w:tc>
          <w:tcPr/>
          <w:p>
            <w:pPr>
              <w:pStyle w:val="Compact"/>
              <w:jc w:val="right"/>
            </w:pPr>
            <w:r>
              <w:rPr>
                <w:sz w:val="17"/>
              </w:rPr>
              <w:t xml:space="preserve">pass</w:t>
            </w:r>
          </w:p>
        </w:tc>
      </w:tr>
      <w:tr>
        <w:tc>
          <w:tcPr/>
          <w:p>
            <w:pPr>
              <w:pStyle w:val="Compact"/>
              <w:jc w:val="left"/>
            </w:pPr>
            <w:r>
              <w:rPr>
                <w:sz w:val="17"/>
              </w:rPr>
              <w:t xml:space="preserve">Prepay</w:t>
            </w:r>
          </w:p>
        </w:tc>
        <w:tc>
          <w:tcPr/>
          <w:p>
            <w:pPr>
              <w:pStyle w:val="Compact"/>
              <w:jc w:val="right"/>
            </w:pPr>
            <w:r>
              <w:rPr>
                <w:sz w:val="17"/>
              </w:rPr>
              <w:t xml:space="preserve">burnout</w:t>
            </w:r>
          </w:p>
        </w:tc>
        <w:tc>
          <w:tcPr/>
          <w:p>
            <w:pPr>
              <w:pStyle w:val="Compact"/>
              <w:jc w:val="right"/>
            </w:pPr>
            <w:r>
              <w:rPr>
                <w:sz w:val="17"/>
              </w:rPr>
              <w:t xml:space="preserve">sign -</w:t>
            </w:r>
          </w:p>
        </w:tc>
        <w:tc>
          <w:tcPr/>
          <w:p>
            <w:pPr>
              <w:pStyle w:val="Compact"/>
              <w:jc w:val="right"/>
            </w:pPr>
            <w:r>
              <w:rPr>
                <w:sz w:val="17"/>
              </w:rPr>
              <w:t xml:space="preserve">3</w:t>
            </w:r>
          </w:p>
        </w:tc>
        <w:tc>
          <w:tcPr/>
          <w:p>
            <w:pPr>
              <w:pStyle w:val="Compact"/>
              <w:jc w:val="right"/>
            </w:pPr>
            <w:r>
              <w:rPr>
                <w:sz w:val="17"/>
              </w:rPr>
              <w:t xml:space="preserve">pass</w:t>
            </w:r>
          </w:p>
        </w:tc>
      </w:tr>
      <w:tr>
        <w:tc>
          <w:tcPr/>
          <w:p>
            <w:pPr>
              <w:pStyle w:val="Compact"/>
              <w:jc w:val="left"/>
            </w:pPr>
            <w:r>
              <w:rPr>
                <w:sz w:val="17"/>
              </w:rPr>
              <w:t xml:space="preserve">Prepay</w:t>
            </w:r>
          </w:p>
        </w:tc>
        <w:tc>
          <w:tcPr/>
          <w:p>
            <w:pPr>
              <w:pStyle w:val="Compact"/>
              <w:jc w:val="right"/>
            </w:pPr>
            <w:r>
              <w:rPr>
                <w:sz w:val="17"/>
              </w:rPr>
              <w:t xml:space="preserve">fico</w:t>
            </w:r>
          </w:p>
        </w:tc>
        <w:tc>
          <w:tcPr/>
          <w:p>
            <w:pPr>
              <w:pStyle w:val="Compact"/>
              <w:jc w:val="right"/>
            </w:pPr>
            <w:r>
              <w:rPr>
                <w:sz w:val="17"/>
              </w:rPr>
              <w:t xml:space="preserve">sign +</w:t>
            </w:r>
          </w:p>
        </w:tc>
        <w:tc>
          <w:tcPr/>
          <w:p>
            <w:pPr>
              <w:pStyle w:val="Compact"/>
              <w:jc w:val="right"/>
            </w:pPr>
            <w:r>
              <w:rPr>
                <w:sz w:val="17"/>
              </w:rPr>
              <w:t xml:space="preserve">4</w:t>
            </w:r>
          </w:p>
        </w:tc>
        <w:tc>
          <w:tcPr/>
          <w:p>
            <w:pPr>
              <w:pStyle w:val="Compact"/>
              <w:jc w:val="right"/>
            </w:pPr>
            <w:r>
              <w:rPr>
                <w:sz w:val="17"/>
              </w:rPr>
              <w:t xml:space="preserve">pass</w:t>
            </w:r>
          </w:p>
        </w:tc>
      </w:tr>
    </w:tbl>
    <w:p>
      <w:pPr>
        <w:pStyle w:val="BodyText"/>
      </w:pPr>
      <w:r>
        <w:t xml:space="preserve">Passing these checks shows that the trees learned the right structure and that the SHAP pipeline is wired correctly. It does not show that the same relationships hold in real data, where no such truth exists.</w:t>
      </w:r>
    </w:p>
    <w:bookmarkEnd w:id="95"/>
    <w:bookmarkStart w:id="108" w:name="dependence-plots"/>
    <w:p>
      <w:pPr>
        <w:pStyle w:val="Heading2"/>
      </w:pPr>
      <w:r>
        <w:rPr>
          <w:rStyle w:val="SectionNumber"/>
        </w:rPr>
        <w:t xml:space="preserve">9.3</w:t>
      </w:r>
      <w:r>
        <w:tab/>
      </w:r>
      <w:r>
        <w:t xml:space="preserve">Dependence plots</w:t>
      </w:r>
    </w:p>
    <w:p>
      <w:pPr>
        <w:pStyle w:val="FirstParagraph"/>
      </w:pPr>
      <w:r>
        <w:t xml:space="preserve">Dependence plots show, for one feature, the SHAP contribution of each loan against that feature's value. They reveal the</w:t>
      </w:r>
      <w:r>
        <w:t xml:space="preserve"> </w:t>
      </w:r>
      <w:r>
        <w:rPr>
          <w:i/>
          <w:iCs/>
        </w:rPr>
        <w:t xml:space="preserve">shape</w:t>
      </w:r>
      <w:r>
        <w:t xml:space="preserve"> </w:t>
      </w:r>
      <w:r>
        <w:t xml:space="preserve">of the learned relationship, including thresholds and flat regions.</w:t>
      </w:r>
    </w:p>
    <w:p>
      <w:pPr>
        <w:pStyle w:val="CaptionedFigure"/>
      </w:pPr>
      <w:r>
        <w:drawing>
          <wp:inline>
            <wp:extent cx="3467100" cy="2933700"/>
            <wp:effectExtent b="0" l="0" r="0" t="0"/>
            <wp:docPr descr="SHAP dependence for FICO (PD model)." title="" id="97" name="Picture"/>
            <a:graphic>
              <a:graphicData uri="http://schemas.openxmlformats.org/drawingml/2006/picture">
                <pic:pic>
                  <pic:nvPicPr>
                    <pic:cNvPr descr="../python/outputs/charts/shap_dependence_pd_fico.png" id="98" name="Picture"/>
                    <pic:cNvPicPr>
                      <a:picLocks noChangeArrowheads="1" noChangeAspect="1"/>
                    </pic:cNvPicPr>
                  </pic:nvPicPr>
                  <pic:blipFill>
                    <a:blip r:embed="rId96"/>
                    <a:stretch>
                      <a:fillRect/>
                    </a:stretch>
                  </pic:blipFill>
                  <pic:spPr bwMode="auto">
                    <a:xfrm>
                      <a:off x="0" y="0"/>
                      <a:ext cx="3467100" cy="2933700"/>
                    </a:xfrm>
                    <a:prstGeom prst="rect">
                      <a:avLst/>
                    </a:prstGeom>
                    <a:noFill/>
                    <a:ln w="9525">
                      <a:noFill/>
                      <a:headEnd/>
                      <a:tailEnd/>
                    </a:ln>
                  </pic:spPr>
                </pic:pic>
              </a:graphicData>
            </a:graphic>
          </wp:inline>
        </w:drawing>
      </w:r>
    </w:p>
    <w:p>
      <w:pPr>
        <w:pStyle w:val="ImageCaption"/>
      </w:pPr>
      <w:r>
        <w:t xml:space="preserve">SHAP dependence for FICO (PD model).</w:t>
      </w:r>
    </w:p>
    <w:p>
      <w:pPr>
        <w:pStyle w:val="CaptionedFigure"/>
      </w:pPr>
      <w:r>
        <w:drawing>
          <wp:inline>
            <wp:extent cx="3467100" cy="2933700"/>
            <wp:effectExtent b="0" l="0" r="0" t="0"/>
            <wp:docPr descr="SHAP dependence for state unemployment (PD model). The contribution rises with unemployment and then flattens above roughly 8.5 percent." title="" id="100" name="Picture"/>
            <a:graphic>
              <a:graphicData uri="http://schemas.openxmlformats.org/drawingml/2006/picture">
                <pic:pic>
                  <pic:nvPicPr>
                    <pic:cNvPr descr="../python/outputs/charts/shap_dependence_pd_unemp.png" id="101" name="Picture"/>
                    <pic:cNvPicPr>
                      <a:picLocks noChangeArrowheads="1" noChangeAspect="1"/>
                    </pic:cNvPicPr>
                  </pic:nvPicPr>
                  <pic:blipFill>
                    <a:blip r:embed="rId99"/>
                    <a:stretch>
                      <a:fillRect/>
                    </a:stretch>
                  </pic:blipFill>
                  <pic:spPr bwMode="auto">
                    <a:xfrm>
                      <a:off x="0" y="0"/>
                      <a:ext cx="3467100" cy="2933700"/>
                    </a:xfrm>
                    <a:prstGeom prst="rect">
                      <a:avLst/>
                    </a:prstGeom>
                    <a:noFill/>
                    <a:ln w="9525">
                      <a:noFill/>
                      <a:headEnd/>
                      <a:tailEnd/>
                    </a:ln>
                  </pic:spPr>
                </pic:pic>
              </a:graphicData>
            </a:graphic>
          </wp:inline>
        </w:drawing>
      </w:r>
    </w:p>
    <w:p>
      <w:pPr>
        <w:pStyle w:val="ImageCaption"/>
      </w:pPr>
      <w:r>
        <w:t xml:space="preserve">SHAP dependence for state unemployment (PD model). The contribution rises with unemployment and then flattens above roughly 8.5 percent.</w:t>
      </w:r>
    </w:p>
    <w:p>
      <w:pPr>
        <w:pStyle w:val="CaptionedFigure"/>
      </w:pPr>
      <w:r>
        <w:drawing>
          <wp:inline>
            <wp:extent cx="3467100" cy="2933700"/>
            <wp:effectExtent b="0" l="0" r="0" t="0"/>
            <wp:docPr descr="SHAP dependence for mark-to-market LTV (PD model)." title="" id="103" name="Picture"/>
            <a:graphic>
              <a:graphicData uri="http://schemas.openxmlformats.org/drawingml/2006/picture">
                <pic:pic>
                  <pic:nvPicPr>
                    <pic:cNvPr descr="../python/outputs/charts/shap_dependence_pd_mtm_ltv.png" id="104" name="Picture"/>
                    <pic:cNvPicPr>
                      <a:picLocks noChangeArrowheads="1" noChangeAspect="1"/>
                    </pic:cNvPicPr>
                  </pic:nvPicPr>
                  <pic:blipFill>
                    <a:blip r:embed="rId102"/>
                    <a:stretch>
                      <a:fillRect/>
                    </a:stretch>
                  </pic:blipFill>
                  <pic:spPr bwMode="auto">
                    <a:xfrm>
                      <a:off x="0" y="0"/>
                      <a:ext cx="3467100" cy="2933700"/>
                    </a:xfrm>
                    <a:prstGeom prst="rect">
                      <a:avLst/>
                    </a:prstGeom>
                    <a:noFill/>
                    <a:ln w="9525">
                      <a:noFill/>
                      <a:headEnd/>
                      <a:tailEnd/>
                    </a:ln>
                  </pic:spPr>
                </pic:pic>
              </a:graphicData>
            </a:graphic>
          </wp:inline>
        </w:drawing>
      </w:r>
    </w:p>
    <w:p>
      <w:pPr>
        <w:pStyle w:val="ImageCaption"/>
      </w:pPr>
      <w:r>
        <w:t xml:space="preserve">SHAP dependence for mark-to-market LTV (PD model).</w:t>
      </w:r>
    </w:p>
    <w:p>
      <w:pPr>
        <w:pStyle w:val="BodyText"/>
      </w:pPr>
      <w:r>
        <w:t xml:space="preserve">The FICO plot is monotone decreasing, as constrained. The unemployment plot is the instructive one: the contribution climbs steeply between 5 and 7 percent, then</w:t>
      </w:r>
      <w:r>
        <w:t xml:space="preserve"> </w:t>
      </w:r>
      <w:r>
        <w:rPr>
          <w:b/>
          <w:bCs/>
        </w:rPr>
        <w:t xml:space="preserve">goes flat above about 8.5 percent</w:t>
      </w:r>
      <w:r>
        <w:t xml:space="preserve">, which is the edge of the unemployment range seen in training (training maximum 8.6, OOT maximum 10.0). The true hazard keeps rising linearly with unemployment; the model cannot, and this is the root of the stress under-reaction in section 10.4. The plots for age, DTI and 12-month unemployment change, and the prepayment dependence plots (incentive, age, burnout), are in</w:t>
      </w:r>
      <w:r>
        <w:t xml:space="preserve"> </w:t>
      </w:r>
      <w:r>
        <w:rPr>
          <w:rStyle w:val="VerbatimChar"/>
        </w:rPr>
        <w:t xml:space="preserve">outputs/charts/</w:t>
      </w:r>
      <w:r>
        <w:t xml:space="preserve">.</w:t>
      </w:r>
    </w:p>
    <w:p>
      <w:pPr>
        <w:pStyle w:val="CaptionedFigure"/>
      </w:pPr>
      <w:r>
        <w:drawing>
          <wp:inline>
            <wp:extent cx="3467100" cy="2933700"/>
            <wp:effectExtent b="0" l="0" r="0" t="0"/>
            <wp:docPr descr="SHAP dependence for rate incentive (prepayment model)." title="" id="106" name="Picture"/>
            <a:graphic>
              <a:graphicData uri="http://schemas.openxmlformats.org/drawingml/2006/picture">
                <pic:pic>
                  <pic:nvPicPr>
                    <pic:cNvPr descr="../python/outputs/charts/shap_dependence_prepay_incentive.png" id="107" name="Picture"/>
                    <pic:cNvPicPr>
                      <a:picLocks noChangeArrowheads="1" noChangeAspect="1"/>
                    </pic:cNvPicPr>
                  </pic:nvPicPr>
                  <pic:blipFill>
                    <a:blip r:embed="rId105"/>
                    <a:stretch>
                      <a:fillRect/>
                    </a:stretch>
                  </pic:blipFill>
                  <pic:spPr bwMode="auto">
                    <a:xfrm>
                      <a:off x="0" y="0"/>
                      <a:ext cx="3467100" cy="2933700"/>
                    </a:xfrm>
                    <a:prstGeom prst="rect">
                      <a:avLst/>
                    </a:prstGeom>
                    <a:noFill/>
                    <a:ln w="9525">
                      <a:noFill/>
                      <a:headEnd/>
                      <a:tailEnd/>
                    </a:ln>
                  </pic:spPr>
                </pic:pic>
              </a:graphicData>
            </a:graphic>
          </wp:inline>
        </w:drawing>
      </w:r>
    </w:p>
    <w:p>
      <w:pPr>
        <w:pStyle w:val="ImageCaption"/>
      </w:pPr>
      <w:r>
        <w:t xml:space="preserve">SHAP dependence for rate incentive (prepayment model).</w:t>
      </w:r>
    </w:p>
    <w:bookmarkEnd w:id="108"/>
    <w:bookmarkStart w:id="109" w:name="reason-codes-for-individual-loans"/>
    <w:p>
      <w:pPr>
        <w:pStyle w:val="Heading2"/>
      </w:pPr>
      <w:r>
        <w:rPr>
          <w:rStyle w:val="SectionNumber"/>
        </w:rPr>
        <w:t xml:space="preserve">9.4</w:t>
      </w:r>
      <w:r>
        <w:tab/>
      </w:r>
      <w:r>
        <w:t xml:space="preserve">Reason codes for individual loans</w:t>
      </w:r>
    </w:p>
    <w:p>
      <w:pPr>
        <w:pStyle w:val="FirstParagraph"/>
      </w:pPr>
      <w:r>
        <w:rPr>
          <w:rStyle w:val="VerbatimChar"/>
        </w:rPr>
        <w:t xml:space="preserve">explain.reason_codes</w:t>
      </w:r>
      <w:r>
        <w:t xml:space="preserve"> </w:t>
      </w:r>
      <w:r>
        <w:t xml:space="preserve">turns a loan's SHAP vector into plain-language reasons: the features with the largest</w:t>
      </w:r>
      <w:r>
        <w:t xml:space="preserve"> </w:t>
      </w:r>
      <w:r>
        <w:rPr>
          <w:b/>
          <w:bCs/>
        </w:rPr>
        <w:t xml:space="preserve">positive</w:t>
      </w:r>
      <w:r>
        <w:t xml:space="preserve"> </w:t>
      </w:r>
      <w:r>
        <w:t xml:space="preserve">(risk-increasing) contributions are mapped through</w:t>
      </w:r>
      <w:r>
        <w:t xml:space="preserve"> </w:t>
      </w:r>
      <w:r>
        <w:rPr>
          <w:rStyle w:val="VerbatimChar"/>
        </w:rPr>
        <w:t xml:space="preserve">config.REASON_TEXT</w:t>
      </w:r>
      <w:r>
        <w:t xml:space="preserve">, so a loan receives up to four reasons such as "Credit score lower than typical".</w:t>
      </w:r>
      <w:r>
        <w:t xml:space="preserve"> </w:t>
      </w:r>
      <w:r>
        <w:rPr>
          <w:rStyle w:val="VerbatimChar"/>
        </w:rPr>
        <w:t xml:space="preserve">explain.reason_code_table</w:t>
      </w:r>
      <w:r>
        <w:t xml:space="preserve"> </w:t>
      </w:r>
      <w:r>
        <w:t xml:space="preserve">applies this to five illustrative out-of-time loans.</w:t>
      </w:r>
    </w:p>
    <w:p>
      <w:pPr>
        <w:pStyle w:val="TableCaption"/>
      </w:pPr>
      <w:r>
        <w:t xml:space="preserve">Reason codes for illustrative loans (LightGBM PD model).</w:t>
      </w:r>
    </w:p>
    <w:tbl>
      <w:tblPr>
        <w:tblStyle w:val="Table"/>
        <w:tblW w:type="pct" w:w="5000"/>
        <w:tblLayout w:type="fixed"/>
        <w:tblLook w:firstRow="1" w:lastRow="0" w:firstColumn="0" w:lastColumn="0" w:noHBand="0" w:noVBand="0" w:val="0020"/>
        <w:tblCaption w:val="Reason codes for illustrative loans (LightGBM PD model)."/>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55"/>
        <w:gridCol w:w="275"/>
        <w:gridCol w:w="330"/>
        <w:gridCol w:w="1705"/>
        <w:gridCol w:w="1485"/>
        <w:gridCol w:w="1485"/>
        <w:gridCol w:w="1485"/>
      </w:tblGrid>
      <w:tr>
        <w:trPr>
          <w:tblHeader w:val="on"/>
        </w:trPr>
        <w:tc>
          <w:tcPr/>
          <w:p>
            <w:pPr>
              <w:pStyle w:val="Compact"/>
              <w:jc w:val="left"/>
            </w:pPr>
            <w:r>
              <w:rPr>
                <w:sz w:val="17"/>
              </w:rPr>
              <w:t xml:space="preserve">Case</w:t>
            </w:r>
          </w:p>
        </w:tc>
        <w:tc>
          <w:tcPr/>
          <w:p>
            <w:pPr>
              <w:pStyle w:val="Compact"/>
              <w:jc w:val="right"/>
            </w:pPr>
            <w:r>
              <w:rPr>
                <w:sz w:val="17"/>
              </w:rPr>
              <w:t xml:space="preserve">Loan</w:t>
            </w:r>
          </w:p>
        </w:tc>
        <w:tc>
          <w:tcPr/>
          <w:p>
            <w:pPr>
              <w:pStyle w:val="Compact"/>
              <w:jc w:val="right"/>
            </w:pPr>
            <w:r>
              <w:rPr>
                <w:sz w:val="17"/>
              </w:rPr>
              <w:t xml:space="preserve">PD</w:t>
            </w:r>
          </w:p>
        </w:tc>
        <w:tc>
          <w:tcPr/>
          <w:p>
            <w:pPr>
              <w:pStyle w:val="Compact"/>
              <w:jc w:val="right"/>
            </w:pPr>
            <w:r>
              <w:rPr>
                <w:sz w:val="17"/>
              </w:rPr>
              <w:t xml:space="preserve">Reason 1</w:t>
            </w:r>
          </w:p>
        </w:tc>
        <w:tc>
          <w:tcPr/>
          <w:p>
            <w:pPr>
              <w:pStyle w:val="Compact"/>
              <w:jc w:val="right"/>
            </w:pPr>
            <w:r>
              <w:rPr>
                <w:sz w:val="17"/>
              </w:rPr>
              <w:t xml:space="preserve">Reason 2</w:t>
            </w:r>
          </w:p>
        </w:tc>
        <w:tc>
          <w:tcPr/>
          <w:p>
            <w:pPr>
              <w:pStyle w:val="Compact"/>
              <w:jc w:val="right"/>
            </w:pPr>
            <w:r>
              <w:rPr>
                <w:sz w:val="17"/>
              </w:rPr>
              <w:t xml:space="preserve">Reason 3</w:t>
            </w:r>
          </w:p>
        </w:tc>
        <w:tc>
          <w:tcPr/>
          <w:p>
            <w:pPr>
              <w:pStyle w:val="Compact"/>
              <w:jc w:val="right"/>
            </w:pPr>
            <w:r>
              <w:rPr>
                <w:sz w:val="17"/>
              </w:rPr>
              <w:t xml:space="preserve">Reason 4</w:t>
            </w:r>
          </w:p>
        </w:tc>
      </w:tr>
      <w:tr>
        <w:tc>
          <w:tcPr/>
          <w:p>
            <w:pPr>
              <w:pStyle w:val="Compact"/>
              <w:jc w:val="left"/>
            </w:pPr>
            <w:r>
              <w:rPr>
                <w:sz w:val="17"/>
              </w:rPr>
              <w:t xml:space="preserve">lowest pd</w:t>
            </w:r>
          </w:p>
        </w:tc>
        <w:tc>
          <w:tcPr/>
          <w:p>
            <w:pPr>
              <w:pStyle w:val="Compact"/>
              <w:jc w:val="right"/>
            </w:pPr>
            <w:r>
              <w:rPr>
                <w:sz w:val="17"/>
              </w:rPr>
              <w:t xml:space="preserve">46489</w:t>
            </w:r>
          </w:p>
        </w:tc>
        <w:tc>
          <w:tcPr/>
          <w:p>
            <w:pPr>
              <w:pStyle w:val="Compact"/>
              <w:jc w:val="right"/>
            </w:pPr>
            <w:r>
              <w:rPr>
                <w:sz w:val="17"/>
              </w:rPr>
              <w:t xml:space="preserve">0.03%</w:t>
            </w:r>
          </w:p>
        </w:tc>
        <w:tc>
          <w:tcPr/>
          <w:p>
            <w:pPr>
              <w:pStyle w:val="Compact"/>
              <w:jc w:val="right"/>
            </w:pPr>
            <w:r>
              <w:rPr>
                <w:sz w:val="17"/>
              </w:rPr>
              <w:t xml:space="preserve">Elevated risk from occupancy</w:t>
            </w:r>
          </w:p>
        </w:tc>
        <w:tc>
          <w:tcPr/>
          <w:p>
            <w:pPr>
              <w:pStyle w:val="Compact"/>
              <w:jc w:val="right"/>
            </w:pPr>
            <w:r>
              <w:rPr>
                <w:sz w:val="17"/>
              </w:rPr>
              <w:t xml:space="preserve">Recent 30-day delinquencies</w:t>
            </w:r>
          </w:p>
        </w:tc>
        <w:tc>
          <w:tcPr/>
          <w:p>
            <w:pPr>
              <w:pStyle w:val="Compact"/>
              <w:jc w:val="right"/>
            </w:pPr>
            <w:r>
              <w:rPr>
                <w:sz w:val="17"/>
              </w:rPr>
              <w:t xml:space="preserve">Falling home prices</w:t>
            </w:r>
          </w:p>
        </w:tc>
        <w:tc>
          <w:tcPr/>
          <w:p>
            <w:pPr>
              <w:pStyle w:val="Compact"/>
              <w:jc w:val="right"/>
            </w:pPr>
            <w:r>
              <w:rPr>
                <w:sz w:val="17"/>
              </w:rPr>
              <w:t xml:space="preserve">Elevated risk from purpose</w:t>
            </w:r>
          </w:p>
        </w:tc>
      </w:tr>
      <w:tr>
        <w:tc>
          <w:tcPr/>
          <w:p>
            <w:pPr>
              <w:pStyle w:val="Compact"/>
              <w:jc w:val="left"/>
            </w:pPr>
            <w:r>
              <w:rPr>
                <w:sz w:val="17"/>
              </w:rPr>
              <w:t xml:space="preserve">median pd</w:t>
            </w:r>
          </w:p>
        </w:tc>
        <w:tc>
          <w:tcPr/>
          <w:p>
            <w:pPr>
              <w:pStyle w:val="Compact"/>
              <w:jc w:val="right"/>
            </w:pPr>
            <w:r>
              <w:rPr>
                <w:sz w:val="17"/>
              </w:rPr>
              <w:t xml:space="preserve">6423</w:t>
            </w:r>
          </w:p>
        </w:tc>
        <w:tc>
          <w:tcPr/>
          <w:p>
            <w:pPr>
              <w:pStyle w:val="Compact"/>
              <w:jc w:val="right"/>
            </w:pPr>
            <w:r>
              <w:rPr>
                <w:sz w:val="17"/>
              </w:rPr>
              <w:t xml:space="preserve">0.63%</w:t>
            </w:r>
          </w:p>
        </w:tc>
        <w:tc>
          <w:tcPr/>
          <w:p>
            <w:pPr>
              <w:pStyle w:val="Compact"/>
              <w:jc w:val="right"/>
            </w:pPr>
            <w:r>
              <w:rPr>
                <w:sz w:val="17"/>
              </w:rPr>
              <w:t xml:space="preserve">High debt-to-income</w:t>
            </w:r>
          </w:p>
        </w:tc>
        <w:tc>
          <w:tcPr/>
          <w:p>
            <w:pPr>
              <w:pStyle w:val="Compact"/>
              <w:jc w:val="right"/>
            </w:pPr>
            <w:r>
              <w:rPr>
                <w:sz w:val="17"/>
              </w:rPr>
              <w:t xml:space="preserve">Rate incentive</w:t>
            </w:r>
          </w:p>
        </w:tc>
        <w:tc>
          <w:tcPr/>
          <w:p>
            <w:pPr>
              <w:pStyle w:val="Compact"/>
              <w:jc w:val="right"/>
            </w:pPr>
            <w:r>
              <w:rPr>
                <w:sz w:val="17"/>
              </w:rPr>
              <w:t xml:space="preserve">High note rate</w:t>
            </w:r>
          </w:p>
        </w:tc>
        <w:tc>
          <w:tcPr/>
          <w:p>
            <w:pPr>
              <w:pStyle w:val="Compact"/>
              <w:jc w:val="right"/>
            </w:pPr>
            <w:r>
              <w:rPr>
                <w:sz w:val="17"/>
              </w:rPr>
              <w:t xml:space="preserve">High original loan-to-value</w:t>
            </w:r>
          </w:p>
        </w:tc>
      </w:tr>
      <w:tr>
        <w:tc>
          <w:tcPr/>
          <w:p>
            <w:pPr>
              <w:pStyle w:val="Compact"/>
              <w:jc w:val="left"/>
            </w:pPr>
            <w:r>
              <w:rPr>
                <w:sz w:val="17"/>
              </w:rPr>
              <w:t xml:space="preserve">highest pd</w:t>
            </w:r>
          </w:p>
        </w:tc>
        <w:tc>
          <w:tcPr/>
          <w:p>
            <w:pPr>
              <w:pStyle w:val="Compact"/>
              <w:jc w:val="right"/>
            </w:pPr>
            <w:r>
              <w:rPr>
                <w:sz w:val="17"/>
              </w:rPr>
              <w:t xml:space="preserve">7975</w:t>
            </w:r>
          </w:p>
        </w:tc>
        <w:tc>
          <w:tcPr/>
          <w:p>
            <w:pPr>
              <w:pStyle w:val="Compact"/>
              <w:jc w:val="right"/>
            </w:pPr>
            <w:r>
              <w:rPr>
                <w:sz w:val="17"/>
              </w:rPr>
              <w:t xml:space="preserve">95.59%</w:t>
            </w:r>
          </w:p>
        </w:tc>
        <w:tc>
          <w:tcPr/>
          <w:p>
            <w:pPr>
              <w:pStyle w:val="Compact"/>
              <w:jc w:val="right"/>
            </w:pPr>
            <w:r>
              <w:rPr>
                <w:sz w:val="17"/>
              </w:rPr>
              <w:t xml:space="preserve">Credit score lower than typical</w:t>
            </w:r>
          </w:p>
        </w:tc>
        <w:tc>
          <w:tcPr/>
          <w:p>
            <w:pPr>
              <w:pStyle w:val="Compact"/>
              <w:jc w:val="right"/>
            </w:pPr>
            <w:r>
              <w:rPr>
                <w:sz w:val="17"/>
              </w:rPr>
              <w:t xml:space="preserve">Currently delinquent</w:t>
            </w:r>
          </w:p>
        </w:tc>
        <w:tc>
          <w:tcPr/>
          <w:p>
            <w:pPr>
              <w:pStyle w:val="Compact"/>
              <w:jc w:val="right"/>
            </w:pPr>
            <w:r>
              <w:rPr>
                <w:sz w:val="17"/>
              </w:rPr>
              <w:t xml:space="preserve">High debt-to-income</w:t>
            </w:r>
          </w:p>
        </w:tc>
        <w:tc>
          <w:tcPr/>
          <w:p>
            <w:pPr>
              <w:pStyle w:val="Compact"/>
              <w:jc w:val="right"/>
            </w:pPr>
            <w:r>
              <w:rPr>
                <w:sz w:val="17"/>
              </w:rPr>
              <w:t xml:space="preserve">High note rate</w:t>
            </w:r>
          </w:p>
        </w:tc>
      </w:tr>
      <w:tr>
        <w:tc>
          <w:tcPr/>
          <w:p>
            <w:pPr>
              <w:pStyle w:val="Compact"/>
              <w:jc w:val="left"/>
            </w:pPr>
            <w:r>
              <w:rPr>
                <w:sz w:val="17"/>
              </w:rPr>
              <w:t xml:space="preserve">currently 30dpd</w:t>
            </w:r>
          </w:p>
        </w:tc>
        <w:tc>
          <w:tcPr/>
          <w:p>
            <w:pPr>
              <w:pStyle w:val="Compact"/>
              <w:jc w:val="right"/>
            </w:pPr>
            <w:r>
              <w:rPr>
                <w:sz w:val="17"/>
              </w:rPr>
              <w:t xml:space="preserve">7975</w:t>
            </w:r>
          </w:p>
        </w:tc>
        <w:tc>
          <w:tcPr/>
          <w:p>
            <w:pPr>
              <w:pStyle w:val="Compact"/>
              <w:jc w:val="right"/>
            </w:pPr>
            <w:r>
              <w:rPr>
                <w:sz w:val="17"/>
              </w:rPr>
              <w:t xml:space="preserve">95.59%</w:t>
            </w:r>
          </w:p>
        </w:tc>
        <w:tc>
          <w:tcPr/>
          <w:p>
            <w:pPr>
              <w:pStyle w:val="Compact"/>
              <w:jc w:val="right"/>
            </w:pPr>
            <w:r>
              <w:rPr>
                <w:sz w:val="17"/>
              </w:rPr>
              <w:t xml:space="preserve">Credit score lower than typical</w:t>
            </w:r>
          </w:p>
        </w:tc>
        <w:tc>
          <w:tcPr/>
          <w:p>
            <w:pPr>
              <w:pStyle w:val="Compact"/>
              <w:jc w:val="right"/>
            </w:pPr>
            <w:r>
              <w:rPr>
                <w:sz w:val="17"/>
              </w:rPr>
              <w:t xml:space="preserve">Currently delinquent</w:t>
            </w:r>
          </w:p>
        </w:tc>
        <w:tc>
          <w:tcPr/>
          <w:p>
            <w:pPr>
              <w:pStyle w:val="Compact"/>
              <w:jc w:val="right"/>
            </w:pPr>
            <w:r>
              <w:rPr>
                <w:sz w:val="17"/>
              </w:rPr>
              <w:t xml:space="preserve">High debt-to-income</w:t>
            </w:r>
          </w:p>
        </w:tc>
        <w:tc>
          <w:tcPr/>
          <w:p>
            <w:pPr>
              <w:pStyle w:val="Compact"/>
              <w:jc w:val="right"/>
            </w:pPr>
            <w:r>
              <w:rPr>
                <w:sz w:val="17"/>
              </w:rPr>
              <w:t xml:space="preserve">High note rate</w:t>
            </w:r>
          </w:p>
        </w:tc>
      </w:tr>
      <w:tr>
        <w:tc>
          <w:tcPr/>
          <w:p>
            <w:pPr>
              <w:pStyle w:val="Compact"/>
              <w:jc w:val="left"/>
            </w:pPr>
            <w:r>
              <w:rPr>
                <w:sz w:val="17"/>
              </w:rPr>
              <w:t xml:space="preserve">high prepay incentive</w:t>
            </w:r>
          </w:p>
        </w:tc>
        <w:tc>
          <w:tcPr/>
          <w:p>
            <w:pPr>
              <w:pStyle w:val="Compact"/>
              <w:jc w:val="right"/>
            </w:pPr>
            <w:r>
              <w:rPr>
                <w:sz w:val="17"/>
              </w:rPr>
              <w:t xml:space="preserve">10258</w:t>
            </w:r>
          </w:p>
        </w:tc>
        <w:tc>
          <w:tcPr/>
          <w:p>
            <w:pPr>
              <w:pStyle w:val="Compact"/>
              <w:jc w:val="right"/>
            </w:pPr>
            <w:r>
              <w:rPr>
                <w:sz w:val="17"/>
              </w:rPr>
              <w:t xml:space="preserve">4.92%</w:t>
            </w:r>
          </w:p>
        </w:tc>
        <w:tc>
          <w:tcPr/>
          <w:p>
            <w:pPr>
              <w:pStyle w:val="Compact"/>
              <w:jc w:val="right"/>
            </w:pPr>
            <w:r>
              <w:rPr>
                <w:sz w:val="17"/>
              </w:rPr>
              <w:t xml:space="preserve">Credit score lower than typical</w:t>
            </w:r>
          </w:p>
        </w:tc>
        <w:tc>
          <w:tcPr/>
          <w:p>
            <w:pPr>
              <w:pStyle w:val="Compact"/>
              <w:jc w:val="right"/>
            </w:pPr>
            <w:r>
              <w:rPr>
                <w:sz w:val="17"/>
              </w:rPr>
              <w:t xml:space="preserve">High note rate</w:t>
            </w:r>
          </w:p>
        </w:tc>
        <w:tc>
          <w:tcPr/>
          <w:p>
            <w:pPr>
              <w:pStyle w:val="Compact"/>
              <w:jc w:val="right"/>
            </w:pPr>
            <w:r>
              <w:rPr>
                <w:sz w:val="17"/>
              </w:rPr>
              <w:t xml:space="preserve">Elevated local unemployment</w:t>
            </w:r>
          </w:p>
        </w:tc>
        <w:tc>
          <w:tcPr/>
          <w:p>
            <w:pPr>
              <w:pStyle w:val="Compact"/>
              <w:jc w:val="right"/>
            </w:pPr>
            <w:r>
              <w:rPr>
                <w:sz w:val="17"/>
              </w:rPr>
              <w:t xml:space="preserve">Rate incentive</w:t>
            </w:r>
          </w:p>
        </w:tc>
      </w:tr>
    </w:tbl>
    <w:p>
      <w:pPr>
        <w:pStyle w:val="BodyText"/>
      </w:pPr>
      <w:r>
        <w:t xml:space="preserve">For the riskiest loan (PD 95.6%) the reasons are sensible: low credit score, currently delinquent, high DTI and a high note rate. The lowest-risk loan (PD 0.029%) shows the limitation of the method: the "reasons" are simply the least favourable features of a loan that has none, with tiny contributions (for example "Elevated risk from occupancy", the generic text for features without a mapped phrase). A production adverse-action process would only report reasons above a materiality threshold. The "currently 30DPD" case is the same loan as the highest-PD case because that loan is both.</w:t>
      </w:r>
    </w:p>
    <w:bookmarkEnd w:id="109"/>
    <w:bookmarkEnd w:id="110"/>
    <w:bookmarkStart w:id="123" w:name="scenario-analysis"/>
    <w:p>
      <w:pPr>
        <w:pStyle w:val="Heading1"/>
      </w:pPr>
      <w:r>
        <w:rPr>
          <w:rStyle w:val="SectionNumber"/>
        </w:rPr>
        <w:t xml:space="preserve">10</w:t>
      </w:r>
      <w:r>
        <w:tab/>
      </w:r>
      <w:r>
        <w:t xml:space="preserve">Scenario analysis</w:t>
      </w:r>
    </w:p>
    <w:bookmarkStart w:id="111" w:name="the-six-shocks"/>
    <w:p>
      <w:pPr>
        <w:pStyle w:val="Heading2"/>
      </w:pPr>
      <w:r>
        <w:rPr>
          <w:rStyle w:val="SectionNumber"/>
        </w:rPr>
        <w:t xml:space="preserve">10.1</w:t>
      </w:r>
      <w:r>
        <w:tab/>
      </w:r>
      <w:r>
        <w:t xml:space="preserve">The six shocks</w:t>
      </w:r>
    </w:p>
    <w:p>
      <w:pPr>
        <w:pStyle w:val="FirstParagraph"/>
      </w:pPr>
      <w:r>
        <w:t xml:space="preserve">A scenario is a deterministic macro path applied to the end-2023 portfolio.</w:t>
      </w:r>
      <w:r>
        <w:t xml:space="preserve"> </w:t>
      </w:r>
      <w:r>
        <w:rPr>
          <w:rStyle w:val="VerbatimChar"/>
        </w:rPr>
        <w:t xml:space="preserve">macro.apply_shock</w:t>
      </w:r>
      <w:r>
        <w:t xml:space="preserve"> </w:t>
      </w:r>
      <w:r>
        <w:t xml:space="preserve">ramps each shock linearly over the stated number of months from the as-of date and then holds it constant.</w:t>
      </w:r>
    </w:p>
    <w:p>
      <w:pPr>
        <w:pStyle w:val="TableCaption"/>
      </w:pPr>
      <w:r>
        <w:t xml:space="preserve">Scenario definitions (</w:t>
      </w:r>
      <w:r>
        <w:rPr>
          <w:rStyle w:val="VerbatimChar"/>
        </w:rPr>
        <w:t xml:space="preserve">config.SHOCKS</w:t>
      </w:r>
      <w:r>
        <w:t xml:space="preserve">). Rates are added to the market mortgage rate, house prices are scaled multiplicatively, and unemployment points are added to every state's rate.</w:t>
      </w:r>
    </w:p>
    <w:tbl>
      <w:tblPr>
        <w:tblStyle w:val="Table"/>
        <w:tblW w:type="pct" w:w="5000"/>
        <w:tblLayout w:type="fixed"/>
        <w:tblLook w:firstRow="1" w:lastRow="0" w:firstColumn="0" w:lastColumn="0" w:noHBand="0" w:noVBand="0" w:val="0020"/>
        <w:tblCaption w:val="Scenario definitions (config.SHOCKS). Rates are added to the market mortgage rate, house prices are scaled multiplicatively, and unemployment points are added to every state's rat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95"/>
        <w:gridCol w:w="1584"/>
        <w:gridCol w:w="1267"/>
        <w:gridCol w:w="1900"/>
        <w:gridCol w:w="1372"/>
      </w:tblGrid>
      <w:tr>
        <w:trPr>
          <w:tblHeader w:val="on"/>
        </w:trPr>
        <w:tc>
          <w:tcPr/>
          <w:p>
            <w:pPr>
              <w:pStyle w:val="Compact"/>
              <w:jc w:val="left"/>
            </w:pPr>
            <w:r>
              <w:rPr>
                <w:sz w:val="17"/>
              </w:rPr>
              <w:t xml:space="preserve">Scenario</w:t>
            </w:r>
          </w:p>
        </w:tc>
        <w:tc>
          <w:tcPr/>
          <w:p>
            <w:pPr>
              <w:pStyle w:val="Compact"/>
              <w:jc w:val="right"/>
            </w:pPr>
            <w:r>
              <w:rPr>
                <w:sz w:val="17"/>
              </w:rPr>
              <w:t xml:space="preserve">Rate shock (bp)</w:t>
            </w:r>
          </w:p>
        </w:tc>
        <w:tc>
          <w:tcPr/>
          <w:p>
            <w:pPr>
              <w:pStyle w:val="Compact"/>
              <w:jc w:val="right"/>
            </w:pPr>
            <w:r>
              <w:rPr>
                <w:sz w:val="17"/>
              </w:rPr>
              <w:t xml:space="preserve">House prices</w:t>
            </w:r>
          </w:p>
        </w:tc>
        <w:tc>
          <w:tcPr/>
          <w:p>
            <w:pPr>
              <w:pStyle w:val="Compact"/>
              <w:jc w:val="right"/>
            </w:pPr>
            <w:r>
              <w:rPr>
                <w:sz w:val="17"/>
              </w:rPr>
              <w:t xml:space="preserve">Unemployment (pts)</w:t>
            </w:r>
          </w:p>
        </w:tc>
        <w:tc>
          <w:tcPr/>
          <w:p>
            <w:pPr>
              <w:pStyle w:val="Compact"/>
              <w:jc w:val="right"/>
            </w:pPr>
            <w:r>
              <w:rPr>
                <w:sz w:val="17"/>
              </w:rPr>
              <w:t xml:space="preserve">Ramp (months)</w:t>
            </w:r>
          </w:p>
        </w:tc>
      </w:tr>
      <w:tr>
        <w:tc>
          <w:tcPr/>
          <w:p>
            <w:pPr>
              <w:pStyle w:val="Compact"/>
              <w:jc w:val="left"/>
            </w:pPr>
            <w:r>
              <w:rPr>
                <w:sz w:val="17"/>
              </w:rPr>
              <w:t xml:space="preserve">Base</w:t>
            </w:r>
          </w:p>
        </w:tc>
        <w:tc>
          <w:tcPr/>
          <w:p>
            <w:pPr>
              <w:pStyle w:val="Compact"/>
              <w:jc w:val="right"/>
            </w:pPr>
            <w:r>
              <w:rPr>
                <w:sz w:val="17"/>
              </w:rPr>
              <w:t xml:space="preserve">0</w:t>
            </w:r>
          </w:p>
        </w:tc>
        <w:tc>
          <w:tcPr/>
          <w:p>
            <w:pPr>
              <w:pStyle w:val="Compact"/>
              <w:jc w:val="right"/>
            </w:pPr>
            <w:r>
              <w:rPr>
                <w:sz w:val="17"/>
              </w:rPr>
              <w:t xml:space="preserve">0</w:t>
            </w:r>
          </w:p>
        </w:tc>
        <w:tc>
          <w:tcPr/>
          <w:p>
            <w:pPr>
              <w:pStyle w:val="Compact"/>
              <w:jc w:val="right"/>
            </w:pPr>
            <w:r>
              <w:rPr>
                <w:sz w:val="17"/>
              </w:rPr>
              <w:t xml:space="preserve">0</w:t>
            </w:r>
          </w:p>
        </w:tc>
        <w:tc>
          <w:tcPr/>
          <w:p>
            <w:pPr>
              <w:pStyle w:val="Compact"/>
              <w:jc w:val="right"/>
            </w:pPr>
            <w:r>
              <w:rPr>
                <w:sz w:val="17"/>
              </w:rPr>
              <w:t xml:space="preserve">12</w:t>
            </w:r>
          </w:p>
        </w:tc>
      </w:tr>
      <w:tr>
        <w:tc>
          <w:tcPr/>
          <w:p>
            <w:pPr>
              <w:pStyle w:val="Compact"/>
              <w:jc w:val="left"/>
            </w:pPr>
            <w:r>
              <w:rPr>
                <w:sz w:val="17"/>
              </w:rPr>
              <w:t xml:space="preserve">Rates +200bp</w:t>
            </w:r>
          </w:p>
        </w:tc>
        <w:tc>
          <w:tcPr/>
          <w:p>
            <w:pPr>
              <w:pStyle w:val="Compact"/>
              <w:jc w:val="right"/>
            </w:pPr>
            <w:r>
              <w:rPr>
                <w:sz w:val="17"/>
              </w:rPr>
              <w:t xml:space="preserve">+200</w:t>
            </w:r>
          </w:p>
        </w:tc>
        <w:tc>
          <w:tcPr/>
          <w:p>
            <w:pPr>
              <w:pStyle w:val="Compact"/>
              <w:jc w:val="right"/>
            </w:pPr>
            <w:r>
              <w:rPr>
                <w:sz w:val="17"/>
              </w:rPr>
              <w:t xml:space="preserve">0</w:t>
            </w:r>
          </w:p>
        </w:tc>
        <w:tc>
          <w:tcPr/>
          <w:p>
            <w:pPr>
              <w:pStyle w:val="Compact"/>
              <w:jc w:val="right"/>
            </w:pPr>
            <w:r>
              <w:rPr>
                <w:sz w:val="17"/>
              </w:rPr>
              <w:t xml:space="preserve">0</w:t>
            </w:r>
          </w:p>
        </w:tc>
        <w:tc>
          <w:tcPr/>
          <w:p>
            <w:pPr>
              <w:pStyle w:val="Compact"/>
              <w:jc w:val="right"/>
            </w:pPr>
            <w:r>
              <w:rPr>
                <w:sz w:val="17"/>
              </w:rPr>
              <w:t xml:space="preserve">12</w:t>
            </w:r>
          </w:p>
        </w:tc>
      </w:tr>
      <w:tr>
        <w:tc>
          <w:tcPr/>
          <w:p>
            <w:pPr>
              <w:pStyle w:val="Compact"/>
              <w:jc w:val="left"/>
            </w:pPr>
            <w:r>
              <w:rPr>
                <w:sz w:val="17"/>
              </w:rPr>
              <w:t xml:space="preserve">Rates -200bp</w:t>
            </w:r>
          </w:p>
        </w:tc>
        <w:tc>
          <w:tcPr/>
          <w:p>
            <w:pPr>
              <w:pStyle w:val="Compact"/>
              <w:jc w:val="right"/>
            </w:pPr>
            <w:r>
              <w:rPr>
                <w:sz w:val="17"/>
              </w:rPr>
              <w:t xml:space="preserve">-200</w:t>
            </w:r>
          </w:p>
        </w:tc>
        <w:tc>
          <w:tcPr/>
          <w:p>
            <w:pPr>
              <w:pStyle w:val="Compact"/>
              <w:jc w:val="right"/>
            </w:pPr>
            <w:r>
              <w:rPr>
                <w:sz w:val="17"/>
              </w:rPr>
              <w:t xml:space="preserve">0</w:t>
            </w:r>
          </w:p>
        </w:tc>
        <w:tc>
          <w:tcPr/>
          <w:p>
            <w:pPr>
              <w:pStyle w:val="Compact"/>
              <w:jc w:val="right"/>
            </w:pPr>
            <w:r>
              <w:rPr>
                <w:sz w:val="17"/>
              </w:rPr>
              <w:t xml:space="preserve">0</w:t>
            </w:r>
          </w:p>
        </w:tc>
        <w:tc>
          <w:tcPr/>
          <w:p>
            <w:pPr>
              <w:pStyle w:val="Compact"/>
              <w:jc w:val="right"/>
            </w:pPr>
            <w:r>
              <w:rPr>
                <w:sz w:val="17"/>
              </w:rPr>
              <w:t xml:space="preserve">12</w:t>
            </w:r>
          </w:p>
        </w:tc>
      </w:tr>
      <w:tr>
        <w:tc>
          <w:tcPr/>
          <w:p>
            <w:pPr>
              <w:pStyle w:val="Compact"/>
              <w:jc w:val="left"/>
            </w:pPr>
            <w:r>
              <w:rPr>
                <w:sz w:val="17"/>
              </w:rPr>
              <w:t xml:space="preserve">HPI -20%</w:t>
            </w:r>
          </w:p>
        </w:tc>
        <w:tc>
          <w:tcPr/>
          <w:p>
            <w:pPr>
              <w:pStyle w:val="Compact"/>
              <w:jc w:val="right"/>
            </w:pPr>
            <w:r>
              <w:rPr>
                <w:sz w:val="17"/>
              </w:rPr>
              <w:t xml:space="preserve">0</w:t>
            </w:r>
          </w:p>
        </w:tc>
        <w:tc>
          <w:tcPr/>
          <w:p>
            <w:pPr>
              <w:pStyle w:val="Compact"/>
              <w:jc w:val="right"/>
            </w:pPr>
            <w:r>
              <w:rPr>
                <w:sz w:val="17"/>
              </w:rPr>
              <w:t xml:space="preserve">-20%</w:t>
            </w:r>
          </w:p>
        </w:tc>
        <w:tc>
          <w:tcPr/>
          <w:p>
            <w:pPr>
              <w:pStyle w:val="Compact"/>
              <w:jc w:val="right"/>
            </w:pPr>
            <w:r>
              <w:rPr>
                <w:sz w:val="17"/>
              </w:rPr>
              <w:t xml:space="preserve">0</w:t>
            </w:r>
          </w:p>
        </w:tc>
        <w:tc>
          <w:tcPr/>
          <w:p>
            <w:pPr>
              <w:pStyle w:val="Compact"/>
              <w:jc w:val="right"/>
            </w:pPr>
            <w:r>
              <w:rPr>
                <w:sz w:val="17"/>
              </w:rPr>
              <w:t xml:space="preserve">12</w:t>
            </w:r>
          </w:p>
        </w:tc>
      </w:tr>
      <w:tr>
        <w:tc>
          <w:tcPr/>
          <w:p>
            <w:pPr>
              <w:pStyle w:val="Compact"/>
              <w:jc w:val="left"/>
            </w:pPr>
            <w:r>
              <w:rPr>
                <w:sz w:val="17"/>
              </w:rPr>
              <w:t xml:space="preserve">Unemployment +4pt</w:t>
            </w:r>
          </w:p>
        </w:tc>
        <w:tc>
          <w:tcPr/>
          <w:p>
            <w:pPr>
              <w:pStyle w:val="Compact"/>
              <w:jc w:val="right"/>
            </w:pPr>
            <w:r>
              <w:rPr>
                <w:sz w:val="17"/>
              </w:rPr>
              <w:t xml:space="preserve">0</w:t>
            </w:r>
          </w:p>
        </w:tc>
        <w:tc>
          <w:tcPr/>
          <w:p>
            <w:pPr>
              <w:pStyle w:val="Compact"/>
              <w:jc w:val="right"/>
            </w:pPr>
            <w:r>
              <w:rPr>
                <w:sz w:val="17"/>
              </w:rPr>
              <w:t xml:space="preserve">0</w:t>
            </w:r>
          </w:p>
        </w:tc>
        <w:tc>
          <w:tcPr/>
          <w:p>
            <w:pPr>
              <w:pStyle w:val="Compact"/>
              <w:jc w:val="right"/>
            </w:pPr>
            <w:r>
              <w:rPr>
                <w:sz w:val="17"/>
              </w:rPr>
              <w:t xml:space="preserve">+4</w:t>
            </w:r>
          </w:p>
        </w:tc>
        <w:tc>
          <w:tcPr/>
          <w:p>
            <w:pPr>
              <w:pStyle w:val="Compact"/>
              <w:jc w:val="right"/>
            </w:pPr>
            <w:r>
              <w:rPr>
                <w:sz w:val="17"/>
              </w:rPr>
              <w:t xml:space="preserve">12</w:t>
            </w:r>
          </w:p>
        </w:tc>
      </w:tr>
      <w:tr>
        <w:tc>
          <w:tcPr/>
          <w:p>
            <w:pPr>
              <w:pStyle w:val="Compact"/>
              <w:jc w:val="left"/>
            </w:pPr>
            <w:r>
              <w:rPr>
                <w:sz w:val="17"/>
              </w:rPr>
              <w:t xml:space="preserve">Adverse combined</w:t>
            </w:r>
          </w:p>
        </w:tc>
        <w:tc>
          <w:tcPr/>
          <w:p>
            <w:pPr>
              <w:pStyle w:val="Compact"/>
              <w:jc w:val="right"/>
            </w:pPr>
            <w:r>
              <w:rPr>
                <w:sz w:val="17"/>
              </w:rPr>
              <w:t xml:space="preserve">+200</w:t>
            </w:r>
          </w:p>
        </w:tc>
        <w:tc>
          <w:tcPr/>
          <w:p>
            <w:pPr>
              <w:pStyle w:val="Compact"/>
              <w:jc w:val="right"/>
            </w:pPr>
            <w:r>
              <w:rPr>
                <w:sz w:val="17"/>
              </w:rPr>
              <w:t xml:space="preserve">-20%</w:t>
            </w:r>
          </w:p>
        </w:tc>
        <w:tc>
          <w:tcPr/>
          <w:p>
            <w:pPr>
              <w:pStyle w:val="Compact"/>
              <w:jc w:val="right"/>
            </w:pPr>
            <w:r>
              <w:rPr>
                <w:sz w:val="17"/>
              </w:rPr>
              <w:t xml:space="preserve">+4</w:t>
            </w:r>
          </w:p>
        </w:tc>
        <w:tc>
          <w:tcPr/>
          <w:p>
            <w:pPr>
              <w:pStyle w:val="Compact"/>
              <w:jc w:val="right"/>
            </w:pPr>
            <w:r>
              <w:rPr>
                <w:sz w:val="17"/>
              </w:rPr>
              <w:t xml:space="preserve">12</w:t>
            </w:r>
          </w:p>
        </w:tc>
      </w:tr>
    </w:tbl>
    <w:bookmarkEnd w:id="111"/>
    <w:bookmarkStart w:id="112" w:name="how-the-projection-works"/>
    <w:p>
      <w:pPr>
        <w:pStyle w:val="Heading2"/>
      </w:pPr>
      <w:r>
        <w:rPr>
          <w:rStyle w:val="SectionNumber"/>
        </w:rPr>
        <w:t xml:space="preserve">10.2</w:t>
      </w:r>
      <w:r>
        <w:tab/>
      </w:r>
      <w:r>
        <w:t xml:space="preserve">How the projection works</w:t>
      </w:r>
    </w:p>
    <w:p>
      <w:pPr>
        <w:pStyle w:val="FirstParagraph"/>
      </w:pPr>
      <w:r>
        <w:rPr>
          <w:i/>
          <w:iCs/>
        </w:rPr>
        <w:t xml:space="preserve">Intuition.</w:t>
      </w:r>
      <w:r>
        <w:t xml:space="preserve"> </w:t>
      </w:r>
      <w:r>
        <w:t xml:space="preserve">Take every loan alive at the as-of date, move the calendar forward one month at a time, update each loan's inputs for the shocked macro world (age plus one, scheduled amortization, new rate incentive, new mark-to-market LTV, new unemployment), re-score it with both models, and aggregate the expected defaults and prepayments weighted by balance.</w:t>
      </w:r>
    </w:p>
    <w:p>
      <w:pPr>
        <w:pStyle w:val="BodyText"/>
      </w:pPr>
      <w:r>
        <w:rPr>
          <w:i/>
          <w:iCs/>
        </w:rPr>
        <w:t xml:space="preserve">Maths.</w:t>
      </w:r>
      <w:r>
        <w:t xml:space="preserve"> </w:t>
      </w:r>
      <w:r>
        <w:t xml:space="preserve">In projection month</w:t>
      </w:r>
      <w:r>
        <w:t xml:space="preserve"> </w:t>
      </w:r>
      <m:oMath>
        <m:r>
          <m:t>k</m:t>
        </m:r>
      </m:oMath>
      <w:r>
        <w:t xml:space="preserve">, for loan</w:t>
      </w:r>
      <w:r>
        <w:t xml:space="preserve"> </w:t>
      </w:r>
      <m:oMath>
        <m:r>
          <m:t>i</m:t>
        </m:r>
      </m:oMath>
      <w:r>
        <w:t xml:space="preserve"> </w:t>
      </w:r>
      <w:r>
        <w:t xml:space="preserve">with exposure</w:t>
      </w:r>
      <w:r>
        <w:t xml:space="preserve"> </w:t>
      </w:r>
      <m:oMath>
        <m:sSub>
          <m:e>
            <m:r>
              <m:t>E</m:t>
            </m:r>
          </m:e>
          <m:sub>
            <m:r>
              <m:t>i</m:t>
            </m:r>
            <m:r>
              <m:rPr>
                <m:sty m:val="p"/>
              </m:rPr>
              <m:t>,</m:t>
            </m:r>
            <m:r>
              <m:t>k</m:t>
            </m:r>
          </m:sub>
        </m:sSub>
      </m:oMath>
      <w:r>
        <w:t xml:space="preserve"> </w:t>
      </w:r>
      <w:r>
        <w:t xml:space="preserve">(survival weight times scheduled balance), the 12-month PD is converted to a monthly default hazard,</w:t>
      </w:r>
    </w:p>
    <w:p>
      <w:pPr>
        <w:pStyle w:val="BodyText"/>
      </w:pPr>
      <m:oMathPara>
        <m:oMathParaPr>
          <m:jc m:val="center"/>
        </m:oMathParaPr>
        <m:oMath>
          <m:sSub>
            <m:e>
              <m:r>
                <m:rPr>
                  <m:nor/>
                  <m:sty m:val="p"/>
                </m:rPr>
                <m:t>hd</m:t>
              </m:r>
            </m:e>
            <m:sub>
              <m:r>
                <m:t>i</m:t>
              </m:r>
              <m:r>
                <m:rPr>
                  <m:sty m:val="p"/>
                </m:rPr>
                <m:t>,</m:t>
              </m:r>
              <m:r>
                <m:t>k</m:t>
              </m:r>
            </m:sub>
          </m:sSub>
          <m:r>
            <m:rPr>
              <m:sty m:val="p"/>
            </m:rPr>
            <m:t>=</m:t>
          </m:r>
          <m:r>
            <m:t>1</m:t>
          </m:r>
          <m:r>
            <m:rPr>
              <m:sty m:val="p"/>
            </m:rPr>
            <m:t>−</m:t>
          </m:r>
          <m:r>
            <m:rPr>
              <m:sty m:val="p"/>
            </m:rPr>
            <m:t>(</m:t>
          </m:r>
          <m:r>
            <m:t>1</m:t>
          </m:r>
          <m:r>
            <m:rPr>
              <m:sty m:val="p"/>
            </m:rPr>
            <m:t>−</m:t>
          </m:r>
          <m:sSubSup>
            <m:e>
              <m:r>
                <m:rPr>
                  <m:nor/>
                  <m:sty m:val="p"/>
                </m:rPr>
                <m:t>PD</m:t>
              </m:r>
            </m:e>
            <m:sub>
              <m:r>
                <m:t>i</m:t>
              </m:r>
              <m:r>
                <m:rPr>
                  <m:sty m:val="p"/>
                </m:rPr>
                <m:t>,</m:t>
              </m:r>
              <m:r>
                <m:t>k</m:t>
              </m:r>
            </m:sub>
            <m:sup>
              <m:r>
                <m:t>12</m:t>
              </m:r>
            </m:sup>
          </m:sSubSup>
          <m:sSup>
            <m:e>
              <m:r>
                <m:rPr>
                  <m:sty m:val="p"/>
                </m:rPr>
                <m:t>)</m:t>
              </m:r>
            </m:e>
            <m:sup>
              <m:r>
                <m:t>1</m:t>
              </m:r>
              <m:r>
                <m:rPr>
                  <m:sty m:val="p"/>
                </m:rPr>
                <m:t>/</m:t>
              </m:r>
              <m:r>
                <m:t>12</m:t>
              </m:r>
            </m:sup>
          </m:sSup>
          <m:r>
            <m:rPr>
              <m:sty m:val="p"/>
            </m:rPr>
            <m:t>,</m:t>
          </m:r>
        </m:oMath>
      </m:oMathPara>
    </w:p>
    <w:p>
      <w:pPr>
        <w:pStyle w:val="FirstParagraph"/>
      </w:pPr>
      <w:r>
        <w:t xml:space="preserve">(capped at 0.5), applied first. The prepayment SMM</w:t>
      </w:r>
      <w:r>
        <w:t xml:space="preserve"> </w:t>
      </w:r>
      <m:oMath>
        <m:sSub>
          <m:e>
            <m:r>
              <m:t>s</m:t>
            </m:r>
          </m:e>
          <m:sub>
            <m:r>
              <m:t>i</m:t>
            </m:r>
            <m:r>
              <m:rPr>
                <m:sty m:val="p"/>
              </m:rPr>
              <m:t>,</m:t>
            </m:r>
            <m:r>
              <m:t>k</m:t>
            </m:r>
          </m:sub>
        </m:sSub>
      </m:oMath>
      <w:r>
        <w:t xml:space="preserve"> </w:t>
      </w:r>
      <w:r>
        <w:t xml:space="preserve">is then applied to the loans that survived the default step and are in the current state at the as-of date. Expected defaulted and prepaid balances are</w:t>
      </w:r>
    </w:p>
    <w:p>
      <w:pPr>
        <w:pStyle w:val="BodyText"/>
      </w:pPr>
      <m:oMathPara>
        <m:oMathParaPr>
          <m:jc m:val="center"/>
        </m:oMathParaPr>
        <m:oMath>
          <m:sSub>
            <m:e>
              <m:r>
                <m:t>D</m:t>
              </m:r>
            </m:e>
            <m:sub>
              <m:r>
                <m:t>k</m:t>
              </m:r>
            </m:sub>
          </m:sSub>
          <m:r>
            <m:rPr>
              <m:sty m:val="p"/>
            </m:rPr>
            <m:t>=</m:t>
          </m:r>
          <m:nary>
            <m:naryPr>
              <m:chr m:val="∑"/>
              <m:limLoc m:val="undOvr"/>
              <m:subHide m:val="off"/>
              <m:supHide m:val="on"/>
            </m:naryPr>
            <m:sub>
              <m:r>
                <m:t>i</m:t>
              </m:r>
            </m:sub>
            <m:sup>
              <m:r>
                <m:t>​</m:t>
              </m:r>
            </m:sup>
            <m:e>
              <m:sSub>
                <m:e>
                  <m:r>
                    <m:t>E</m:t>
                  </m:r>
                </m:e>
                <m:sub>
                  <m:r>
                    <m:t>i</m:t>
                  </m:r>
                  <m:r>
                    <m:rPr>
                      <m:sty m:val="p"/>
                    </m:rPr>
                    <m:t>,</m:t>
                  </m:r>
                  <m:r>
                    <m:t>k</m:t>
                  </m:r>
                </m:sub>
              </m:sSub>
            </m:e>
          </m:nary>
          <m:r>
            <m:t> </m:t>
          </m:r>
          <m:sSub>
            <m:e>
              <m:r>
                <m:rPr>
                  <m:nor/>
                  <m:sty m:val="p"/>
                </m:rPr>
                <m:t>hd</m:t>
              </m:r>
            </m:e>
            <m:sub>
              <m:r>
                <m:t>i</m:t>
              </m:r>
              <m:r>
                <m:rPr>
                  <m:sty m:val="p"/>
                </m:rPr>
                <m:t>,</m:t>
              </m:r>
              <m:r>
                <m:t>k</m:t>
              </m:r>
            </m:sub>
          </m:sSub>
          <m:r>
            <m:rPr>
              <m:sty m:val="p"/>
            </m:rPr>
            <m:t>,</m:t>
          </m:r>
          <m:r>
            <m:t>  </m:t>
          </m:r>
          <m:sSub>
            <m:e>
              <m:r>
                <m:t>P</m:t>
              </m:r>
            </m:e>
            <m:sub>
              <m:r>
                <m:t>k</m:t>
              </m:r>
            </m:sub>
          </m:sSub>
          <m:r>
            <m:rPr>
              <m:sty m:val="p"/>
            </m:rPr>
            <m:t>=</m:t>
          </m:r>
          <m:nary>
            <m:naryPr>
              <m:chr m:val="∑"/>
              <m:limLoc m:val="undOvr"/>
              <m:subHide m:val="off"/>
              <m:supHide m:val="on"/>
            </m:naryPr>
            <m:sub>
              <m:r>
                <m:t>i</m:t>
              </m:r>
            </m:sub>
            <m:sup>
              <m:r>
                <m:t>​</m:t>
              </m:r>
            </m:sup>
            <m:e>
              <m:d>
                <m:dPr>
                  <m:begChr m:val="("/>
                  <m:sepChr m:val=""/>
                  <m:endChr m:val=")"/>
                  <m:grow/>
                </m:dPr>
                <m:e>
                  <m:sSub>
                    <m:e>
                      <m:r>
                        <m:t>E</m:t>
                      </m:r>
                    </m:e>
                    <m:sub>
                      <m:r>
                        <m:t>i</m:t>
                      </m:r>
                      <m:r>
                        <m:rPr>
                          <m:sty m:val="p"/>
                        </m:rPr>
                        <m:t>,</m:t>
                      </m:r>
                      <m:r>
                        <m:t>k</m:t>
                      </m:r>
                    </m:sub>
                  </m:sSub>
                  <m:r>
                    <m:rPr>
                      <m:sty m:val="p"/>
                    </m:rPr>
                    <m:t>−</m:t>
                  </m:r>
                  <m:sSub>
                    <m:e>
                      <m:r>
                        <m:t>E</m:t>
                      </m:r>
                    </m:e>
                    <m:sub>
                      <m:r>
                        <m:t>i</m:t>
                      </m:r>
                      <m:r>
                        <m:rPr>
                          <m:sty m:val="p"/>
                        </m:rPr>
                        <m:t>,</m:t>
                      </m:r>
                      <m:r>
                        <m:t>k</m:t>
                      </m:r>
                    </m:sub>
                  </m:sSub>
                  <m:sSub>
                    <m:e>
                      <m:r>
                        <m:rPr>
                          <m:nor/>
                          <m:sty m:val="p"/>
                        </m:rPr>
                        <m:t>hd</m:t>
                      </m:r>
                    </m:e>
                    <m:sub>
                      <m:r>
                        <m:t>i</m:t>
                      </m:r>
                      <m:r>
                        <m:rPr>
                          <m:sty m:val="p"/>
                        </m:rPr>
                        <m:t>,</m:t>
                      </m:r>
                      <m:r>
                        <m:t>k</m:t>
                      </m:r>
                    </m:sub>
                  </m:sSub>
                </m:e>
              </m:d>
            </m:e>
          </m:nary>
          <m:r>
            <m:t> </m:t>
          </m:r>
          <m:sSub>
            <m:e>
              <m:r>
                <m:t>s</m:t>
              </m:r>
            </m:e>
            <m:sub>
              <m:r>
                <m:t>i</m:t>
              </m:r>
              <m:r>
                <m:rPr>
                  <m:sty m:val="p"/>
                </m:rPr>
                <m:t>,</m:t>
              </m:r>
              <m:r>
                <m:t>k</m:t>
              </m:r>
            </m:sub>
          </m:sSub>
          <m:r>
            <m:rPr>
              <m:sty m:val="p"/>
            </m:rPr>
            <m:t>,</m:t>
          </m:r>
        </m:oMath>
      </m:oMathPara>
    </w:p>
    <w:p>
      <w:pPr>
        <w:pStyle w:val="FirstParagraph"/>
      </w:pPr>
      <w:r>
        <w:t xml:space="preserve">and the survival weight is updated as</w:t>
      </w:r>
      <w:r>
        <w:t xml:space="preserve"> </w:t>
      </w:r>
      <m:oMath>
        <m:sSub>
          <m:e>
            <m:r>
              <m:t>w</m:t>
            </m:r>
          </m:e>
          <m:sub>
            <m:r>
              <m:t>i</m:t>
            </m:r>
            <m:r>
              <m:rPr>
                <m:sty m:val="p"/>
              </m:rPr>
              <m:t>,</m:t>
            </m:r>
            <m:r>
              <m:t>k</m:t>
            </m:r>
            <m:r>
              <m:rPr>
                <m:sty m:val="p"/>
              </m:rPr>
              <m:t>+</m:t>
            </m:r>
            <m:r>
              <m:t>1</m:t>
            </m:r>
          </m:sub>
        </m:sSub>
        <m:r>
          <m:rPr>
            <m:sty m:val="p"/>
          </m:rPr>
          <m:t>=</m:t>
        </m:r>
        <m:sSub>
          <m:e>
            <m:r>
              <m:t>w</m:t>
            </m:r>
          </m:e>
          <m:sub>
            <m:r>
              <m:t>i</m:t>
            </m:r>
            <m:r>
              <m:rPr>
                <m:sty m:val="p"/>
              </m:rPr>
              <m:t>,</m:t>
            </m:r>
            <m:r>
              <m:t>k</m:t>
            </m:r>
          </m:sub>
        </m:sSub>
        <m:r>
          <m:rPr>
            <m:sty m:val="p"/>
          </m:rPr>
          <m:t>(</m:t>
        </m:r>
        <m:r>
          <m:t>1</m:t>
        </m:r>
        <m:r>
          <m:rPr>
            <m:sty m:val="p"/>
          </m:rPr>
          <m:t>−</m:t>
        </m:r>
        <m:sSub>
          <m:e>
            <m:r>
              <m:rPr>
                <m:nor/>
                <m:sty m:val="p"/>
              </m:rPr>
              <m:t>hd</m:t>
            </m:r>
          </m:e>
          <m:sub>
            <m:r>
              <m:t>i</m:t>
            </m:r>
            <m:r>
              <m:rPr>
                <m:sty m:val="p"/>
              </m:rPr>
              <m:t>,</m:t>
            </m:r>
            <m:r>
              <m:t>k</m:t>
            </m:r>
          </m:sub>
        </m:sSub>
        <m:r>
          <m:rPr>
            <m:sty m:val="p"/>
          </m:rPr>
          <m:t>)</m:t>
        </m:r>
        <m:r>
          <m:rPr>
            <m:sty m:val="p"/>
          </m:rPr>
          <m:t>(</m:t>
        </m:r>
        <m:r>
          <m:t>1</m:t>
        </m:r>
        <m:r>
          <m:rPr>
            <m:sty m:val="p"/>
          </m:rPr>
          <m:t>−</m:t>
        </m:r>
        <m:sSub>
          <m:e>
            <m:r>
              <m:t>s</m:t>
            </m:r>
          </m:e>
          <m:sub>
            <m:r>
              <m:t>i</m:t>
            </m:r>
            <m:r>
              <m:rPr>
                <m:sty m:val="p"/>
              </m:rPr>
              <m:t>,</m:t>
            </m:r>
            <m:r>
              <m:t>k</m:t>
            </m:r>
          </m:sub>
        </m:sSub>
        <m:r>
          <m:rPr>
            <m:sty m:val="p"/>
          </m:rPr>
          <m:t>)</m:t>
        </m:r>
      </m:oMath>
      <w:r>
        <w:t xml:space="preserve">. The portfolio monthly default rate (MDR) and SMM are</w:t>
      </w:r>
      <w:r>
        <w:t xml:space="preserve"> </w:t>
      </w:r>
      <m:oMath>
        <m:sSub>
          <m:e>
            <m:r>
              <m:t>D</m:t>
            </m:r>
          </m:e>
          <m:sub>
            <m:r>
              <m:t>k</m:t>
            </m:r>
          </m:sub>
        </m:sSub>
        <m:r>
          <m:rPr>
            <m:sty m:val="p"/>
          </m:rPr>
          <m:t>/</m:t>
        </m:r>
        <m:nary>
          <m:naryPr>
            <m:chr m:val="∑"/>
            <m:limLoc m:val="undOvr"/>
            <m:subHide m:val="off"/>
            <m:supHide m:val="on"/>
          </m:naryPr>
          <m:sub>
            <m:r>
              <m:t>i</m:t>
            </m:r>
          </m:sub>
          <m:sup>
            <m:r>
              <m:t>​</m:t>
            </m:r>
          </m:sup>
          <m:e>
            <m:sSub>
              <m:e>
                <m:r>
                  <m:t>E</m:t>
                </m:r>
              </m:e>
              <m:sub>
                <m:r>
                  <m:t>i</m:t>
                </m:r>
                <m:r>
                  <m:rPr>
                    <m:sty m:val="p"/>
                  </m:rPr>
                  <m:t>,</m:t>
                </m:r>
                <m:r>
                  <m:t>k</m:t>
                </m:r>
              </m:sub>
            </m:sSub>
          </m:e>
        </m:nary>
      </m:oMath>
      <w:r>
        <w:t xml:space="preserve"> </w:t>
      </w:r>
      <w:r>
        <w:t xml:space="preserve">and</w:t>
      </w:r>
      <w:r>
        <w:t xml:space="preserve"> </w:t>
      </w:r>
      <m:oMath>
        <m:sSub>
          <m:e>
            <m:r>
              <m:t>P</m:t>
            </m:r>
          </m:e>
          <m:sub>
            <m:r>
              <m:t>k</m:t>
            </m:r>
          </m:sub>
        </m:sSub>
        <m:r>
          <m:rPr>
            <m:sty m:val="p"/>
          </m:rPr>
          <m:t>/</m:t>
        </m:r>
        <m:r>
          <m:rPr>
            <m:sty m:val="p"/>
          </m:rPr>
          <m:t>(</m:t>
        </m:r>
        <m:nary>
          <m:naryPr>
            <m:chr m:val="∑"/>
            <m:limLoc m:val="undOvr"/>
            <m:subHide m:val="off"/>
            <m:supHide m:val="on"/>
          </m:naryPr>
          <m:sub>
            <m:r>
              <m:t>i</m:t>
            </m:r>
          </m:sub>
          <m:sup>
            <m:r>
              <m:t>​</m:t>
            </m:r>
          </m:sup>
          <m:e>
            <m:sSub>
              <m:e>
                <m:r>
                  <m:t>E</m:t>
                </m:r>
              </m:e>
              <m:sub>
                <m:r>
                  <m:t>i</m:t>
                </m:r>
                <m:r>
                  <m:rPr>
                    <m:sty m:val="p"/>
                  </m:rPr>
                  <m:t>,</m:t>
                </m:r>
                <m:r>
                  <m:t>k</m:t>
                </m:r>
              </m:sub>
            </m:sSub>
          </m:e>
        </m:nary>
        <m:r>
          <m:rPr>
            <m:sty m:val="p"/>
          </m:rPr>
          <m:t>−</m:t>
        </m:r>
        <m:sSub>
          <m:e>
            <m:r>
              <m:t>D</m:t>
            </m:r>
          </m:e>
          <m:sub>
            <m:r>
              <m:t>k</m:t>
            </m:r>
          </m:sub>
        </m:sSub>
        <m:r>
          <m:rPr>
            <m:sty m:val="p"/>
          </m:rPr>
          <m:t>)</m:t>
        </m:r>
      </m:oMath>
      <w:r>
        <w:t xml:space="preserve">, and the annualized CDR and CPR follow from</w:t>
      </w:r>
      <w:r>
        <w:t xml:space="preserve"> </w:t>
      </w:r>
      <m:oMath>
        <m:r>
          <m:t>1</m:t>
        </m:r>
        <m:r>
          <m:rPr>
            <m:sty m:val="p"/>
          </m:rPr>
          <m:t>−</m:t>
        </m:r>
        <m:r>
          <m:rPr>
            <m:sty m:val="p"/>
          </m:rPr>
          <m:t>(</m:t>
        </m:r>
        <m:r>
          <m:t>1</m:t>
        </m:r>
        <m:r>
          <m:rPr>
            <m:sty m:val="p"/>
          </m:rPr>
          <m:t>−</m:t>
        </m:r>
        <m:r>
          <m:t>x</m:t>
        </m:r>
        <m:sSup>
          <m:e>
            <m:r>
              <m:rPr>
                <m:sty m:val="p"/>
              </m:rPr>
              <m:t>)</m:t>
            </m:r>
          </m:e>
          <m:sup>
            <m:r>
              <m:t>12</m:t>
            </m:r>
          </m:sup>
        </m:sSup>
      </m:oMath>
      <w:r>
        <w:t xml:space="preserve">.</w:t>
      </w:r>
    </w:p>
    <w:p>
      <w:pPr>
        <w:pStyle w:val="BodyText"/>
      </w:pPr>
      <w:r>
        <w:rPr>
          <w:i/>
          <w:iCs/>
        </w:rPr>
        <w:t xml:space="preserve">Implementation.</w:t>
      </w:r>
      <w:r>
        <w:t xml:space="preserve"> </w:t>
      </w:r>
      <w:r>
        <w:rPr>
          <w:rStyle w:val="VerbatimChar"/>
        </w:rPr>
        <w:t xml:space="preserve">scenarios.project_portfolio</w:t>
      </w:r>
      <w:r>
        <w:t xml:space="preserve"> </w:t>
      </w:r>
      <w:r>
        <w:t xml:space="preserve">(model-based), built on a helper</w:t>
      </w:r>
      <w:r>
        <w:t xml:space="preserve"> </w:t>
      </w:r>
      <w:r>
        <w:rPr>
          <w:rStyle w:val="VerbatimChar"/>
        </w:rPr>
        <w:t xml:space="preserve">_Path</w:t>
      </w:r>
      <w:r>
        <w:t xml:space="preserve"> </w:t>
      </w:r>
      <w:r>
        <w:t xml:space="preserve">that precomputes each loan's shocked inputs for every month, and</w:t>
      </w:r>
      <w:r>
        <w:t xml:space="preserve"> </w:t>
      </w:r>
      <w:r>
        <w:rPr>
          <w:rStyle w:val="VerbatimChar"/>
        </w:rPr>
        <w:t xml:space="preserve">scenarios.project_truth</w:t>
      </w:r>
      <w:r>
        <w:t xml:space="preserve"> </w:t>
      </w:r>
      <w:r>
        <w:t xml:space="preserve">(the DGP's own Markov chain evaluated under the same shocked macro, synthetic data only). The models used are LightGBM for PD and XGBoost for prepayment. The 60-month curves are in</w:t>
      </w:r>
      <w:r>
        <w:t xml:space="preserve"> </w:t>
      </w:r>
      <w:r>
        <w:rPr>
          <w:rStyle w:val="VerbatimChar"/>
        </w:rPr>
        <w:t xml:space="preserve">outputs/scenario_curves.csv</w:t>
      </w:r>
      <w:r>
        <w:t xml:space="preserve"> </w:t>
      </w:r>
      <w:r>
        <w:t xml:space="preserve">and the 12-month summary in</w:t>
      </w:r>
      <w:r>
        <w:t xml:space="preserve"> </w:t>
      </w:r>
      <w:r>
        <w:rPr>
          <w:rStyle w:val="VerbatimChar"/>
        </w:rPr>
        <w:t xml:space="preserve">outputs/scenario_12m.csv</w:t>
      </w:r>
      <w:r>
        <w:t xml:space="preserve">.</w:t>
      </w:r>
    </w:p>
    <w:p>
      <w:pPr>
        <w:pStyle w:val="BodyText"/>
      </w:pPr>
      <w:r>
        <w:t xml:space="preserve">Important simplifications, all documented in the module header: delinquency status and the recent-delinquency count are held at their as-of values; only loans that were current at the as-of date are allowed to prepay; and the default step uses a 12-month cumulative-incidence PD as a monthly hazard on a portfolio that is also prepaying, which slightly double counts the removal of loans (section 10.5).</w:t>
      </w:r>
    </w:p>
    <w:bookmarkEnd w:id="112"/>
    <w:bookmarkStart w:id="116" w:name="results-on-the-end-2023-pool"/>
    <w:p>
      <w:pPr>
        <w:pStyle w:val="Heading2"/>
      </w:pPr>
      <w:r>
        <w:rPr>
          <w:rStyle w:val="SectionNumber"/>
        </w:rPr>
        <w:t xml:space="preserve">10.3</w:t>
      </w:r>
      <w:r>
        <w:tab/>
      </w:r>
      <w:r>
        <w:t xml:space="preserve">Results on the end-2023 pool</w:t>
      </w:r>
    </w:p>
    <w:p>
      <w:pPr>
        <w:pStyle w:val="CaptionedFigure"/>
      </w:pPr>
      <w:r>
        <w:drawing>
          <wp:inline>
            <wp:extent cx="5067300" cy="3547110"/>
            <wp:effectExtent b="0" l="0" r="0" t="0"/>
            <wp:docPr descr="Projected CPR, CDR, surviving balance and SMM for the six scenarios." title="" id="114" name="Picture"/>
            <a:graphic>
              <a:graphicData uri="http://schemas.openxmlformats.org/drawingml/2006/picture">
                <pic:pic>
                  <pic:nvPicPr>
                    <pic:cNvPr descr="../python/outputs/charts/scenario_curves.png" id="115" name="Picture"/>
                    <pic:cNvPicPr>
                      <a:picLocks noChangeArrowheads="1" noChangeAspect="1"/>
                    </pic:cNvPicPr>
                  </pic:nvPicPr>
                  <pic:blipFill>
                    <a:blip r:embed="rId113"/>
                    <a:stretch>
                      <a:fillRect/>
                    </a:stretch>
                  </pic:blipFill>
                  <pic:spPr bwMode="auto">
                    <a:xfrm>
                      <a:off x="0" y="0"/>
                      <a:ext cx="5067300" cy="3547110"/>
                    </a:xfrm>
                    <a:prstGeom prst="rect">
                      <a:avLst/>
                    </a:prstGeom>
                    <a:noFill/>
                    <a:ln w="9525">
                      <a:noFill/>
                      <a:headEnd/>
                      <a:tailEnd/>
                    </a:ln>
                  </pic:spPr>
                </pic:pic>
              </a:graphicData>
            </a:graphic>
          </wp:inline>
        </w:drawing>
      </w:r>
    </w:p>
    <w:p>
      <w:pPr>
        <w:pStyle w:val="ImageCaption"/>
      </w:pPr>
      <w:r>
        <w:t xml:space="preserve">Projected CPR, CDR, surviving balance and SMM for the six scenarios.</w:t>
      </w:r>
    </w:p>
    <w:p>
      <w:pPr>
        <w:pStyle w:val="TableCaption"/>
      </w:pPr>
      <w:r>
        <w:t xml:space="preserve">Twelve-month summary on the 31 December 2023 pool, model-based. Defaults and prepayments are percentages of the starting balance.</w:t>
      </w:r>
    </w:p>
    <w:tbl>
      <w:tblPr>
        <w:tblStyle w:val="Table"/>
        <w:tblW w:type="pct" w:w="5000"/>
        <w:tblLayout w:type="fixed"/>
        <w:tblLook w:firstRow="1" w:lastRow="0" w:firstColumn="0" w:lastColumn="0" w:noHBand="0" w:noVBand="0" w:val="0020"/>
        <w:tblCaption w:val="Twelve-month summary on the 31 December 2023 pool, model-based. Defaults and prepayments are percentages of the starting balanc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75"/>
        <w:gridCol w:w="1836"/>
        <w:gridCol w:w="2008"/>
        <w:gridCol w:w="1549"/>
        <w:gridCol w:w="1549"/>
      </w:tblGrid>
      <w:tr>
        <w:trPr>
          <w:tblHeader w:val="on"/>
        </w:trPr>
        <w:tc>
          <w:tcPr/>
          <w:p>
            <w:pPr>
              <w:pStyle w:val="Compact"/>
              <w:jc w:val="left"/>
            </w:pPr>
            <w:r>
              <w:rPr>
                <w:sz w:val="17"/>
              </w:rPr>
              <w:t xml:space="preserve">Scenario</w:t>
            </w:r>
          </w:p>
        </w:tc>
        <w:tc>
          <w:tcPr/>
          <w:p>
            <w:pPr>
              <w:pStyle w:val="Compact"/>
              <w:jc w:val="right"/>
            </w:pPr>
            <w:r>
              <w:rPr>
                <w:sz w:val="17"/>
              </w:rPr>
              <w:t xml:space="preserve">12m defaults (% of starting UPB)</w:t>
            </w:r>
          </w:p>
        </w:tc>
        <w:tc>
          <w:tcPr/>
          <w:p>
            <w:pPr>
              <w:pStyle w:val="Compact"/>
              <w:jc w:val="right"/>
            </w:pPr>
            <w:r>
              <w:rPr>
                <w:sz w:val="17"/>
              </w:rPr>
              <w:t xml:space="preserve">12m prepayments (% of starting UPB)</w:t>
            </w:r>
          </w:p>
        </w:tc>
        <w:tc>
          <w:tcPr/>
          <w:p>
            <w:pPr>
              <w:pStyle w:val="Compact"/>
              <w:jc w:val="right"/>
            </w:pPr>
            <w:r>
              <w:rPr>
                <w:sz w:val="17"/>
              </w:rPr>
              <w:t xml:space="preserve">Average CPR, months 1 to 12</w:t>
            </w:r>
          </w:p>
        </w:tc>
        <w:tc>
          <w:tcPr/>
          <w:p>
            <w:pPr>
              <w:pStyle w:val="Compact"/>
              <w:jc w:val="right"/>
            </w:pPr>
            <w:r>
              <w:rPr>
                <w:sz w:val="17"/>
              </w:rPr>
              <w:t xml:space="preserve">Average CDR, months 1 to 12</w:t>
            </w:r>
          </w:p>
        </w:tc>
      </w:tr>
      <w:tr>
        <w:tc>
          <w:tcPr/>
          <w:p>
            <w:pPr>
              <w:pStyle w:val="Compact"/>
              <w:jc w:val="left"/>
            </w:pPr>
            <w:r>
              <w:rPr>
                <w:sz w:val="17"/>
              </w:rPr>
              <w:t xml:space="preserve">Base</w:t>
            </w:r>
          </w:p>
        </w:tc>
        <w:tc>
          <w:tcPr/>
          <w:p>
            <w:pPr>
              <w:pStyle w:val="Compact"/>
              <w:jc w:val="right"/>
            </w:pPr>
            <w:r>
              <w:rPr>
                <w:sz w:val="17"/>
              </w:rPr>
              <w:t xml:space="preserve">1.092</w:t>
            </w:r>
          </w:p>
        </w:tc>
        <w:tc>
          <w:tcPr/>
          <w:p>
            <w:pPr>
              <w:pStyle w:val="Compact"/>
              <w:jc w:val="right"/>
            </w:pPr>
            <w:r>
              <w:rPr>
                <w:sz w:val="17"/>
              </w:rPr>
              <w:t xml:space="preserve">11.38</w:t>
            </w:r>
          </w:p>
        </w:tc>
        <w:tc>
          <w:tcPr/>
          <w:p>
            <w:pPr>
              <w:pStyle w:val="Compact"/>
              <w:jc w:val="right"/>
            </w:pPr>
            <w:r>
              <w:rPr>
                <w:sz w:val="17"/>
              </w:rPr>
              <w:t xml:space="preserve">11.58%</w:t>
            </w:r>
          </w:p>
        </w:tc>
        <w:tc>
          <w:tcPr/>
          <w:p>
            <w:pPr>
              <w:pStyle w:val="Compact"/>
              <w:jc w:val="right"/>
            </w:pPr>
            <w:r>
              <w:rPr>
                <w:sz w:val="17"/>
              </w:rPr>
              <w:t xml:space="preserve">1.163%</w:t>
            </w:r>
          </w:p>
        </w:tc>
      </w:tr>
      <w:tr>
        <w:tc>
          <w:tcPr/>
          <w:p>
            <w:pPr>
              <w:pStyle w:val="Compact"/>
              <w:jc w:val="left"/>
            </w:pPr>
            <w:r>
              <w:rPr>
                <w:sz w:val="17"/>
              </w:rPr>
              <w:t xml:space="preserve">Rates +200bp</w:t>
            </w:r>
          </w:p>
        </w:tc>
        <w:tc>
          <w:tcPr/>
          <w:p>
            <w:pPr>
              <w:pStyle w:val="Compact"/>
              <w:jc w:val="right"/>
            </w:pPr>
            <w:r>
              <w:rPr>
                <w:sz w:val="17"/>
              </w:rPr>
              <w:t xml:space="preserve">1.092</w:t>
            </w:r>
          </w:p>
        </w:tc>
        <w:tc>
          <w:tcPr/>
          <w:p>
            <w:pPr>
              <w:pStyle w:val="Compact"/>
              <w:jc w:val="right"/>
            </w:pPr>
            <w:r>
              <w:rPr>
                <w:sz w:val="17"/>
              </w:rPr>
              <w:t xml:space="preserve">11.38</w:t>
            </w:r>
          </w:p>
        </w:tc>
        <w:tc>
          <w:tcPr/>
          <w:p>
            <w:pPr>
              <w:pStyle w:val="Compact"/>
              <w:jc w:val="right"/>
            </w:pPr>
            <w:r>
              <w:rPr>
                <w:sz w:val="17"/>
              </w:rPr>
              <w:t xml:space="preserve">11.58%</w:t>
            </w:r>
          </w:p>
        </w:tc>
        <w:tc>
          <w:tcPr/>
          <w:p>
            <w:pPr>
              <w:pStyle w:val="Compact"/>
              <w:jc w:val="right"/>
            </w:pPr>
            <w:r>
              <w:rPr>
                <w:sz w:val="17"/>
              </w:rPr>
              <w:t xml:space="preserve">1.163%</w:t>
            </w:r>
          </w:p>
        </w:tc>
      </w:tr>
      <w:tr>
        <w:tc>
          <w:tcPr/>
          <w:p>
            <w:pPr>
              <w:pStyle w:val="Compact"/>
              <w:jc w:val="left"/>
            </w:pPr>
            <w:r>
              <w:rPr>
                <w:sz w:val="17"/>
              </w:rPr>
              <w:t xml:space="preserve">Rates -200bp</w:t>
            </w:r>
          </w:p>
        </w:tc>
        <w:tc>
          <w:tcPr/>
          <w:p>
            <w:pPr>
              <w:pStyle w:val="Compact"/>
              <w:jc w:val="right"/>
            </w:pPr>
            <w:r>
              <w:rPr>
                <w:sz w:val="17"/>
              </w:rPr>
              <w:t xml:space="preserve">1.089</w:t>
            </w:r>
          </w:p>
        </w:tc>
        <w:tc>
          <w:tcPr/>
          <w:p>
            <w:pPr>
              <w:pStyle w:val="Compact"/>
              <w:jc w:val="right"/>
            </w:pPr>
            <w:r>
              <w:rPr>
                <w:sz w:val="17"/>
              </w:rPr>
              <w:t xml:space="preserve">11.40</w:t>
            </w:r>
          </w:p>
        </w:tc>
        <w:tc>
          <w:tcPr/>
          <w:p>
            <w:pPr>
              <w:pStyle w:val="Compact"/>
              <w:jc w:val="right"/>
            </w:pPr>
            <w:r>
              <w:rPr>
                <w:sz w:val="17"/>
              </w:rPr>
              <w:t xml:space="preserve">11.60%</w:t>
            </w:r>
          </w:p>
        </w:tc>
        <w:tc>
          <w:tcPr/>
          <w:p>
            <w:pPr>
              <w:pStyle w:val="Compact"/>
              <w:jc w:val="right"/>
            </w:pPr>
            <w:r>
              <w:rPr>
                <w:sz w:val="17"/>
              </w:rPr>
              <w:t xml:space="preserve">1.159%</w:t>
            </w:r>
          </w:p>
        </w:tc>
      </w:tr>
      <w:tr>
        <w:tc>
          <w:tcPr/>
          <w:p>
            <w:pPr>
              <w:pStyle w:val="Compact"/>
              <w:jc w:val="left"/>
            </w:pPr>
            <w:r>
              <w:rPr>
                <w:sz w:val="17"/>
              </w:rPr>
              <w:t xml:space="preserve">HPI -20%</w:t>
            </w:r>
          </w:p>
        </w:tc>
        <w:tc>
          <w:tcPr/>
          <w:p>
            <w:pPr>
              <w:pStyle w:val="Compact"/>
              <w:jc w:val="right"/>
            </w:pPr>
            <w:r>
              <w:rPr>
                <w:sz w:val="17"/>
              </w:rPr>
              <w:t xml:space="preserve">1.184</w:t>
            </w:r>
          </w:p>
        </w:tc>
        <w:tc>
          <w:tcPr/>
          <w:p>
            <w:pPr>
              <w:pStyle w:val="Compact"/>
              <w:jc w:val="right"/>
            </w:pPr>
            <w:r>
              <w:rPr>
                <w:sz w:val="17"/>
              </w:rPr>
              <w:t xml:space="preserve">11.33</w:t>
            </w:r>
          </w:p>
        </w:tc>
        <w:tc>
          <w:tcPr/>
          <w:p>
            <w:pPr>
              <w:pStyle w:val="Compact"/>
              <w:jc w:val="right"/>
            </w:pPr>
            <w:r>
              <w:rPr>
                <w:sz w:val="17"/>
              </w:rPr>
              <w:t xml:space="preserve">11.53%</w:t>
            </w:r>
          </w:p>
        </w:tc>
        <w:tc>
          <w:tcPr/>
          <w:p>
            <w:pPr>
              <w:pStyle w:val="Compact"/>
              <w:jc w:val="right"/>
            </w:pPr>
            <w:r>
              <w:rPr>
                <w:sz w:val="17"/>
              </w:rPr>
              <w:t xml:space="preserve">1.263%</w:t>
            </w:r>
          </w:p>
        </w:tc>
      </w:tr>
      <w:tr>
        <w:tc>
          <w:tcPr/>
          <w:p>
            <w:pPr>
              <w:pStyle w:val="Compact"/>
              <w:jc w:val="left"/>
            </w:pPr>
            <w:r>
              <w:rPr>
                <w:sz w:val="17"/>
              </w:rPr>
              <w:t xml:space="preserve">Unemployment +4pt</w:t>
            </w:r>
          </w:p>
        </w:tc>
        <w:tc>
          <w:tcPr/>
          <w:p>
            <w:pPr>
              <w:pStyle w:val="Compact"/>
              <w:jc w:val="right"/>
            </w:pPr>
            <w:r>
              <w:rPr>
                <w:sz w:val="17"/>
              </w:rPr>
              <w:t xml:space="preserve">1.454</w:t>
            </w:r>
          </w:p>
        </w:tc>
        <w:tc>
          <w:tcPr/>
          <w:p>
            <w:pPr>
              <w:pStyle w:val="Compact"/>
              <w:jc w:val="right"/>
            </w:pPr>
            <w:r>
              <w:rPr>
                <w:sz w:val="17"/>
              </w:rPr>
              <w:t xml:space="preserve">11.37</w:t>
            </w:r>
          </w:p>
        </w:tc>
        <w:tc>
          <w:tcPr/>
          <w:p>
            <w:pPr>
              <w:pStyle w:val="Compact"/>
              <w:jc w:val="right"/>
            </w:pPr>
            <w:r>
              <w:rPr>
                <w:sz w:val="17"/>
              </w:rPr>
              <w:t xml:space="preserve">11.58%</w:t>
            </w:r>
          </w:p>
        </w:tc>
        <w:tc>
          <w:tcPr/>
          <w:p>
            <w:pPr>
              <w:pStyle w:val="Compact"/>
              <w:jc w:val="right"/>
            </w:pPr>
            <w:r>
              <w:rPr>
                <w:sz w:val="17"/>
              </w:rPr>
              <w:t xml:space="preserve">1.559%</w:t>
            </w:r>
          </w:p>
        </w:tc>
      </w:tr>
      <w:tr>
        <w:tc>
          <w:tcPr/>
          <w:p>
            <w:pPr>
              <w:pStyle w:val="Compact"/>
              <w:jc w:val="left"/>
            </w:pPr>
            <w:r>
              <w:rPr>
                <w:sz w:val="17"/>
              </w:rPr>
              <w:t xml:space="preserve">Adverse combined</w:t>
            </w:r>
          </w:p>
        </w:tc>
        <w:tc>
          <w:tcPr/>
          <w:p>
            <w:pPr>
              <w:pStyle w:val="Compact"/>
              <w:jc w:val="right"/>
            </w:pPr>
            <w:r>
              <w:rPr>
                <w:sz w:val="17"/>
              </w:rPr>
              <w:t xml:space="preserve">1.564</w:t>
            </w:r>
          </w:p>
        </w:tc>
        <w:tc>
          <w:tcPr/>
          <w:p>
            <w:pPr>
              <w:pStyle w:val="Compact"/>
              <w:jc w:val="right"/>
            </w:pPr>
            <w:r>
              <w:rPr>
                <w:sz w:val="17"/>
              </w:rPr>
              <w:t xml:space="preserve">11.31</w:t>
            </w:r>
          </w:p>
        </w:tc>
        <w:tc>
          <w:tcPr/>
          <w:p>
            <w:pPr>
              <w:pStyle w:val="Compact"/>
              <w:jc w:val="right"/>
            </w:pPr>
            <w:r>
              <w:rPr>
                <w:sz w:val="17"/>
              </w:rPr>
              <w:t xml:space="preserve">11.53%</w:t>
            </w:r>
          </w:p>
        </w:tc>
        <w:tc>
          <w:tcPr/>
          <w:p>
            <w:pPr>
              <w:pStyle w:val="Compact"/>
              <w:jc w:val="right"/>
            </w:pPr>
            <w:r>
              <w:rPr>
                <w:sz w:val="17"/>
              </w:rPr>
              <w:t xml:space="preserve">1.680%</w:t>
            </w:r>
          </w:p>
        </w:tc>
      </w:tr>
    </w:tbl>
    <w:p>
      <w:pPr>
        <w:pStyle w:val="BodyText"/>
      </w:pPr>
      <w:r>
        <w:rPr>
          <w:b/>
          <w:bCs/>
        </w:rPr>
        <w:t xml:space="preserve">Unemployment and house prices move defaults; rates do not move anything.</w:t>
      </w:r>
      <w:r>
        <w:t xml:space="preserve"> </w:t>
      </w:r>
      <w:r>
        <w:t xml:space="preserve">The unemployment shock raises the model's 12-month default rate from 1.09% to 1.45% (an increase of 33%); the house-price shock to 1.18%; the combined adverse scenario to 1.56% (1.43 times base). The two rate scenarios are almost indistinguishable from base: the +200bp 12-month default and prepayment rates are identical to base to the displayed precision, while -200bp changes 12-month prepayments by only 0.025 percentage points.</w:t>
      </w:r>
    </w:p>
    <w:p>
      <w:pPr>
        <w:pStyle w:val="BodyText"/>
      </w:pPr>
      <w:r>
        <w:t xml:space="preserve">The reason is</w:t>
      </w:r>
      <w:r>
        <w:t xml:space="preserve"> </w:t>
      </w:r>
      <w:r>
        <w:rPr>
          <w:b/>
          <w:bCs/>
        </w:rPr>
        <w:t xml:space="preserve">moneyness</w:t>
      </w:r>
      <w:r>
        <w:t xml:space="preserve">. The pool at the end of 2023 holds 11,947 loans with a balance of USD 2,645 million. Its balance-weighted note rate is 3.59 percent against a simulated market rate of 6.8 percent, a balance-weighted incentive of -3.21 points, and only 0.0% of the balance has an incentive above 0.5 points. In that region the refinance sigmoid is flat at zero, so a +200bp shock moves loans from very negative incentive to even more negative with no effect, and even -200bp only brings the market rate to 4.8 percent, still above the note rate of most loans. A pool this far out of the money has almost no rate sensitivity, which is a true economic fact about such pools (the 2022 to 2023 "lock-in" effect) and not a software defect. To see the rate sensitivity the model does have, the pipeline repeats the whole scenario run for a pool as of 31 December 2021, when the balance-weighted incentive was 0.52 points and 45.0% of the balance was in the money.</w:t>
      </w:r>
    </w:p>
    <w:p>
      <w:pPr>
        <w:pStyle w:val="BodyText"/>
      </w:pPr>
      <w:r>
        <w:t xml:space="preserve">The in-the-money run (as-of 31 December 2021, when the pool was close to the market rate) is written to</w:t>
      </w:r>
      <w:r>
        <w:t xml:space="preserve"> </w:t>
      </w:r>
      <w:r>
        <w:rPr>
          <w:rStyle w:val="VerbatimChar"/>
        </w:rPr>
        <w:t xml:space="preserve">outputs/scenarios_itm_2021/</w:t>
      </w:r>
      <w:r>
        <w:t xml:space="preserve">.</w:t>
      </w:r>
    </w:p>
    <w:p>
      <w:pPr>
        <w:pStyle w:val="TableCaption"/>
      </w:pPr>
      <w:r>
        <w:t xml:space="preserve">Twelve-month scenario summary, pool as of 31 December 2021.</w:t>
      </w:r>
    </w:p>
    <w:tbl>
      <w:tblPr>
        <w:tblStyle w:val="Table"/>
        <w:tblW w:type="pct" w:w="5000"/>
        <w:tblLayout w:type="fixed"/>
        <w:tblLook w:firstRow="1" w:lastRow="0" w:firstColumn="0" w:lastColumn="0" w:noHBand="0" w:noVBand="0" w:val="0020"/>
        <w:tblCaption w:val="Twelve-month scenario summary, pool as of 31 December 202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0"/>
        <w:gridCol w:w="2070"/>
        <w:gridCol w:w="2340"/>
        <w:gridCol w:w="990"/>
        <w:gridCol w:w="990"/>
      </w:tblGrid>
      <w:tr>
        <w:trPr>
          <w:tblHeader w:val="on"/>
        </w:trPr>
        <w:tc>
          <w:tcPr/>
          <w:p>
            <w:pPr>
              <w:pStyle w:val="Compact"/>
              <w:jc w:val="left"/>
            </w:pPr>
            <w:r>
              <w:rPr>
                <w:sz w:val="17"/>
              </w:rPr>
              <w:t xml:space="preserve">Scenario</w:t>
            </w:r>
          </w:p>
        </w:tc>
        <w:tc>
          <w:tcPr/>
          <w:p>
            <w:pPr>
              <w:pStyle w:val="Compact"/>
              <w:jc w:val="right"/>
            </w:pPr>
            <w:r>
              <w:rPr>
                <w:sz w:val="17"/>
              </w:rPr>
              <w:t xml:space="preserve">12m defaults (% of UPB)</w:t>
            </w:r>
          </w:p>
        </w:tc>
        <w:tc>
          <w:tcPr/>
          <w:p>
            <w:pPr>
              <w:pStyle w:val="Compact"/>
              <w:jc w:val="right"/>
            </w:pPr>
            <w:r>
              <w:rPr>
                <w:sz w:val="17"/>
              </w:rPr>
              <w:t xml:space="preserve">12m prepayments (% of UPB)</w:t>
            </w:r>
          </w:p>
        </w:tc>
        <w:tc>
          <w:tcPr/>
          <w:p>
            <w:pPr>
              <w:pStyle w:val="Compact"/>
              <w:jc w:val="right"/>
            </w:pPr>
            <w:r>
              <w:rPr>
                <w:sz w:val="17"/>
              </w:rPr>
              <w:t xml:space="preserve">Average CPR</w:t>
            </w:r>
          </w:p>
        </w:tc>
        <w:tc>
          <w:tcPr/>
          <w:p>
            <w:pPr>
              <w:pStyle w:val="Compact"/>
              <w:jc w:val="right"/>
            </w:pPr>
            <w:r>
              <w:rPr>
                <w:sz w:val="17"/>
              </w:rPr>
              <w:t xml:space="preserve">Average CDR</w:t>
            </w:r>
          </w:p>
        </w:tc>
      </w:tr>
      <w:tr>
        <w:tc>
          <w:tcPr/>
          <w:p>
            <w:pPr>
              <w:pStyle w:val="Compact"/>
              <w:jc w:val="left"/>
            </w:pPr>
            <w:r>
              <w:rPr>
                <w:sz w:val="17"/>
              </w:rPr>
              <w:t xml:space="preserve">Base</w:t>
            </w:r>
          </w:p>
        </w:tc>
        <w:tc>
          <w:tcPr/>
          <w:p>
            <w:pPr>
              <w:pStyle w:val="Compact"/>
              <w:jc w:val="right"/>
            </w:pPr>
            <w:r>
              <w:rPr>
                <w:sz w:val="17"/>
              </w:rPr>
              <w:t xml:space="preserve">1.640</w:t>
            </w:r>
          </w:p>
        </w:tc>
        <w:tc>
          <w:tcPr/>
          <w:p>
            <w:pPr>
              <w:pStyle w:val="Compact"/>
              <w:jc w:val="right"/>
            </w:pPr>
            <w:r>
              <w:rPr>
                <w:sz w:val="17"/>
              </w:rPr>
              <w:t xml:space="preserve">11.57</w:t>
            </w:r>
          </w:p>
        </w:tc>
        <w:tc>
          <w:tcPr/>
          <w:p>
            <w:pPr>
              <w:pStyle w:val="Compact"/>
              <w:jc w:val="right"/>
            </w:pPr>
            <w:r>
              <w:rPr>
                <w:sz w:val="17"/>
              </w:rPr>
              <w:t xml:space="preserve">11.64%</w:t>
            </w:r>
          </w:p>
        </w:tc>
        <w:tc>
          <w:tcPr/>
          <w:p>
            <w:pPr>
              <w:pStyle w:val="Compact"/>
              <w:jc w:val="right"/>
            </w:pPr>
            <w:r>
              <w:rPr>
                <w:sz w:val="17"/>
              </w:rPr>
              <w:t xml:space="preserve">1.764%</w:t>
            </w:r>
          </w:p>
        </w:tc>
      </w:tr>
      <w:tr>
        <w:tc>
          <w:tcPr/>
          <w:p>
            <w:pPr>
              <w:pStyle w:val="Compact"/>
              <w:jc w:val="left"/>
            </w:pPr>
            <w:r>
              <w:rPr>
                <w:sz w:val="17"/>
              </w:rPr>
              <w:t xml:space="preserve">Rates +200bp</w:t>
            </w:r>
          </w:p>
        </w:tc>
        <w:tc>
          <w:tcPr/>
          <w:p>
            <w:pPr>
              <w:pStyle w:val="Compact"/>
              <w:jc w:val="right"/>
            </w:pPr>
            <w:r>
              <w:rPr>
                <w:sz w:val="17"/>
              </w:rPr>
              <w:t xml:space="preserve">1.646</w:t>
            </w:r>
          </w:p>
        </w:tc>
        <w:tc>
          <w:tcPr/>
          <w:p>
            <w:pPr>
              <w:pStyle w:val="Compact"/>
              <w:jc w:val="right"/>
            </w:pPr>
            <w:r>
              <w:rPr>
                <w:sz w:val="17"/>
              </w:rPr>
              <w:t xml:space="preserve">11.14</w:t>
            </w:r>
          </w:p>
        </w:tc>
        <w:tc>
          <w:tcPr/>
          <w:p>
            <w:pPr>
              <w:pStyle w:val="Compact"/>
              <w:jc w:val="right"/>
            </w:pPr>
            <w:r>
              <w:rPr>
                <w:sz w:val="17"/>
              </w:rPr>
              <w:t xml:space="preserve">11.21%</w:t>
            </w:r>
          </w:p>
        </w:tc>
        <w:tc>
          <w:tcPr/>
          <w:p>
            <w:pPr>
              <w:pStyle w:val="Compact"/>
              <w:jc w:val="right"/>
            </w:pPr>
            <w:r>
              <w:rPr>
                <w:sz w:val="17"/>
              </w:rPr>
              <w:t xml:space="preserve">1.764%</w:t>
            </w:r>
          </w:p>
        </w:tc>
      </w:tr>
      <w:tr>
        <w:tc>
          <w:tcPr/>
          <w:p>
            <w:pPr>
              <w:pStyle w:val="Compact"/>
              <w:jc w:val="left"/>
            </w:pPr>
            <w:r>
              <w:rPr>
                <w:sz w:val="17"/>
              </w:rPr>
              <w:t xml:space="preserve">Rates -200bp</w:t>
            </w:r>
          </w:p>
        </w:tc>
        <w:tc>
          <w:tcPr/>
          <w:p>
            <w:pPr>
              <w:pStyle w:val="Compact"/>
              <w:jc w:val="right"/>
            </w:pPr>
            <w:r>
              <w:rPr>
                <w:sz w:val="17"/>
              </w:rPr>
              <w:t xml:space="preserve">1.627</w:t>
            </w:r>
          </w:p>
        </w:tc>
        <w:tc>
          <w:tcPr/>
          <w:p>
            <w:pPr>
              <w:pStyle w:val="Compact"/>
              <w:jc w:val="right"/>
            </w:pPr>
            <w:r>
              <w:rPr>
                <w:sz w:val="17"/>
              </w:rPr>
              <w:t xml:space="preserve">12.77</w:t>
            </w:r>
          </w:p>
        </w:tc>
        <w:tc>
          <w:tcPr/>
          <w:p>
            <w:pPr>
              <w:pStyle w:val="Compact"/>
              <w:jc w:val="right"/>
            </w:pPr>
            <w:r>
              <w:rPr>
                <w:sz w:val="17"/>
              </w:rPr>
              <w:t xml:space="preserve">12.85%</w:t>
            </w:r>
          </w:p>
        </w:tc>
        <w:tc>
          <w:tcPr/>
          <w:p>
            <w:pPr>
              <w:pStyle w:val="Compact"/>
              <w:jc w:val="right"/>
            </w:pPr>
            <w:r>
              <w:rPr>
                <w:sz w:val="17"/>
              </w:rPr>
              <w:t xml:space="preserve">1.763%</w:t>
            </w:r>
          </w:p>
        </w:tc>
      </w:tr>
      <w:tr>
        <w:tc>
          <w:tcPr/>
          <w:p>
            <w:pPr>
              <w:pStyle w:val="Compact"/>
              <w:jc w:val="left"/>
            </w:pPr>
            <w:r>
              <w:rPr>
                <w:sz w:val="17"/>
              </w:rPr>
              <w:t xml:space="preserve">HPI -20%</w:t>
            </w:r>
          </w:p>
        </w:tc>
        <w:tc>
          <w:tcPr/>
          <w:p>
            <w:pPr>
              <w:pStyle w:val="Compact"/>
              <w:jc w:val="right"/>
            </w:pPr>
            <w:r>
              <w:rPr>
                <w:sz w:val="17"/>
              </w:rPr>
              <w:t xml:space="preserve">1.885</w:t>
            </w:r>
          </w:p>
        </w:tc>
        <w:tc>
          <w:tcPr/>
          <w:p>
            <w:pPr>
              <w:pStyle w:val="Compact"/>
              <w:jc w:val="right"/>
            </w:pPr>
            <w:r>
              <w:rPr>
                <w:sz w:val="17"/>
              </w:rPr>
              <w:t xml:space="preserve">11.21</w:t>
            </w:r>
          </w:p>
        </w:tc>
        <w:tc>
          <w:tcPr/>
          <w:p>
            <w:pPr>
              <w:pStyle w:val="Compact"/>
              <w:jc w:val="right"/>
            </w:pPr>
            <w:r>
              <w:rPr>
                <w:sz w:val="17"/>
              </w:rPr>
              <w:t xml:space="preserve">11.26%</w:t>
            </w:r>
          </w:p>
        </w:tc>
        <w:tc>
          <w:tcPr/>
          <w:p>
            <w:pPr>
              <w:pStyle w:val="Compact"/>
              <w:jc w:val="right"/>
            </w:pPr>
            <w:r>
              <w:rPr>
                <w:sz w:val="17"/>
              </w:rPr>
              <w:t xml:space="preserve">2.035%</w:t>
            </w:r>
          </w:p>
        </w:tc>
      </w:tr>
      <w:tr>
        <w:tc>
          <w:tcPr/>
          <w:p>
            <w:pPr>
              <w:pStyle w:val="Compact"/>
              <w:jc w:val="left"/>
            </w:pPr>
            <w:r>
              <w:rPr>
                <w:sz w:val="17"/>
              </w:rPr>
              <w:t xml:space="preserve">Unemployment +4pt</w:t>
            </w:r>
          </w:p>
        </w:tc>
        <w:tc>
          <w:tcPr/>
          <w:p>
            <w:pPr>
              <w:pStyle w:val="Compact"/>
              <w:jc w:val="right"/>
            </w:pPr>
            <w:r>
              <w:rPr>
                <w:sz w:val="17"/>
              </w:rPr>
              <w:t xml:space="preserve">2.030</w:t>
            </w:r>
          </w:p>
        </w:tc>
        <w:tc>
          <w:tcPr/>
          <w:p>
            <w:pPr>
              <w:pStyle w:val="Compact"/>
              <w:jc w:val="right"/>
            </w:pPr>
            <w:r>
              <w:rPr>
                <w:sz w:val="17"/>
              </w:rPr>
              <w:t xml:space="preserve">11.56</w:t>
            </w:r>
          </w:p>
        </w:tc>
        <w:tc>
          <w:tcPr/>
          <w:p>
            <w:pPr>
              <w:pStyle w:val="Compact"/>
              <w:jc w:val="right"/>
            </w:pPr>
            <w:r>
              <w:rPr>
                <w:sz w:val="17"/>
              </w:rPr>
              <w:t xml:space="preserve">11.65%</w:t>
            </w:r>
          </w:p>
        </w:tc>
        <w:tc>
          <w:tcPr/>
          <w:p>
            <w:pPr>
              <w:pStyle w:val="Compact"/>
              <w:jc w:val="right"/>
            </w:pPr>
            <w:r>
              <w:rPr>
                <w:sz w:val="17"/>
              </w:rPr>
              <w:t xml:space="preserve">2.198%</w:t>
            </w:r>
          </w:p>
        </w:tc>
      </w:tr>
      <w:tr>
        <w:tc>
          <w:tcPr/>
          <w:p>
            <w:pPr>
              <w:pStyle w:val="Compact"/>
              <w:jc w:val="left"/>
            </w:pPr>
            <w:r>
              <w:rPr>
                <w:sz w:val="17"/>
              </w:rPr>
              <w:t xml:space="preserve">Adverse combined</w:t>
            </w:r>
          </w:p>
        </w:tc>
        <w:tc>
          <w:tcPr/>
          <w:p>
            <w:pPr>
              <w:pStyle w:val="Compact"/>
              <w:jc w:val="right"/>
            </w:pPr>
            <w:r>
              <w:rPr>
                <w:sz w:val="17"/>
              </w:rPr>
              <w:t xml:space="preserve">2.349</w:t>
            </w:r>
          </w:p>
        </w:tc>
        <w:tc>
          <w:tcPr/>
          <w:p>
            <w:pPr>
              <w:pStyle w:val="Compact"/>
              <w:jc w:val="right"/>
            </w:pPr>
            <w:r>
              <w:rPr>
                <w:sz w:val="17"/>
              </w:rPr>
              <w:t xml:space="preserve">10.76</w:t>
            </w:r>
          </w:p>
        </w:tc>
        <w:tc>
          <w:tcPr/>
          <w:p>
            <w:pPr>
              <w:pStyle w:val="Compact"/>
              <w:jc w:val="right"/>
            </w:pPr>
            <w:r>
              <w:rPr>
                <w:sz w:val="17"/>
              </w:rPr>
              <w:t xml:space="preserve">10.84%</w:t>
            </w:r>
          </w:p>
        </w:tc>
        <w:tc>
          <w:tcPr/>
          <w:p>
            <w:pPr>
              <w:pStyle w:val="Compact"/>
              <w:jc w:val="right"/>
            </w:pPr>
            <w:r>
              <w:rPr>
                <w:sz w:val="17"/>
              </w:rPr>
              <w:t xml:space="preserve">2.538%</w:t>
            </w:r>
          </w:p>
        </w:tc>
      </w:tr>
    </w:tbl>
    <w:p>
      <w:pPr>
        <w:pStyle w:val="BodyText"/>
      </w:pPr>
      <w:r>
        <w:t xml:space="preserve">Here the base average CPR over the first twelve months is 11.6%, it rises to 12.9% (1.10 times base) when rates fall 200bp and drops to 11.2% (0.96 times base) when they rise 200bp. This is the behaviour the end-2023 pool cannot show.</w:t>
      </w:r>
    </w:p>
    <w:p>
      <w:pPr>
        <w:pStyle w:val="TableCaption"/>
      </w:pPr>
      <w:r>
        <w:t xml:space="preserve">Model versus simulation truth, pool as of 31 December 2021.</w:t>
      </w:r>
    </w:p>
    <w:tbl>
      <w:tblPr>
        <w:tblStyle w:val="Table"/>
        <w:tblW w:type="pct" w:w="5000"/>
        <w:tblLayout w:type="fixed"/>
        <w:tblLook w:firstRow="1" w:lastRow="0" w:firstColumn="0" w:lastColumn="0" w:noHBand="0" w:noVBand="0" w:val="0020"/>
        <w:tblCaption w:val="Model versus simulation truth, pool as of 31 December 202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63"/>
        <w:gridCol w:w="1119"/>
        <w:gridCol w:w="1119"/>
        <w:gridCol w:w="1119"/>
        <w:gridCol w:w="1033"/>
        <w:gridCol w:w="1033"/>
        <w:gridCol w:w="1033"/>
      </w:tblGrid>
      <w:tr>
        <w:trPr>
          <w:tblHeader w:val="on"/>
        </w:trPr>
        <w:tc>
          <w:tcPr/>
          <w:p>
            <w:pPr>
              <w:pStyle w:val="Compact"/>
              <w:jc w:val="left"/>
            </w:pPr>
            <w:r>
              <w:rPr>
                <w:sz w:val="17"/>
              </w:rPr>
              <w:t xml:space="preserve">Scenario</w:t>
            </w:r>
          </w:p>
        </w:tc>
        <w:tc>
          <w:tcPr/>
          <w:p>
            <w:pPr>
              <w:pStyle w:val="Compact"/>
              <w:jc w:val="right"/>
            </w:pPr>
            <w:r>
              <w:rPr>
                <w:sz w:val="17"/>
              </w:rPr>
              <w:t xml:space="preserve">Model default</w:t>
            </w:r>
          </w:p>
        </w:tc>
        <w:tc>
          <w:tcPr/>
          <w:p>
            <w:pPr>
              <w:pStyle w:val="Compact"/>
              <w:jc w:val="right"/>
            </w:pPr>
            <w:r>
              <w:rPr>
                <w:sz w:val="17"/>
              </w:rPr>
              <w:t xml:space="preserve">Truth default</w:t>
            </w:r>
          </w:p>
        </w:tc>
        <w:tc>
          <w:tcPr/>
          <w:p>
            <w:pPr>
              <w:pStyle w:val="Compact"/>
              <w:jc w:val="right"/>
            </w:pPr>
            <w:r>
              <w:rPr>
                <w:sz w:val="17"/>
              </w:rPr>
              <w:t xml:space="preserve">Default error</w:t>
            </w:r>
          </w:p>
        </w:tc>
        <w:tc>
          <w:tcPr/>
          <w:p>
            <w:pPr>
              <w:pStyle w:val="Compact"/>
              <w:jc w:val="right"/>
            </w:pPr>
            <w:r>
              <w:rPr>
                <w:sz w:val="17"/>
              </w:rPr>
              <w:t xml:space="preserve">Model prepay</w:t>
            </w:r>
          </w:p>
        </w:tc>
        <w:tc>
          <w:tcPr/>
          <w:p>
            <w:pPr>
              <w:pStyle w:val="Compact"/>
              <w:jc w:val="right"/>
            </w:pPr>
            <w:r>
              <w:rPr>
                <w:sz w:val="17"/>
              </w:rPr>
              <w:t xml:space="preserve">Truth prepay</w:t>
            </w:r>
          </w:p>
        </w:tc>
        <w:tc>
          <w:tcPr/>
          <w:p>
            <w:pPr>
              <w:pStyle w:val="Compact"/>
              <w:jc w:val="right"/>
            </w:pPr>
            <w:r>
              <w:rPr>
                <w:sz w:val="17"/>
              </w:rPr>
              <w:t xml:space="preserve">Prepay error</w:t>
            </w:r>
          </w:p>
        </w:tc>
      </w:tr>
      <w:tr>
        <w:tc>
          <w:tcPr/>
          <w:p>
            <w:pPr>
              <w:pStyle w:val="Compact"/>
              <w:jc w:val="left"/>
            </w:pPr>
            <w:r>
              <w:rPr>
                <w:sz w:val="17"/>
              </w:rPr>
              <w:t xml:space="preserve">Base</w:t>
            </w:r>
          </w:p>
        </w:tc>
        <w:tc>
          <w:tcPr/>
          <w:p>
            <w:pPr>
              <w:pStyle w:val="Compact"/>
              <w:jc w:val="right"/>
            </w:pPr>
            <w:r>
              <w:rPr>
                <w:sz w:val="17"/>
              </w:rPr>
              <w:t xml:space="preserve">1.64</w:t>
            </w:r>
          </w:p>
        </w:tc>
        <w:tc>
          <w:tcPr/>
          <w:p>
            <w:pPr>
              <w:pStyle w:val="Compact"/>
              <w:jc w:val="right"/>
            </w:pPr>
            <w:r>
              <w:rPr>
                <w:sz w:val="17"/>
              </w:rPr>
              <w:t xml:space="preserve">1.63</w:t>
            </w:r>
          </w:p>
        </w:tc>
        <w:tc>
          <w:tcPr/>
          <w:p>
            <w:pPr>
              <w:pStyle w:val="Compact"/>
              <w:jc w:val="right"/>
            </w:pPr>
            <w:r>
              <w:rPr>
                <w:sz w:val="17"/>
              </w:rPr>
              <w:t xml:space="preserve">+1%</w:t>
            </w:r>
          </w:p>
        </w:tc>
        <w:tc>
          <w:tcPr/>
          <w:p>
            <w:pPr>
              <w:pStyle w:val="Compact"/>
              <w:jc w:val="right"/>
            </w:pPr>
            <w:r>
              <w:rPr>
                <w:sz w:val="17"/>
              </w:rPr>
              <w:t xml:space="preserve">11.57</w:t>
            </w:r>
          </w:p>
        </w:tc>
        <w:tc>
          <w:tcPr/>
          <w:p>
            <w:pPr>
              <w:pStyle w:val="Compact"/>
              <w:jc w:val="right"/>
            </w:pPr>
            <w:r>
              <w:rPr>
                <w:sz w:val="17"/>
              </w:rPr>
              <w:t xml:space="preserve">10.30</w:t>
            </w:r>
          </w:p>
        </w:tc>
        <w:tc>
          <w:tcPr/>
          <w:p>
            <w:pPr>
              <w:pStyle w:val="Compact"/>
              <w:jc w:val="right"/>
            </w:pPr>
            <w:r>
              <w:rPr>
                <w:sz w:val="17"/>
              </w:rPr>
              <w:t xml:space="preserve">+12%</w:t>
            </w:r>
          </w:p>
        </w:tc>
      </w:tr>
      <w:tr>
        <w:tc>
          <w:tcPr/>
          <w:p>
            <w:pPr>
              <w:pStyle w:val="Compact"/>
              <w:jc w:val="left"/>
            </w:pPr>
            <w:r>
              <w:rPr>
                <w:sz w:val="17"/>
              </w:rPr>
              <w:t xml:space="preserve">Rates +200bp</w:t>
            </w:r>
          </w:p>
        </w:tc>
        <w:tc>
          <w:tcPr/>
          <w:p>
            <w:pPr>
              <w:pStyle w:val="Compact"/>
              <w:jc w:val="right"/>
            </w:pPr>
            <w:r>
              <w:rPr>
                <w:sz w:val="17"/>
              </w:rPr>
              <w:t xml:space="preserve">1.65</w:t>
            </w:r>
          </w:p>
        </w:tc>
        <w:tc>
          <w:tcPr/>
          <w:p>
            <w:pPr>
              <w:pStyle w:val="Compact"/>
              <w:jc w:val="right"/>
            </w:pPr>
            <w:r>
              <w:rPr>
                <w:sz w:val="17"/>
              </w:rPr>
              <w:t xml:space="preserve">1.63</w:t>
            </w:r>
          </w:p>
        </w:tc>
        <w:tc>
          <w:tcPr/>
          <w:p>
            <w:pPr>
              <w:pStyle w:val="Compact"/>
              <w:jc w:val="right"/>
            </w:pPr>
            <w:r>
              <w:rPr>
                <w:sz w:val="17"/>
              </w:rPr>
              <w:t xml:space="preserve">+1%</w:t>
            </w:r>
          </w:p>
        </w:tc>
        <w:tc>
          <w:tcPr/>
          <w:p>
            <w:pPr>
              <w:pStyle w:val="Compact"/>
              <w:jc w:val="right"/>
            </w:pPr>
            <w:r>
              <w:rPr>
                <w:sz w:val="17"/>
              </w:rPr>
              <w:t xml:space="preserve">11.14</w:t>
            </w:r>
          </w:p>
        </w:tc>
        <w:tc>
          <w:tcPr/>
          <w:p>
            <w:pPr>
              <w:pStyle w:val="Compact"/>
              <w:jc w:val="right"/>
            </w:pPr>
            <w:r>
              <w:rPr>
                <w:sz w:val="17"/>
              </w:rPr>
              <w:t xml:space="preserve">10.01</w:t>
            </w:r>
          </w:p>
        </w:tc>
        <w:tc>
          <w:tcPr/>
          <w:p>
            <w:pPr>
              <w:pStyle w:val="Compact"/>
              <w:jc w:val="right"/>
            </w:pPr>
            <w:r>
              <w:rPr>
                <w:sz w:val="17"/>
              </w:rPr>
              <w:t xml:space="preserve">+11%</w:t>
            </w:r>
          </w:p>
        </w:tc>
      </w:tr>
      <w:tr>
        <w:tc>
          <w:tcPr/>
          <w:p>
            <w:pPr>
              <w:pStyle w:val="Compact"/>
              <w:jc w:val="left"/>
            </w:pPr>
            <w:r>
              <w:rPr>
                <w:sz w:val="17"/>
              </w:rPr>
              <w:t xml:space="preserve">Rates -200bp</w:t>
            </w:r>
          </w:p>
        </w:tc>
        <w:tc>
          <w:tcPr/>
          <w:p>
            <w:pPr>
              <w:pStyle w:val="Compact"/>
              <w:jc w:val="right"/>
            </w:pPr>
            <w:r>
              <w:rPr>
                <w:sz w:val="17"/>
              </w:rPr>
              <w:t xml:space="preserve">1.63</w:t>
            </w:r>
          </w:p>
        </w:tc>
        <w:tc>
          <w:tcPr/>
          <w:p>
            <w:pPr>
              <w:pStyle w:val="Compact"/>
              <w:jc w:val="right"/>
            </w:pPr>
            <w:r>
              <w:rPr>
                <w:sz w:val="17"/>
              </w:rPr>
              <w:t xml:space="preserve">1.62</w:t>
            </w:r>
          </w:p>
        </w:tc>
        <w:tc>
          <w:tcPr/>
          <w:p>
            <w:pPr>
              <w:pStyle w:val="Compact"/>
              <w:jc w:val="right"/>
            </w:pPr>
            <w:r>
              <w:rPr>
                <w:sz w:val="17"/>
              </w:rPr>
              <w:t xml:space="preserve">+1%</w:t>
            </w:r>
          </w:p>
        </w:tc>
        <w:tc>
          <w:tcPr/>
          <w:p>
            <w:pPr>
              <w:pStyle w:val="Compact"/>
              <w:jc w:val="right"/>
            </w:pPr>
            <w:r>
              <w:rPr>
                <w:sz w:val="17"/>
              </w:rPr>
              <w:t xml:space="preserve">12.77</w:t>
            </w:r>
          </w:p>
        </w:tc>
        <w:tc>
          <w:tcPr/>
          <w:p>
            <w:pPr>
              <w:pStyle w:val="Compact"/>
              <w:jc w:val="right"/>
            </w:pPr>
            <w:r>
              <w:rPr>
                <w:sz w:val="17"/>
              </w:rPr>
              <w:t xml:space="preserve">11.15</w:t>
            </w:r>
          </w:p>
        </w:tc>
        <w:tc>
          <w:tcPr/>
          <w:p>
            <w:pPr>
              <w:pStyle w:val="Compact"/>
              <w:jc w:val="right"/>
            </w:pPr>
            <w:r>
              <w:rPr>
                <w:sz w:val="17"/>
              </w:rPr>
              <w:t xml:space="preserve">+15%</w:t>
            </w:r>
          </w:p>
        </w:tc>
      </w:tr>
      <w:tr>
        <w:tc>
          <w:tcPr/>
          <w:p>
            <w:pPr>
              <w:pStyle w:val="Compact"/>
              <w:jc w:val="left"/>
            </w:pPr>
            <w:r>
              <w:rPr>
                <w:sz w:val="17"/>
              </w:rPr>
              <w:t xml:space="preserve">HPI -20%</w:t>
            </w:r>
          </w:p>
        </w:tc>
        <w:tc>
          <w:tcPr/>
          <w:p>
            <w:pPr>
              <w:pStyle w:val="Compact"/>
              <w:jc w:val="right"/>
            </w:pPr>
            <w:r>
              <w:rPr>
                <w:sz w:val="17"/>
              </w:rPr>
              <w:t xml:space="preserve">1.89</w:t>
            </w:r>
          </w:p>
        </w:tc>
        <w:tc>
          <w:tcPr/>
          <w:p>
            <w:pPr>
              <w:pStyle w:val="Compact"/>
              <w:jc w:val="right"/>
            </w:pPr>
            <w:r>
              <w:rPr>
                <w:sz w:val="17"/>
              </w:rPr>
              <w:t xml:space="preserve">3.03</w:t>
            </w:r>
          </w:p>
        </w:tc>
        <w:tc>
          <w:tcPr/>
          <w:p>
            <w:pPr>
              <w:pStyle w:val="Compact"/>
              <w:jc w:val="right"/>
            </w:pPr>
            <w:r>
              <w:rPr>
                <w:sz w:val="17"/>
              </w:rPr>
              <w:t xml:space="preserve">-38%</w:t>
            </w:r>
          </w:p>
        </w:tc>
        <w:tc>
          <w:tcPr/>
          <w:p>
            <w:pPr>
              <w:pStyle w:val="Compact"/>
              <w:jc w:val="right"/>
            </w:pPr>
            <w:r>
              <w:rPr>
                <w:sz w:val="17"/>
              </w:rPr>
              <w:t xml:space="preserve">11.21</w:t>
            </w:r>
          </w:p>
        </w:tc>
        <w:tc>
          <w:tcPr/>
          <w:p>
            <w:pPr>
              <w:pStyle w:val="Compact"/>
              <w:jc w:val="right"/>
            </w:pPr>
            <w:r>
              <w:rPr>
                <w:sz w:val="17"/>
              </w:rPr>
              <w:t xml:space="preserve">10.25</w:t>
            </w:r>
          </w:p>
        </w:tc>
        <w:tc>
          <w:tcPr/>
          <w:p>
            <w:pPr>
              <w:pStyle w:val="Compact"/>
              <w:jc w:val="right"/>
            </w:pPr>
            <w:r>
              <w:rPr>
                <w:sz w:val="17"/>
              </w:rPr>
              <w:t xml:space="preserve">+9%</w:t>
            </w:r>
          </w:p>
        </w:tc>
      </w:tr>
      <w:tr>
        <w:tc>
          <w:tcPr/>
          <w:p>
            <w:pPr>
              <w:pStyle w:val="Compact"/>
              <w:jc w:val="left"/>
            </w:pPr>
            <w:r>
              <w:rPr>
                <w:sz w:val="17"/>
              </w:rPr>
              <w:t xml:space="preserve">Unemployment +4pt</w:t>
            </w:r>
          </w:p>
        </w:tc>
        <w:tc>
          <w:tcPr/>
          <w:p>
            <w:pPr>
              <w:pStyle w:val="Compact"/>
              <w:jc w:val="right"/>
            </w:pPr>
            <w:r>
              <w:rPr>
                <w:sz w:val="17"/>
              </w:rPr>
              <w:t xml:space="preserve">2.03</w:t>
            </w:r>
          </w:p>
        </w:tc>
        <w:tc>
          <w:tcPr/>
          <w:p>
            <w:pPr>
              <w:pStyle w:val="Compact"/>
              <w:jc w:val="right"/>
            </w:pPr>
            <w:r>
              <w:rPr>
                <w:sz w:val="17"/>
              </w:rPr>
              <w:t xml:space="preserve">2.74</w:t>
            </w:r>
          </w:p>
        </w:tc>
        <w:tc>
          <w:tcPr/>
          <w:p>
            <w:pPr>
              <w:pStyle w:val="Compact"/>
              <w:jc w:val="right"/>
            </w:pPr>
            <w:r>
              <w:rPr>
                <w:sz w:val="17"/>
              </w:rPr>
              <w:t xml:space="preserve">-26%</w:t>
            </w:r>
          </w:p>
        </w:tc>
        <w:tc>
          <w:tcPr/>
          <w:p>
            <w:pPr>
              <w:pStyle w:val="Compact"/>
              <w:jc w:val="right"/>
            </w:pPr>
            <w:r>
              <w:rPr>
                <w:sz w:val="17"/>
              </w:rPr>
              <w:t xml:space="preserve">11.56</w:t>
            </w:r>
          </w:p>
        </w:tc>
        <w:tc>
          <w:tcPr/>
          <w:p>
            <w:pPr>
              <w:pStyle w:val="Compact"/>
              <w:jc w:val="right"/>
            </w:pPr>
            <w:r>
              <w:rPr>
                <w:sz w:val="17"/>
              </w:rPr>
              <w:t xml:space="preserve">10.23</w:t>
            </w:r>
          </w:p>
        </w:tc>
        <w:tc>
          <w:tcPr/>
          <w:p>
            <w:pPr>
              <w:pStyle w:val="Compact"/>
              <w:jc w:val="right"/>
            </w:pPr>
            <w:r>
              <w:rPr>
                <w:sz w:val="17"/>
              </w:rPr>
              <w:t xml:space="preserve">+13%</w:t>
            </w:r>
          </w:p>
        </w:tc>
      </w:tr>
      <w:tr>
        <w:tc>
          <w:tcPr/>
          <w:p>
            <w:pPr>
              <w:pStyle w:val="Compact"/>
              <w:jc w:val="left"/>
            </w:pPr>
            <w:r>
              <w:rPr>
                <w:sz w:val="17"/>
              </w:rPr>
              <w:t xml:space="preserve">Adverse combined</w:t>
            </w:r>
          </w:p>
        </w:tc>
        <w:tc>
          <w:tcPr/>
          <w:p>
            <w:pPr>
              <w:pStyle w:val="Compact"/>
              <w:jc w:val="right"/>
            </w:pPr>
            <w:r>
              <w:rPr>
                <w:sz w:val="17"/>
              </w:rPr>
              <w:t xml:space="preserve">2.35</w:t>
            </w:r>
          </w:p>
        </w:tc>
        <w:tc>
          <w:tcPr/>
          <w:p>
            <w:pPr>
              <w:pStyle w:val="Compact"/>
              <w:jc w:val="right"/>
            </w:pPr>
            <w:r>
              <w:rPr>
                <w:sz w:val="17"/>
              </w:rPr>
              <w:t xml:space="preserve">5.62</w:t>
            </w:r>
          </w:p>
        </w:tc>
        <w:tc>
          <w:tcPr/>
          <w:p>
            <w:pPr>
              <w:pStyle w:val="Compact"/>
              <w:jc w:val="right"/>
            </w:pPr>
            <w:r>
              <w:rPr>
                <w:sz w:val="17"/>
              </w:rPr>
              <w:t xml:space="preserve">-58%</w:t>
            </w:r>
          </w:p>
        </w:tc>
        <w:tc>
          <w:tcPr/>
          <w:p>
            <w:pPr>
              <w:pStyle w:val="Compact"/>
              <w:jc w:val="right"/>
            </w:pPr>
            <w:r>
              <w:rPr>
                <w:sz w:val="17"/>
              </w:rPr>
              <w:t xml:space="preserve">10.76</w:t>
            </w:r>
          </w:p>
        </w:tc>
        <w:tc>
          <w:tcPr/>
          <w:p>
            <w:pPr>
              <w:pStyle w:val="Compact"/>
              <w:jc w:val="right"/>
            </w:pPr>
            <w:r>
              <w:rPr>
                <w:sz w:val="17"/>
              </w:rPr>
              <w:t xml:space="preserve">9.83</w:t>
            </w:r>
          </w:p>
        </w:tc>
        <w:tc>
          <w:tcPr/>
          <w:p>
            <w:pPr>
              <w:pStyle w:val="Compact"/>
              <w:jc w:val="right"/>
            </w:pPr>
            <w:r>
              <w:rPr>
                <w:sz w:val="17"/>
              </w:rPr>
              <w:t xml:space="preserve">+9%</w:t>
            </w:r>
          </w:p>
        </w:tc>
      </w:tr>
    </w:tbl>
    <w:p>
      <w:pPr>
        <w:pStyle w:val="BodyText"/>
      </w:pPr>
      <w:r>
        <w:t xml:space="preserve">In this pool the model agrees with simulation truth on the base 12-month default rate (error +1%), so the base-case bias at end-2023 is a feature of that pool, but the model still under-reacts to stress (house prices -38%, combined -58%), and it over-predicts base prepayment by +12%, which is a level error to be aware of when using the rate sensitivity.</w:t>
      </w:r>
    </w:p>
    <w:bookmarkEnd w:id="116"/>
    <w:bookmarkStart w:id="120" w:name="model-against-simulation-truth"/>
    <w:p>
      <w:pPr>
        <w:pStyle w:val="Heading2"/>
      </w:pPr>
      <w:r>
        <w:rPr>
          <w:rStyle w:val="SectionNumber"/>
        </w:rPr>
        <w:t xml:space="preserve">10.4</w:t>
      </w:r>
      <w:r>
        <w:tab/>
      </w:r>
      <w:r>
        <w:t xml:space="preserve">Model against simulation truth</w:t>
      </w:r>
    </w:p>
    <w:p>
      <w:pPr>
        <w:pStyle w:val="FirstParagraph"/>
      </w:pPr>
      <w:r>
        <w:t xml:space="preserve">Because the simulator has an exact DGP, the scenario engine can be compared with a "truth" projection that evaluates the true hazards (and the true 30, 60 and 90 day roll chain) on the same shocked paths. This is a</w:t>
      </w:r>
      <w:r>
        <w:t xml:space="preserve"> </w:t>
      </w:r>
      <w:r>
        <w:rPr>
          <w:b/>
          <w:bCs/>
        </w:rPr>
        <w:t xml:space="preserve">methodology check specific to synthetic data</w:t>
      </w:r>
      <w:r>
        <w:t xml:space="preserve">; it has no analogue on real data.</w:t>
      </w:r>
    </w:p>
    <w:p>
      <w:pPr>
        <w:pStyle w:val="CaptionedFigure"/>
      </w:pPr>
      <w:r>
        <w:drawing>
          <wp:inline>
            <wp:extent cx="5067300" cy="2072986"/>
            <wp:effectExtent b="0" l="0" r="0" t="0"/>
            <wp:docPr descr="Model and simulation-truth expected 12-month default and prepay rates by scenario." title="" id="118" name="Picture"/>
            <a:graphic>
              <a:graphicData uri="http://schemas.openxmlformats.org/drawingml/2006/picture">
                <pic:pic>
                  <pic:nvPicPr>
                    <pic:cNvPr descr="../python/outputs/charts/model_vs_truth.png" id="119" name="Picture"/>
                    <pic:cNvPicPr>
                      <a:picLocks noChangeArrowheads="1" noChangeAspect="1"/>
                    </pic:cNvPicPr>
                  </pic:nvPicPr>
                  <pic:blipFill>
                    <a:blip r:embed="rId117"/>
                    <a:stretch>
                      <a:fillRect/>
                    </a:stretch>
                  </pic:blipFill>
                  <pic:spPr bwMode="auto">
                    <a:xfrm>
                      <a:off x="0" y="0"/>
                      <a:ext cx="5067300" cy="2072986"/>
                    </a:xfrm>
                    <a:prstGeom prst="rect">
                      <a:avLst/>
                    </a:prstGeom>
                    <a:noFill/>
                    <a:ln w="9525">
                      <a:noFill/>
                      <a:headEnd/>
                      <a:tailEnd/>
                    </a:ln>
                  </pic:spPr>
                </pic:pic>
              </a:graphicData>
            </a:graphic>
          </wp:inline>
        </w:drawing>
      </w:r>
    </w:p>
    <w:p>
      <w:pPr>
        <w:pStyle w:val="ImageCaption"/>
      </w:pPr>
      <w:r>
        <w:t xml:space="preserve">Model and simulation-truth expected 12-month default and prepay rates by scenario.</w:t>
      </w:r>
    </w:p>
    <w:p>
      <w:pPr>
        <w:pStyle w:val="TableCaption"/>
      </w:pPr>
      <w:r>
        <w:t xml:space="preserve">Model against simulation truth, 12 months, percent of starting balance. Errors are model divided by truth minus one.</w:t>
      </w:r>
    </w:p>
    <w:tbl>
      <w:tblPr>
        <w:tblStyle w:val="Table"/>
        <w:tblW w:type="pct" w:w="5000"/>
        <w:tblLayout w:type="fixed"/>
        <w:tblLook w:firstRow="1" w:lastRow="0" w:firstColumn="0" w:lastColumn="0" w:noHBand="0" w:noVBand="0" w:val="0020"/>
        <w:tblCaption w:val="Model against simulation truth, 12 months, percent of starting balance. Errors are model divided by truth minus on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63"/>
        <w:gridCol w:w="1119"/>
        <w:gridCol w:w="1119"/>
        <w:gridCol w:w="1119"/>
        <w:gridCol w:w="1033"/>
        <w:gridCol w:w="1033"/>
        <w:gridCol w:w="1033"/>
      </w:tblGrid>
      <w:tr>
        <w:trPr>
          <w:tblHeader w:val="on"/>
        </w:trPr>
        <w:tc>
          <w:tcPr/>
          <w:p>
            <w:pPr>
              <w:pStyle w:val="Compact"/>
              <w:jc w:val="left"/>
            </w:pPr>
            <w:r>
              <w:rPr>
                <w:sz w:val="17"/>
              </w:rPr>
              <w:t xml:space="preserve">Scenario</w:t>
            </w:r>
          </w:p>
        </w:tc>
        <w:tc>
          <w:tcPr/>
          <w:p>
            <w:pPr>
              <w:pStyle w:val="Compact"/>
              <w:jc w:val="right"/>
            </w:pPr>
            <w:r>
              <w:rPr>
                <w:sz w:val="17"/>
              </w:rPr>
              <w:t xml:space="preserve">Model default</w:t>
            </w:r>
          </w:p>
        </w:tc>
        <w:tc>
          <w:tcPr/>
          <w:p>
            <w:pPr>
              <w:pStyle w:val="Compact"/>
              <w:jc w:val="right"/>
            </w:pPr>
            <w:r>
              <w:rPr>
                <w:sz w:val="17"/>
              </w:rPr>
              <w:t xml:space="preserve">Truth default</w:t>
            </w:r>
          </w:p>
        </w:tc>
        <w:tc>
          <w:tcPr/>
          <w:p>
            <w:pPr>
              <w:pStyle w:val="Compact"/>
              <w:jc w:val="right"/>
            </w:pPr>
            <w:r>
              <w:rPr>
                <w:sz w:val="17"/>
              </w:rPr>
              <w:t xml:space="preserve">Default error</w:t>
            </w:r>
          </w:p>
        </w:tc>
        <w:tc>
          <w:tcPr/>
          <w:p>
            <w:pPr>
              <w:pStyle w:val="Compact"/>
              <w:jc w:val="right"/>
            </w:pPr>
            <w:r>
              <w:rPr>
                <w:sz w:val="17"/>
              </w:rPr>
              <w:t xml:space="preserve">Model prepay</w:t>
            </w:r>
          </w:p>
        </w:tc>
        <w:tc>
          <w:tcPr/>
          <w:p>
            <w:pPr>
              <w:pStyle w:val="Compact"/>
              <w:jc w:val="right"/>
            </w:pPr>
            <w:r>
              <w:rPr>
                <w:sz w:val="17"/>
              </w:rPr>
              <w:t xml:space="preserve">Truth prepay</w:t>
            </w:r>
          </w:p>
        </w:tc>
        <w:tc>
          <w:tcPr/>
          <w:p>
            <w:pPr>
              <w:pStyle w:val="Compact"/>
              <w:jc w:val="right"/>
            </w:pPr>
            <w:r>
              <w:rPr>
                <w:sz w:val="17"/>
              </w:rPr>
              <w:t xml:space="preserve">Prepay error</w:t>
            </w:r>
          </w:p>
        </w:tc>
      </w:tr>
      <w:tr>
        <w:tc>
          <w:tcPr/>
          <w:p>
            <w:pPr>
              <w:pStyle w:val="Compact"/>
              <w:jc w:val="left"/>
            </w:pPr>
            <w:r>
              <w:rPr>
                <w:sz w:val="17"/>
              </w:rPr>
              <w:t xml:space="preserve">Base</w:t>
            </w:r>
          </w:p>
        </w:tc>
        <w:tc>
          <w:tcPr/>
          <w:p>
            <w:pPr>
              <w:pStyle w:val="Compact"/>
              <w:jc w:val="right"/>
            </w:pPr>
            <w:r>
              <w:rPr>
                <w:sz w:val="17"/>
              </w:rPr>
              <w:t xml:space="preserve">1.09</w:t>
            </w:r>
          </w:p>
        </w:tc>
        <w:tc>
          <w:tcPr/>
          <w:p>
            <w:pPr>
              <w:pStyle w:val="Compact"/>
              <w:jc w:val="right"/>
            </w:pPr>
            <w:r>
              <w:rPr>
                <w:sz w:val="17"/>
              </w:rPr>
              <w:t xml:space="preserve">1.37</w:t>
            </w:r>
          </w:p>
        </w:tc>
        <w:tc>
          <w:tcPr/>
          <w:p>
            <w:pPr>
              <w:pStyle w:val="Compact"/>
              <w:jc w:val="right"/>
            </w:pPr>
            <w:r>
              <w:rPr>
                <w:sz w:val="17"/>
              </w:rPr>
              <w:t xml:space="preserve">-20%</w:t>
            </w:r>
          </w:p>
        </w:tc>
        <w:tc>
          <w:tcPr/>
          <w:p>
            <w:pPr>
              <w:pStyle w:val="Compact"/>
              <w:jc w:val="right"/>
            </w:pPr>
            <w:r>
              <w:rPr>
                <w:sz w:val="17"/>
              </w:rPr>
              <w:t xml:space="preserve">11.38</w:t>
            </w:r>
          </w:p>
        </w:tc>
        <w:tc>
          <w:tcPr/>
          <w:p>
            <w:pPr>
              <w:pStyle w:val="Compact"/>
              <w:jc w:val="right"/>
            </w:pPr>
            <w:r>
              <w:rPr>
                <w:sz w:val="17"/>
              </w:rPr>
              <w:t xml:space="preserve">12.02</w:t>
            </w:r>
          </w:p>
        </w:tc>
        <w:tc>
          <w:tcPr/>
          <w:p>
            <w:pPr>
              <w:pStyle w:val="Compact"/>
              <w:jc w:val="right"/>
            </w:pPr>
            <w:r>
              <w:rPr>
                <w:sz w:val="17"/>
              </w:rPr>
              <w:t xml:space="preserve">-5%</w:t>
            </w:r>
          </w:p>
        </w:tc>
      </w:tr>
      <w:tr>
        <w:tc>
          <w:tcPr/>
          <w:p>
            <w:pPr>
              <w:pStyle w:val="Compact"/>
              <w:jc w:val="left"/>
            </w:pPr>
            <w:r>
              <w:rPr>
                <w:sz w:val="17"/>
              </w:rPr>
              <w:t xml:space="preserve">Rates +200bp</w:t>
            </w:r>
          </w:p>
        </w:tc>
        <w:tc>
          <w:tcPr/>
          <w:p>
            <w:pPr>
              <w:pStyle w:val="Compact"/>
              <w:jc w:val="right"/>
            </w:pPr>
            <w:r>
              <w:rPr>
                <w:sz w:val="17"/>
              </w:rPr>
              <w:t xml:space="preserve">1.09</w:t>
            </w:r>
          </w:p>
        </w:tc>
        <w:tc>
          <w:tcPr/>
          <w:p>
            <w:pPr>
              <w:pStyle w:val="Compact"/>
              <w:jc w:val="right"/>
            </w:pPr>
            <w:r>
              <w:rPr>
                <w:sz w:val="17"/>
              </w:rPr>
              <w:t xml:space="preserve">1.37</w:t>
            </w:r>
          </w:p>
        </w:tc>
        <w:tc>
          <w:tcPr/>
          <w:p>
            <w:pPr>
              <w:pStyle w:val="Compact"/>
              <w:jc w:val="right"/>
            </w:pPr>
            <w:r>
              <w:rPr>
                <w:sz w:val="17"/>
              </w:rPr>
              <w:t xml:space="preserve">-20%</w:t>
            </w:r>
          </w:p>
        </w:tc>
        <w:tc>
          <w:tcPr/>
          <w:p>
            <w:pPr>
              <w:pStyle w:val="Compact"/>
              <w:jc w:val="right"/>
            </w:pPr>
            <w:r>
              <w:rPr>
                <w:sz w:val="17"/>
              </w:rPr>
              <w:t xml:space="preserve">11.38</w:t>
            </w:r>
          </w:p>
        </w:tc>
        <w:tc>
          <w:tcPr/>
          <w:p>
            <w:pPr>
              <w:pStyle w:val="Compact"/>
              <w:jc w:val="right"/>
            </w:pPr>
            <w:r>
              <w:rPr>
                <w:sz w:val="17"/>
              </w:rPr>
              <w:t xml:space="preserve">12.02</w:t>
            </w:r>
          </w:p>
        </w:tc>
        <w:tc>
          <w:tcPr/>
          <w:p>
            <w:pPr>
              <w:pStyle w:val="Compact"/>
              <w:jc w:val="right"/>
            </w:pPr>
            <w:r>
              <w:rPr>
                <w:sz w:val="17"/>
              </w:rPr>
              <w:t xml:space="preserve">-5%</w:t>
            </w:r>
          </w:p>
        </w:tc>
      </w:tr>
      <w:tr>
        <w:tc>
          <w:tcPr/>
          <w:p>
            <w:pPr>
              <w:pStyle w:val="Compact"/>
              <w:jc w:val="left"/>
            </w:pPr>
            <w:r>
              <w:rPr>
                <w:sz w:val="17"/>
              </w:rPr>
              <w:t xml:space="preserve">Rates -200bp</w:t>
            </w:r>
          </w:p>
        </w:tc>
        <w:tc>
          <w:tcPr/>
          <w:p>
            <w:pPr>
              <w:pStyle w:val="Compact"/>
              <w:jc w:val="right"/>
            </w:pPr>
            <w:r>
              <w:rPr>
                <w:sz w:val="17"/>
              </w:rPr>
              <w:t xml:space="preserve">1.09</w:t>
            </w:r>
          </w:p>
        </w:tc>
        <w:tc>
          <w:tcPr/>
          <w:p>
            <w:pPr>
              <w:pStyle w:val="Compact"/>
              <w:jc w:val="right"/>
            </w:pPr>
            <w:r>
              <w:rPr>
                <w:sz w:val="17"/>
              </w:rPr>
              <w:t xml:space="preserve">1.37</w:t>
            </w:r>
          </w:p>
        </w:tc>
        <w:tc>
          <w:tcPr/>
          <w:p>
            <w:pPr>
              <w:pStyle w:val="Compact"/>
              <w:jc w:val="right"/>
            </w:pPr>
            <w:r>
              <w:rPr>
                <w:sz w:val="17"/>
              </w:rPr>
              <w:t xml:space="preserve">-21%</w:t>
            </w:r>
          </w:p>
        </w:tc>
        <w:tc>
          <w:tcPr/>
          <w:p>
            <w:pPr>
              <w:pStyle w:val="Compact"/>
              <w:jc w:val="right"/>
            </w:pPr>
            <w:r>
              <w:rPr>
                <w:sz w:val="17"/>
              </w:rPr>
              <w:t xml:space="preserve">11.40</w:t>
            </w:r>
          </w:p>
        </w:tc>
        <w:tc>
          <w:tcPr/>
          <w:p>
            <w:pPr>
              <w:pStyle w:val="Compact"/>
              <w:jc w:val="right"/>
            </w:pPr>
            <w:r>
              <w:rPr>
                <w:sz w:val="17"/>
              </w:rPr>
              <w:t xml:space="preserve">12.06</w:t>
            </w:r>
          </w:p>
        </w:tc>
        <w:tc>
          <w:tcPr/>
          <w:p>
            <w:pPr>
              <w:pStyle w:val="Compact"/>
              <w:jc w:val="right"/>
            </w:pPr>
            <w:r>
              <w:rPr>
                <w:sz w:val="17"/>
              </w:rPr>
              <w:t xml:space="preserve">-5%</w:t>
            </w:r>
          </w:p>
        </w:tc>
      </w:tr>
      <w:tr>
        <w:tc>
          <w:tcPr/>
          <w:p>
            <w:pPr>
              <w:pStyle w:val="Compact"/>
              <w:jc w:val="left"/>
            </w:pPr>
            <w:r>
              <w:rPr>
                <w:sz w:val="17"/>
              </w:rPr>
              <w:t xml:space="preserve">HPI -20%</w:t>
            </w:r>
          </w:p>
        </w:tc>
        <w:tc>
          <w:tcPr/>
          <w:p>
            <w:pPr>
              <w:pStyle w:val="Compact"/>
              <w:jc w:val="right"/>
            </w:pPr>
            <w:r>
              <w:rPr>
                <w:sz w:val="17"/>
              </w:rPr>
              <w:t xml:space="preserve">1.18</w:t>
            </w:r>
          </w:p>
        </w:tc>
        <w:tc>
          <w:tcPr/>
          <w:p>
            <w:pPr>
              <w:pStyle w:val="Compact"/>
              <w:jc w:val="right"/>
            </w:pPr>
            <w:r>
              <w:rPr>
                <w:sz w:val="17"/>
              </w:rPr>
              <w:t xml:space="preserve">1.81</w:t>
            </w:r>
          </w:p>
        </w:tc>
        <w:tc>
          <w:tcPr/>
          <w:p>
            <w:pPr>
              <w:pStyle w:val="Compact"/>
              <w:jc w:val="right"/>
            </w:pPr>
            <w:r>
              <w:rPr>
                <w:sz w:val="17"/>
              </w:rPr>
              <w:t xml:space="preserve">-35%</w:t>
            </w:r>
          </w:p>
        </w:tc>
        <w:tc>
          <w:tcPr/>
          <w:p>
            <w:pPr>
              <w:pStyle w:val="Compact"/>
              <w:jc w:val="right"/>
            </w:pPr>
            <w:r>
              <w:rPr>
                <w:sz w:val="17"/>
              </w:rPr>
              <w:t xml:space="preserve">11.33</w:t>
            </w:r>
          </w:p>
        </w:tc>
        <w:tc>
          <w:tcPr/>
          <w:p>
            <w:pPr>
              <w:pStyle w:val="Compact"/>
              <w:jc w:val="right"/>
            </w:pPr>
            <w:r>
              <w:rPr>
                <w:sz w:val="17"/>
              </w:rPr>
              <w:t xml:space="preserve">11.99</w:t>
            </w:r>
          </w:p>
        </w:tc>
        <w:tc>
          <w:tcPr/>
          <w:p>
            <w:pPr>
              <w:pStyle w:val="Compact"/>
              <w:jc w:val="right"/>
            </w:pPr>
            <w:r>
              <w:rPr>
                <w:sz w:val="17"/>
              </w:rPr>
              <w:t xml:space="preserve">-6%</w:t>
            </w:r>
          </w:p>
        </w:tc>
      </w:tr>
      <w:tr>
        <w:tc>
          <w:tcPr/>
          <w:p>
            <w:pPr>
              <w:pStyle w:val="Compact"/>
              <w:jc w:val="left"/>
            </w:pPr>
            <w:r>
              <w:rPr>
                <w:sz w:val="17"/>
              </w:rPr>
              <w:t xml:space="preserve">Unemployment +4pt</w:t>
            </w:r>
          </w:p>
        </w:tc>
        <w:tc>
          <w:tcPr/>
          <w:p>
            <w:pPr>
              <w:pStyle w:val="Compact"/>
              <w:jc w:val="right"/>
            </w:pPr>
            <w:r>
              <w:rPr>
                <w:sz w:val="17"/>
              </w:rPr>
              <w:t xml:space="preserve">1.45</w:t>
            </w:r>
          </w:p>
        </w:tc>
        <w:tc>
          <w:tcPr/>
          <w:p>
            <w:pPr>
              <w:pStyle w:val="Compact"/>
              <w:jc w:val="right"/>
            </w:pPr>
            <w:r>
              <w:rPr>
                <w:sz w:val="17"/>
              </w:rPr>
              <w:t xml:space="preserve">2.30</w:t>
            </w:r>
          </w:p>
        </w:tc>
        <w:tc>
          <w:tcPr/>
          <w:p>
            <w:pPr>
              <w:pStyle w:val="Compact"/>
              <w:jc w:val="right"/>
            </w:pPr>
            <w:r>
              <w:rPr>
                <w:sz w:val="17"/>
              </w:rPr>
              <w:t xml:space="preserve">-37%</w:t>
            </w:r>
          </w:p>
        </w:tc>
        <w:tc>
          <w:tcPr/>
          <w:p>
            <w:pPr>
              <w:pStyle w:val="Compact"/>
              <w:jc w:val="right"/>
            </w:pPr>
            <w:r>
              <w:rPr>
                <w:sz w:val="17"/>
              </w:rPr>
              <w:t xml:space="preserve">11.37</w:t>
            </w:r>
          </w:p>
        </w:tc>
        <w:tc>
          <w:tcPr/>
          <w:p>
            <w:pPr>
              <w:pStyle w:val="Compact"/>
              <w:jc w:val="right"/>
            </w:pPr>
            <w:r>
              <w:rPr>
                <w:sz w:val="17"/>
              </w:rPr>
              <w:t xml:space="preserve">11.95</w:t>
            </w:r>
          </w:p>
        </w:tc>
        <w:tc>
          <w:tcPr/>
          <w:p>
            <w:pPr>
              <w:pStyle w:val="Compact"/>
              <w:jc w:val="right"/>
            </w:pPr>
            <w:r>
              <w:rPr>
                <w:sz w:val="17"/>
              </w:rPr>
              <w:t xml:space="preserve">-5%</w:t>
            </w:r>
          </w:p>
        </w:tc>
      </w:tr>
      <w:tr>
        <w:tc>
          <w:tcPr/>
          <w:p>
            <w:pPr>
              <w:pStyle w:val="Compact"/>
              <w:jc w:val="left"/>
            </w:pPr>
            <w:r>
              <w:rPr>
                <w:sz w:val="17"/>
              </w:rPr>
              <w:t xml:space="preserve">Adverse combined</w:t>
            </w:r>
          </w:p>
        </w:tc>
        <w:tc>
          <w:tcPr/>
          <w:p>
            <w:pPr>
              <w:pStyle w:val="Compact"/>
              <w:jc w:val="right"/>
            </w:pPr>
            <w:r>
              <w:rPr>
                <w:sz w:val="17"/>
              </w:rPr>
              <w:t xml:space="preserve">1.56</w:t>
            </w:r>
          </w:p>
        </w:tc>
        <w:tc>
          <w:tcPr/>
          <w:p>
            <w:pPr>
              <w:pStyle w:val="Compact"/>
              <w:jc w:val="right"/>
            </w:pPr>
            <w:r>
              <w:rPr>
                <w:sz w:val="17"/>
              </w:rPr>
              <w:t xml:space="preserve">3.26</w:t>
            </w:r>
          </w:p>
        </w:tc>
        <w:tc>
          <w:tcPr/>
          <w:p>
            <w:pPr>
              <w:pStyle w:val="Compact"/>
              <w:jc w:val="right"/>
            </w:pPr>
            <w:r>
              <w:rPr>
                <w:sz w:val="17"/>
              </w:rPr>
              <w:t xml:space="preserve">-52%</w:t>
            </w:r>
          </w:p>
        </w:tc>
        <w:tc>
          <w:tcPr/>
          <w:p>
            <w:pPr>
              <w:pStyle w:val="Compact"/>
              <w:jc w:val="right"/>
            </w:pPr>
            <w:r>
              <w:rPr>
                <w:sz w:val="17"/>
              </w:rPr>
              <w:t xml:space="preserve">11.31</w:t>
            </w:r>
          </w:p>
        </w:tc>
        <w:tc>
          <w:tcPr/>
          <w:p>
            <w:pPr>
              <w:pStyle w:val="Compact"/>
              <w:jc w:val="right"/>
            </w:pPr>
            <w:r>
              <w:rPr>
                <w:sz w:val="17"/>
              </w:rPr>
              <w:t xml:space="preserve">11.88</w:t>
            </w:r>
          </w:p>
        </w:tc>
        <w:tc>
          <w:tcPr/>
          <w:p>
            <w:pPr>
              <w:pStyle w:val="Compact"/>
              <w:jc w:val="right"/>
            </w:pPr>
            <w:r>
              <w:rPr>
                <w:sz w:val="17"/>
              </w:rPr>
              <w:t xml:space="preserve">-5%</w:t>
            </w:r>
          </w:p>
        </w:tc>
      </w:tr>
    </w:tbl>
    <w:p>
      <w:pPr>
        <w:pStyle w:val="BodyText"/>
      </w:pPr>
      <w:r>
        <w:t xml:space="preserve">Prepayments are within about ten percent of truth in every scenario (errors of -5% in the base case and -5% in the adverse case).</w:t>
      </w:r>
      <w:r>
        <w:t xml:space="preserve"> </w:t>
      </w:r>
      <w:r>
        <w:rPr>
          <w:b/>
          <w:bCs/>
        </w:rPr>
        <w:t xml:space="preserve">Defaults are not.</w:t>
      </w:r>
      <w:r>
        <w:t xml:space="preserve"> </w:t>
      </w:r>
      <w:r>
        <w:t xml:space="preserve">In the base case the model is -20% below truth (1.09% against 1.37%), which is inside the project's own tolerance of 25%, but the shortfall widens with stress: -35% for house prices, -37% for unemployment and -52% for the combined scenario (1.56% against 3.26%). In total 3 of the six scenarios exceed the 25% tolerance. Under unemployment +4 points the truth rises by 68% and the model by 33%; under the combined scenario the truth is 2.38 times base and the model only 1.43 times.</w:t>
      </w:r>
    </w:p>
    <w:p>
      <w:pPr>
        <w:pStyle w:val="BodyText"/>
      </w:pPr>
      <w:r>
        <w:rPr>
          <w:b/>
          <w:bCs/>
        </w:rPr>
        <w:t xml:space="preserve">Why the model under-reacts: trees cannot extrapolate.</w:t>
      </w:r>
      <w:r>
        <w:t xml:space="preserve"> </w:t>
      </w:r>
      <w:r>
        <w:t xml:space="preserve">A tree-based model is a piecewise-constant function of its inputs; outside the range seen in training, its output is whatever the outermost leaf says, even though the underlying true relationship continues. The stress scenarios push the inputs beyond that range. In training, the 12-month house price change never fell below 3.5% (the full range was 3.5% to 7.3%), so the model has no information about falling prices, yet the DGP adds default risk precisely when prices fall; the HPI -20% scenario therefore sits entirely in unseen territory. Similarly, unemployment in training peaked at 8.6 percent while the +4 point shock moves state rates toward and past that level. Monotone constraints keep the response non-decreasing but do not add slope where the data have none. The base-case error is pool specific rather than a constant bias. For the end-2023 pool it is -20%; for the 2021 pool in section 10.3 it is only +1%, whereas the stress errors persist there (-38% for house prices and -58% for the combined scenario). The end-2023 pool is dominated by seasoned, low-PD loans, which is exactly where the observed-to-predicted calibration ratio is largest (up to 2.47 in bin 3 of section 8.3), so the same calibration weakness shows up as a larger relative error. Two smaller sources apply to every pool: the frozen delinquency status and the use of a cumulative-incidence PD as a hazard.</w:t>
      </w:r>
    </w:p>
    <w:p>
      <w:pPr>
        <w:pStyle w:val="BodyText"/>
      </w:pPr>
      <w:r>
        <w:t xml:space="preserve">The practical lesson, which a validator would write up as a limitation, is that a loan-level tree model is a reasonable</w:t>
      </w:r>
      <w:r>
        <w:t xml:space="preserve"> </w:t>
      </w:r>
      <w:r>
        <w:rPr>
          <w:i/>
          <w:iCs/>
        </w:rPr>
        <w:t xml:space="preserve">baseline</w:t>
      </w:r>
      <w:r>
        <w:t xml:space="preserve"> </w:t>
      </w:r>
      <w:r>
        <w:t xml:space="preserve">projection engine inside the historical range and should not be used alone for severe stress tests. Remedies include adding an explicit macro overlay or a parametric hazard layer for the stress dimension, training on data that spans a full cycle (real data would include 2008 to 2012), or blending with the logistic scorecard whose linear terms do extrapolate.</w:t>
      </w:r>
    </w:p>
    <w:bookmarkEnd w:id="120"/>
    <w:bookmarkStart w:id="121" w:name="limits-of-the-projection"/>
    <w:p>
      <w:pPr>
        <w:pStyle w:val="Heading2"/>
      </w:pPr>
      <w:r>
        <w:rPr>
          <w:rStyle w:val="SectionNumber"/>
        </w:rPr>
        <w:t xml:space="preserve">10.5</w:t>
      </w:r>
      <w:r>
        <w:tab/>
      </w:r>
      <w:r>
        <w:t xml:space="preserve">Limits of the projection</w:t>
      </w:r>
    </w:p>
    <w:p>
      <w:pPr>
        <w:pStyle w:val="FirstParagraph"/>
      </w:pPr>
      <w:r>
        <w:t xml:space="preserve">Besides extrapolation, the following limits apply: scenarios are deterministic linear ramps, not draws from a joint macro distribution, so no probability can be attached to them; status is frozen during the projection, so a loan that is current at the as-of date cannot become delinquent and then cure within the model-based path; loss severity is not modelled; the PD already nets out prepayment (cumulative incidence) and is then applied together with a separate prepayment step, which double counts the removal of loans and biases the default projection downward by roughly the prepayment rate times the default rate; and the result is one realization of one simulated portfolio, with no uncertainty bands from re-simulating the data.</w:t>
      </w:r>
    </w:p>
    <w:bookmarkEnd w:id="121"/>
    <w:bookmarkStart w:id="122" w:name="waterfall-export-hook"/>
    <w:p>
      <w:pPr>
        <w:pStyle w:val="Heading2"/>
      </w:pPr>
      <w:r>
        <w:rPr>
          <w:rStyle w:val="SectionNumber"/>
        </w:rPr>
        <w:t xml:space="preserve">10.6</w:t>
      </w:r>
      <w:r>
        <w:tab/>
      </w:r>
      <w:r>
        <w:t xml:space="preserve">Waterfall export hook</w:t>
      </w:r>
    </w:p>
    <w:p>
      <w:pPr>
        <w:pStyle w:val="FirstParagraph"/>
      </w:pPr>
      <w:r>
        <w:rPr>
          <w:rStyle w:val="VerbatimChar"/>
        </w:rPr>
        <w:t xml:space="preserve">export_hook.write_curves</w:t>
      </w:r>
      <w:r>
        <w:t xml:space="preserve"> </w:t>
      </w:r>
      <w:r>
        <w:t xml:space="preserve">converts each scenario's projected curve into the two files read by the securitization waterfall project.</w:t>
      </w:r>
    </w:p>
    <w:p>
      <w:pPr>
        <w:pStyle w:val="BodyText"/>
      </w:pPr>
      <w:r>
        <w:rPr>
          <w:rStyle w:val="VerbatimChar"/>
          <w:b/>
          <w:bCs/>
        </w:rPr>
        <w:t xml:space="preserve">cpr_cdr_curves.csv</w:t>
      </w:r>
      <w:r>
        <w:t xml:space="preserve"> </w:t>
      </w:r>
      <w:r>
        <w:t xml:space="preserve">contains monthly vectors for each scenario for 120 months (the 60 modelled months are extended by holding the last SMM and MDR flat):</w:t>
      </w:r>
    </w:p>
    <w:p>
      <w:pPr>
        <w:pStyle w:val="TableCaption"/>
      </w:pPr>
      <w:r>
        <w:t xml:space="preserve">Base scenario curve extract (months 1, 12, 60, 61 and 120). Month 61 onward repeats the month-60 rates.</w:t>
      </w:r>
    </w:p>
    <w:tbl>
      <w:tblPr>
        <w:tblStyle w:val="Table"/>
        <w:tblW w:type="auto" w:w="0"/>
        <w:tblLook w:firstRow="1" w:lastRow="0" w:firstColumn="0" w:lastColumn="0" w:noHBand="0" w:noVBand="0" w:val="0020"/>
        <w:tblCaption w:val="Base scenario curve extract (months 1, 12, 60, 61 and 120). Month 61 onward repeats the month-60 rate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31"/>
        <w:gridCol w:w="1131"/>
        <w:gridCol w:w="1131"/>
        <w:gridCol w:w="1131"/>
        <w:gridCol w:w="1131"/>
        <w:gridCol w:w="1131"/>
        <w:gridCol w:w="1131"/>
      </w:tblGrid>
      <w:tr>
        <w:trPr>
          <w:tblHeader w:val="on"/>
        </w:trPr>
        <w:tc>
          <w:tcPr/>
          <w:p>
            <w:pPr>
              <w:pStyle w:val="Compact"/>
              <w:jc w:val="left"/>
            </w:pPr>
            <w:r>
              <w:rPr>
                <w:sz w:val="17"/>
              </w:rPr>
              <w:t xml:space="preserve">scenario</w:t>
            </w:r>
          </w:p>
        </w:tc>
        <w:tc>
          <w:tcPr/>
          <w:p>
            <w:pPr>
              <w:pStyle w:val="Compact"/>
              <w:jc w:val="right"/>
            </w:pPr>
            <w:r>
              <w:rPr>
                <w:sz w:val="17"/>
              </w:rPr>
              <w:t xml:space="preserve">month</w:t>
            </w:r>
          </w:p>
        </w:tc>
        <w:tc>
          <w:tcPr/>
          <w:p>
            <w:pPr>
              <w:pStyle w:val="Compact"/>
              <w:jc w:val="right"/>
            </w:pPr>
            <w:r>
              <w:rPr>
                <w:sz w:val="17"/>
              </w:rPr>
              <w:t xml:space="preserve">smm</w:t>
            </w:r>
          </w:p>
        </w:tc>
        <w:tc>
          <w:tcPr/>
          <w:p>
            <w:pPr>
              <w:pStyle w:val="Compact"/>
              <w:jc w:val="right"/>
            </w:pPr>
            <w:r>
              <w:rPr>
                <w:sz w:val="17"/>
              </w:rPr>
              <w:t xml:space="preserve">mdr</w:t>
            </w:r>
          </w:p>
        </w:tc>
        <w:tc>
          <w:tcPr/>
          <w:p>
            <w:pPr>
              <w:pStyle w:val="Compact"/>
              <w:jc w:val="right"/>
            </w:pPr>
            <w:r>
              <w:rPr>
                <w:sz w:val="17"/>
              </w:rPr>
              <w:t xml:space="preserve">cpr_annual</w:t>
            </w:r>
          </w:p>
        </w:tc>
        <w:tc>
          <w:tcPr/>
          <w:p>
            <w:pPr>
              <w:pStyle w:val="Compact"/>
              <w:jc w:val="right"/>
            </w:pPr>
            <w:r>
              <w:rPr>
                <w:sz w:val="17"/>
              </w:rPr>
              <w:t xml:space="preserve">cdr_annual</w:t>
            </w:r>
          </w:p>
        </w:tc>
        <w:tc>
          <w:tcPr/>
          <w:p>
            <w:pPr>
              <w:pStyle w:val="Compact"/>
              <w:jc w:val="right"/>
            </w:pPr>
            <w:r>
              <w:rPr>
                <w:sz w:val="17"/>
              </w:rPr>
              <w:t xml:space="preserve">survival</w:t>
            </w:r>
          </w:p>
        </w:tc>
      </w:tr>
      <w:tr>
        <w:tc>
          <w:tcPr/>
          <w:p>
            <w:pPr>
              <w:pStyle w:val="Compact"/>
              <w:jc w:val="left"/>
            </w:pPr>
            <w:r>
              <w:rPr>
                <w:sz w:val="17"/>
              </w:rPr>
              <w:t xml:space="preserve">Base</w:t>
            </w:r>
          </w:p>
        </w:tc>
        <w:tc>
          <w:tcPr/>
          <w:p>
            <w:pPr>
              <w:pStyle w:val="Compact"/>
              <w:jc w:val="right"/>
            </w:pPr>
            <w:r>
              <w:rPr>
                <w:sz w:val="17"/>
              </w:rPr>
              <w:t xml:space="preserve">1</w:t>
            </w:r>
          </w:p>
        </w:tc>
        <w:tc>
          <w:tcPr/>
          <w:p>
            <w:pPr>
              <w:pStyle w:val="Compact"/>
              <w:jc w:val="right"/>
            </w:pPr>
            <w:r>
              <w:rPr>
                <w:sz w:val="17"/>
              </w:rPr>
              <w:t xml:space="preserve">0.997%</w:t>
            </w:r>
          </w:p>
        </w:tc>
        <w:tc>
          <w:tcPr/>
          <w:p>
            <w:pPr>
              <w:pStyle w:val="Compact"/>
              <w:jc w:val="right"/>
            </w:pPr>
            <w:r>
              <w:rPr>
                <w:sz w:val="17"/>
              </w:rPr>
              <w:t xml:space="preserve">0.114%</w:t>
            </w:r>
          </w:p>
        </w:tc>
        <w:tc>
          <w:tcPr/>
          <w:p>
            <w:pPr>
              <w:pStyle w:val="Compact"/>
              <w:jc w:val="right"/>
            </w:pPr>
            <w:r>
              <w:rPr>
                <w:sz w:val="17"/>
              </w:rPr>
              <w:t xml:space="preserve">11.33%</w:t>
            </w:r>
          </w:p>
        </w:tc>
        <w:tc>
          <w:tcPr/>
          <w:p>
            <w:pPr>
              <w:pStyle w:val="Compact"/>
              <w:jc w:val="right"/>
            </w:pPr>
            <w:r>
              <w:rPr>
                <w:sz w:val="17"/>
              </w:rPr>
              <w:t xml:space="preserve">1.363%</w:t>
            </w:r>
          </w:p>
        </w:tc>
        <w:tc>
          <w:tcPr/>
          <w:p>
            <w:pPr>
              <w:pStyle w:val="Compact"/>
              <w:jc w:val="right"/>
            </w:pPr>
            <w:r>
              <w:rPr>
                <w:sz w:val="17"/>
              </w:rPr>
              <w:t xml:space="preserve">98.9%</w:t>
            </w:r>
          </w:p>
        </w:tc>
      </w:tr>
      <w:tr>
        <w:tc>
          <w:tcPr/>
          <w:p>
            <w:pPr>
              <w:pStyle w:val="Compact"/>
              <w:jc w:val="left"/>
            </w:pPr>
            <w:r>
              <w:rPr>
                <w:sz w:val="17"/>
              </w:rPr>
              <w:t xml:space="preserve">Base</w:t>
            </w:r>
          </w:p>
        </w:tc>
        <w:tc>
          <w:tcPr/>
          <w:p>
            <w:pPr>
              <w:pStyle w:val="Compact"/>
              <w:jc w:val="right"/>
            </w:pPr>
            <w:r>
              <w:rPr>
                <w:sz w:val="17"/>
              </w:rPr>
              <w:t xml:space="preserve">12</w:t>
            </w:r>
          </w:p>
        </w:tc>
        <w:tc>
          <w:tcPr/>
          <w:p>
            <w:pPr>
              <w:pStyle w:val="Compact"/>
              <w:jc w:val="right"/>
            </w:pPr>
            <w:r>
              <w:rPr>
                <w:sz w:val="17"/>
              </w:rPr>
              <w:t xml:space="preserve">0.996%</w:t>
            </w:r>
          </w:p>
        </w:tc>
        <w:tc>
          <w:tcPr/>
          <w:p>
            <w:pPr>
              <w:pStyle w:val="Compact"/>
              <w:jc w:val="right"/>
            </w:pPr>
            <w:r>
              <w:rPr>
                <w:sz w:val="17"/>
              </w:rPr>
              <w:t xml:space="preserve">0.083%</w:t>
            </w:r>
          </w:p>
        </w:tc>
        <w:tc>
          <w:tcPr/>
          <w:p>
            <w:pPr>
              <w:pStyle w:val="Compact"/>
              <w:jc w:val="right"/>
            </w:pPr>
            <w:r>
              <w:rPr>
                <w:sz w:val="17"/>
              </w:rPr>
              <w:t xml:space="preserve">11.32%</w:t>
            </w:r>
          </w:p>
        </w:tc>
        <w:tc>
          <w:tcPr/>
          <w:p>
            <w:pPr>
              <w:pStyle w:val="Compact"/>
              <w:jc w:val="right"/>
            </w:pPr>
            <w:r>
              <w:rPr>
                <w:sz w:val="17"/>
              </w:rPr>
              <w:t xml:space="preserve">0.994%</w:t>
            </w:r>
          </w:p>
        </w:tc>
        <w:tc>
          <w:tcPr/>
          <w:p>
            <w:pPr>
              <w:pStyle w:val="Compact"/>
              <w:jc w:val="right"/>
            </w:pPr>
            <w:r>
              <w:rPr>
                <w:sz w:val="17"/>
              </w:rPr>
              <w:t xml:space="preserve">87.4%</w:t>
            </w:r>
          </w:p>
        </w:tc>
      </w:tr>
      <w:tr>
        <w:tc>
          <w:tcPr/>
          <w:p>
            <w:pPr>
              <w:pStyle w:val="Compact"/>
              <w:jc w:val="left"/>
            </w:pPr>
            <w:r>
              <w:rPr>
                <w:sz w:val="17"/>
              </w:rPr>
              <w:t xml:space="preserve">Base</w:t>
            </w:r>
          </w:p>
        </w:tc>
        <w:tc>
          <w:tcPr/>
          <w:p>
            <w:pPr>
              <w:pStyle w:val="Compact"/>
              <w:jc w:val="right"/>
            </w:pPr>
            <w:r>
              <w:rPr>
                <w:sz w:val="17"/>
              </w:rPr>
              <w:t xml:space="preserve">60</w:t>
            </w:r>
          </w:p>
        </w:tc>
        <w:tc>
          <w:tcPr/>
          <w:p>
            <w:pPr>
              <w:pStyle w:val="Compact"/>
              <w:jc w:val="right"/>
            </w:pPr>
            <w:r>
              <w:rPr>
                <w:sz w:val="17"/>
              </w:rPr>
              <w:t xml:space="preserve">0.959%</w:t>
            </w:r>
          </w:p>
        </w:tc>
        <w:tc>
          <w:tcPr/>
          <w:p>
            <w:pPr>
              <w:pStyle w:val="Compact"/>
              <w:jc w:val="right"/>
            </w:pPr>
            <w:r>
              <w:rPr>
                <w:sz w:val="17"/>
              </w:rPr>
              <w:t xml:space="preserve">0.062%</w:t>
            </w:r>
          </w:p>
        </w:tc>
        <w:tc>
          <w:tcPr/>
          <w:p>
            <w:pPr>
              <w:pStyle w:val="Compact"/>
              <w:jc w:val="right"/>
            </w:pPr>
            <w:r>
              <w:rPr>
                <w:sz w:val="17"/>
              </w:rPr>
              <w:t xml:space="preserve">10.92%</w:t>
            </w:r>
          </w:p>
        </w:tc>
        <w:tc>
          <w:tcPr/>
          <w:p>
            <w:pPr>
              <w:pStyle w:val="Compact"/>
              <w:jc w:val="right"/>
            </w:pPr>
            <w:r>
              <w:rPr>
                <w:sz w:val="17"/>
              </w:rPr>
              <w:t xml:space="preserve">0.747%</w:t>
            </w:r>
          </w:p>
        </w:tc>
        <w:tc>
          <w:tcPr/>
          <w:p>
            <w:pPr>
              <w:pStyle w:val="Compact"/>
              <w:jc w:val="right"/>
            </w:pPr>
            <w:r>
              <w:rPr>
                <w:sz w:val="17"/>
              </w:rPr>
              <w:t xml:space="preserve">52.4%</w:t>
            </w:r>
          </w:p>
        </w:tc>
      </w:tr>
      <w:tr>
        <w:tc>
          <w:tcPr/>
          <w:p>
            <w:pPr>
              <w:pStyle w:val="Compact"/>
              <w:jc w:val="left"/>
            </w:pPr>
            <w:r>
              <w:rPr>
                <w:sz w:val="17"/>
              </w:rPr>
              <w:t xml:space="preserve">Base</w:t>
            </w:r>
          </w:p>
        </w:tc>
        <w:tc>
          <w:tcPr/>
          <w:p>
            <w:pPr>
              <w:pStyle w:val="Compact"/>
              <w:jc w:val="right"/>
            </w:pPr>
            <w:r>
              <w:rPr>
                <w:sz w:val="17"/>
              </w:rPr>
              <w:t xml:space="preserve">61</w:t>
            </w:r>
          </w:p>
        </w:tc>
        <w:tc>
          <w:tcPr/>
          <w:p>
            <w:pPr>
              <w:pStyle w:val="Compact"/>
              <w:jc w:val="right"/>
            </w:pPr>
            <w:r>
              <w:rPr>
                <w:sz w:val="17"/>
              </w:rPr>
              <w:t xml:space="preserve">0.959%</w:t>
            </w:r>
          </w:p>
        </w:tc>
        <w:tc>
          <w:tcPr/>
          <w:p>
            <w:pPr>
              <w:pStyle w:val="Compact"/>
              <w:jc w:val="right"/>
            </w:pPr>
            <w:r>
              <w:rPr>
                <w:sz w:val="17"/>
              </w:rPr>
              <w:t xml:space="preserve">0.062%</w:t>
            </w:r>
          </w:p>
        </w:tc>
        <w:tc>
          <w:tcPr/>
          <w:p>
            <w:pPr>
              <w:pStyle w:val="Compact"/>
              <w:jc w:val="right"/>
            </w:pPr>
            <w:r>
              <w:rPr>
                <w:sz w:val="17"/>
              </w:rPr>
              <w:t xml:space="preserve">10.92%</w:t>
            </w:r>
          </w:p>
        </w:tc>
        <w:tc>
          <w:tcPr/>
          <w:p>
            <w:pPr>
              <w:pStyle w:val="Compact"/>
              <w:jc w:val="right"/>
            </w:pPr>
            <w:r>
              <w:rPr>
                <w:sz w:val="17"/>
              </w:rPr>
              <w:t xml:space="preserve">0.747%</w:t>
            </w:r>
          </w:p>
        </w:tc>
        <w:tc>
          <w:tcPr/>
          <w:p>
            <w:pPr>
              <w:pStyle w:val="Compact"/>
              <w:jc w:val="right"/>
            </w:pPr>
            <w:r>
              <w:rPr>
                <w:sz w:val="17"/>
              </w:rPr>
              <w:t xml:space="preserve">51.9%</w:t>
            </w:r>
          </w:p>
        </w:tc>
      </w:tr>
      <w:tr>
        <w:tc>
          <w:tcPr/>
          <w:p>
            <w:pPr>
              <w:pStyle w:val="Compact"/>
              <w:jc w:val="left"/>
            </w:pPr>
            <w:r>
              <w:rPr>
                <w:sz w:val="17"/>
              </w:rPr>
              <w:t xml:space="preserve">Base</w:t>
            </w:r>
          </w:p>
        </w:tc>
        <w:tc>
          <w:tcPr/>
          <w:p>
            <w:pPr>
              <w:pStyle w:val="Compact"/>
              <w:jc w:val="right"/>
            </w:pPr>
            <w:r>
              <w:rPr>
                <w:sz w:val="17"/>
              </w:rPr>
              <w:t xml:space="preserve">120</w:t>
            </w:r>
          </w:p>
        </w:tc>
        <w:tc>
          <w:tcPr/>
          <w:p>
            <w:pPr>
              <w:pStyle w:val="Compact"/>
              <w:jc w:val="right"/>
            </w:pPr>
            <w:r>
              <w:rPr>
                <w:sz w:val="17"/>
              </w:rPr>
              <w:t xml:space="preserve">0.959%</w:t>
            </w:r>
          </w:p>
        </w:tc>
        <w:tc>
          <w:tcPr/>
          <w:p>
            <w:pPr>
              <w:pStyle w:val="Compact"/>
              <w:jc w:val="right"/>
            </w:pPr>
            <w:r>
              <w:rPr>
                <w:sz w:val="17"/>
              </w:rPr>
              <w:t xml:space="preserve">0.062%</w:t>
            </w:r>
          </w:p>
        </w:tc>
        <w:tc>
          <w:tcPr/>
          <w:p>
            <w:pPr>
              <w:pStyle w:val="Compact"/>
              <w:jc w:val="right"/>
            </w:pPr>
            <w:r>
              <w:rPr>
                <w:sz w:val="17"/>
              </w:rPr>
              <w:t xml:space="preserve">10.92%</w:t>
            </w:r>
          </w:p>
        </w:tc>
        <w:tc>
          <w:tcPr/>
          <w:p>
            <w:pPr>
              <w:pStyle w:val="Compact"/>
              <w:jc w:val="right"/>
            </w:pPr>
            <w:r>
              <w:rPr>
                <w:sz w:val="17"/>
              </w:rPr>
              <w:t xml:space="preserve">0.747%</w:t>
            </w:r>
          </w:p>
        </w:tc>
        <w:tc>
          <w:tcPr/>
          <w:p>
            <w:pPr>
              <w:pStyle w:val="Compact"/>
              <w:jc w:val="right"/>
            </w:pPr>
            <w:r>
              <w:rPr>
                <w:sz w:val="17"/>
              </w:rPr>
              <w:t xml:space="preserve">28.3%</w:t>
            </w:r>
          </w:p>
        </w:tc>
      </w:tr>
    </w:tbl>
    <w:p>
      <w:pPr>
        <w:pStyle w:val="BodyText"/>
      </w:pPr>
      <w:r>
        <w:rPr>
          <w:rStyle w:val="VerbatimChar"/>
          <w:b/>
          <w:bCs/>
        </w:rPr>
        <w:t xml:space="preserve">scalar_equivalents.csv</w:t>
      </w:r>
      <w:r>
        <w:t xml:space="preserve"> </w:t>
      </w:r>
      <w:r>
        <w:t xml:space="preserve">summarizes each scenario with one set of scalar assumptions, using survival-balance weights on the annualized rates:</w:t>
      </w:r>
    </w:p>
    <w:p>
      <w:pPr>
        <w:pStyle w:val="TableCaption"/>
      </w:pPr>
      <w:r>
        <w:t xml:space="preserve">Scalar equivalents. Column names equal the fields of</w:t>
      </w:r>
      <w:r>
        <w:t xml:space="preserve"> </w:t>
      </w:r>
      <w:r>
        <w:rPr>
          <w:rStyle w:val="VerbatimChar"/>
        </w:rPr>
        <w:t xml:space="preserve">waterfall.config.Scenario</w:t>
      </w:r>
      <w:r>
        <w:t xml:space="preserve">.</w:t>
      </w:r>
    </w:p>
    <w:tbl>
      <w:tblPr>
        <w:tblStyle w:val="Table"/>
        <w:tblW w:type="auto" w:w="0"/>
        <w:tblLook w:firstRow="1" w:lastRow="0" w:firstColumn="0" w:lastColumn="0" w:noHBand="0" w:noVBand="0" w:val="0020"/>
        <w:tblCaption w:val="Scalar equivalents. Column names equal the fields of waterfall.config.Scenari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name</w:t>
            </w:r>
          </w:p>
        </w:tc>
        <w:tc>
          <w:tcPr/>
          <w:p>
            <w:pPr>
              <w:pStyle w:val="Compact"/>
              <w:jc w:val="right"/>
            </w:pPr>
            <w:r>
              <w:rPr>
                <w:sz w:val="17"/>
              </w:rPr>
              <w:t xml:space="preserve">cpr</w:t>
            </w:r>
          </w:p>
        </w:tc>
        <w:tc>
          <w:tcPr/>
          <w:p>
            <w:pPr>
              <w:pStyle w:val="Compact"/>
              <w:jc w:val="right"/>
            </w:pPr>
            <w:r>
              <w:rPr>
                <w:sz w:val="17"/>
              </w:rPr>
              <w:t xml:space="preserve">cdr</w:t>
            </w:r>
          </w:p>
        </w:tc>
        <w:tc>
          <w:tcPr/>
          <w:p>
            <w:pPr>
              <w:pStyle w:val="Compact"/>
              <w:jc w:val="right"/>
            </w:pPr>
            <w:r>
              <w:rPr>
                <w:sz w:val="17"/>
              </w:rPr>
              <w:t xml:space="preserve">severity</w:t>
            </w:r>
          </w:p>
        </w:tc>
        <w:tc>
          <w:tcPr/>
          <w:p>
            <w:pPr>
              <w:pStyle w:val="Compact"/>
              <w:jc w:val="right"/>
            </w:pPr>
            <w:r>
              <w:rPr>
                <w:sz w:val="17"/>
              </w:rPr>
              <w:t xml:space="preserve">lag</w:t>
            </w:r>
          </w:p>
        </w:tc>
        <w:tc>
          <w:tcPr/>
          <w:p>
            <w:pPr>
              <w:pStyle w:val="Compact"/>
              <w:jc w:val="right"/>
            </w:pPr>
            <w:r>
              <w:rPr>
                <w:sz w:val="17"/>
              </w:rPr>
              <w:t xml:space="preserve">index_shift</w:t>
            </w:r>
          </w:p>
        </w:tc>
      </w:tr>
      <w:tr>
        <w:tc>
          <w:tcPr/>
          <w:p>
            <w:pPr>
              <w:pStyle w:val="Compact"/>
              <w:jc w:val="left"/>
            </w:pPr>
            <w:r>
              <w:rPr>
                <w:sz w:val="17"/>
              </w:rPr>
              <w:t xml:space="preserve">Base</w:t>
            </w:r>
          </w:p>
        </w:tc>
        <w:tc>
          <w:tcPr/>
          <w:p>
            <w:pPr>
              <w:pStyle w:val="Compact"/>
              <w:jc w:val="right"/>
            </w:pPr>
            <w:r>
              <w:rPr>
                <w:sz w:val="17"/>
              </w:rPr>
              <w:t xml:space="preserve">11.21%</w:t>
            </w:r>
          </w:p>
        </w:tc>
        <w:tc>
          <w:tcPr/>
          <w:p>
            <w:pPr>
              <w:pStyle w:val="Compact"/>
              <w:jc w:val="right"/>
            </w:pPr>
            <w:r>
              <w:rPr>
                <w:sz w:val="17"/>
              </w:rPr>
              <w:t xml:space="preserve">0.852%</w:t>
            </w:r>
          </w:p>
        </w:tc>
        <w:tc>
          <w:tcPr/>
          <w:p>
            <w:pPr>
              <w:pStyle w:val="Compact"/>
              <w:jc w:val="right"/>
            </w:pPr>
            <w:r>
              <w:rPr>
                <w:sz w:val="17"/>
              </w:rPr>
              <w:t xml:space="preserve">0.35</w:t>
            </w:r>
          </w:p>
        </w:tc>
        <w:tc>
          <w:tcPr/>
          <w:p>
            <w:pPr>
              <w:pStyle w:val="Compact"/>
              <w:jc w:val="right"/>
            </w:pPr>
            <w:r>
              <w:rPr>
                <w:sz w:val="17"/>
              </w:rPr>
              <w:t xml:space="preserve">6</w:t>
            </w:r>
          </w:p>
        </w:tc>
        <w:tc>
          <w:tcPr/>
          <w:p>
            <w:pPr>
              <w:pStyle w:val="Compact"/>
              <w:jc w:val="right"/>
            </w:pPr>
            <w:r>
              <w:rPr>
                <w:sz w:val="17"/>
              </w:rPr>
              <w:t xml:space="preserve">0.0000</w:t>
            </w:r>
          </w:p>
        </w:tc>
      </w:tr>
      <w:tr>
        <w:tc>
          <w:tcPr/>
          <w:p>
            <w:pPr>
              <w:pStyle w:val="Compact"/>
              <w:jc w:val="left"/>
            </w:pPr>
            <w:r>
              <w:rPr>
                <w:sz w:val="17"/>
              </w:rPr>
              <w:t xml:space="preserve">Rates +200bp</w:t>
            </w:r>
          </w:p>
        </w:tc>
        <w:tc>
          <w:tcPr/>
          <w:p>
            <w:pPr>
              <w:pStyle w:val="Compact"/>
              <w:jc w:val="right"/>
            </w:pPr>
            <w:r>
              <w:rPr>
                <w:sz w:val="17"/>
              </w:rPr>
              <w:t xml:space="preserve">11.21%</w:t>
            </w:r>
          </w:p>
        </w:tc>
        <w:tc>
          <w:tcPr/>
          <w:p>
            <w:pPr>
              <w:pStyle w:val="Compact"/>
              <w:jc w:val="right"/>
            </w:pPr>
            <w:r>
              <w:rPr>
                <w:sz w:val="17"/>
              </w:rPr>
              <w:t xml:space="preserve">0.852%</w:t>
            </w:r>
          </w:p>
        </w:tc>
        <w:tc>
          <w:tcPr/>
          <w:p>
            <w:pPr>
              <w:pStyle w:val="Compact"/>
              <w:jc w:val="right"/>
            </w:pPr>
            <w:r>
              <w:rPr>
                <w:sz w:val="17"/>
              </w:rPr>
              <w:t xml:space="preserve">0.35</w:t>
            </w:r>
          </w:p>
        </w:tc>
        <w:tc>
          <w:tcPr/>
          <w:p>
            <w:pPr>
              <w:pStyle w:val="Compact"/>
              <w:jc w:val="right"/>
            </w:pPr>
            <w:r>
              <w:rPr>
                <w:sz w:val="17"/>
              </w:rPr>
              <w:t xml:space="preserve">6</w:t>
            </w:r>
          </w:p>
        </w:tc>
        <w:tc>
          <w:tcPr/>
          <w:p>
            <w:pPr>
              <w:pStyle w:val="Compact"/>
              <w:jc w:val="right"/>
            </w:pPr>
            <w:r>
              <w:rPr>
                <w:sz w:val="17"/>
              </w:rPr>
              <w:t xml:space="preserve">+0.0200</w:t>
            </w:r>
          </w:p>
        </w:tc>
      </w:tr>
      <w:tr>
        <w:tc>
          <w:tcPr/>
          <w:p>
            <w:pPr>
              <w:pStyle w:val="Compact"/>
              <w:jc w:val="left"/>
            </w:pPr>
            <w:r>
              <w:rPr>
                <w:sz w:val="17"/>
              </w:rPr>
              <w:t xml:space="preserve">Rates -200bp</w:t>
            </w:r>
          </w:p>
        </w:tc>
        <w:tc>
          <w:tcPr/>
          <w:p>
            <w:pPr>
              <w:pStyle w:val="Compact"/>
              <w:jc w:val="right"/>
            </w:pPr>
            <w:r>
              <w:rPr>
                <w:sz w:val="17"/>
              </w:rPr>
              <w:t xml:space="preserve">11.61%</w:t>
            </w:r>
          </w:p>
        </w:tc>
        <w:tc>
          <w:tcPr/>
          <w:p>
            <w:pPr>
              <w:pStyle w:val="Compact"/>
              <w:jc w:val="right"/>
            </w:pPr>
            <w:r>
              <w:rPr>
                <w:sz w:val="17"/>
              </w:rPr>
              <w:t xml:space="preserve">0.827%</w:t>
            </w:r>
          </w:p>
        </w:tc>
        <w:tc>
          <w:tcPr/>
          <w:p>
            <w:pPr>
              <w:pStyle w:val="Compact"/>
              <w:jc w:val="right"/>
            </w:pPr>
            <w:r>
              <w:rPr>
                <w:sz w:val="17"/>
              </w:rPr>
              <w:t xml:space="preserve">0.35</w:t>
            </w:r>
          </w:p>
        </w:tc>
        <w:tc>
          <w:tcPr/>
          <w:p>
            <w:pPr>
              <w:pStyle w:val="Compact"/>
              <w:jc w:val="right"/>
            </w:pPr>
            <w:r>
              <w:rPr>
                <w:sz w:val="17"/>
              </w:rPr>
              <w:t xml:space="preserve">6</w:t>
            </w:r>
          </w:p>
        </w:tc>
        <w:tc>
          <w:tcPr/>
          <w:p>
            <w:pPr>
              <w:pStyle w:val="Compact"/>
              <w:jc w:val="right"/>
            </w:pPr>
            <w:r>
              <w:rPr>
                <w:sz w:val="17"/>
              </w:rPr>
              <w:t xml:space="preserve">-0.0200</w:t>
            </w:r>
          </w:p>
        </w:tc>
      </w:tr>
      <w:tr>
        <w:tc>
          <w:tcPr/>
          <w:p>
            <w:pPr>
              <w:pStyle w:val="Compact"/>
              <w:jc w:val="left"/>
            </w:pPr>
            <w:r>
              <w:rPr>
                <w:sz w:val="17"/>
              </w:rPr>
              <w:t xml:space="preserve">HPI -20%</w:t>
            </w:r>
          </w:p>
        </w:tc>
        <w:tc>
          <w:tcPr/>
          <w:p>
            <w:pPr>
              <w:pStyle w:val="Compact"/>
              <w:jc w:val="right"/>
            </w:pPr>
            <w:r>
              <w:rPr>
                <w:sz w:val="17"/>
              </w:rPr>
              <w:t xml:space="preserve">11.23%</w:t>
            </w:r>
          </w:p>
        </w:tc>
        <w:tc>
          <w:tcPr/>
          <w:p>
            <w:pPr>
              <w:pStyle w:val="Compact"/>
              <w:jc w:val="right"/>
            </w:pPr>
            <w:r>
              <w:rPr>
                <w:sz w:val="17"/>
              </w:rPr>
              <w:t xml:space="preserve">0.911%</w:t>
            </w:r>
          </w:p>
        </w:tc>
        <w:tc>
          <w:tcPr/>
          <w:p>
            <w:pPr>
              <w:pStyle w:val="Compact"/>
              <w:jc w:val="right"/>
            </w:pPr>
            <w:r>
              <w:rPr>
                <w:sz w:val="17"/>
              </w:rPr>
              <w:t xml:space="preserve">0.35</w:t>
            </w:r>
          </w:p>
        </w:tc>
        <w:tc>
          <w:tcPr/>
          <w:p>
            <w:pPr>
              <w:pStyle w:val="Compact"/>
              <w:jc w:val="right"/>
            </w:pPr>
            <w:r>
              <w:rPr>
                <w:sz w:val="17"/>
              </w:rPr>
              <w:t xml:space="preserve">6</w:t>
            </w:r>
          </w:p>
        </w:tc>
        <w:tc>
          <w:tcPr/>
          <w:p>
            <w:pPr>
              <w:pStyle w:val="Compact"/>
              <w:jc w:val="right"/>
            </w:pPr>
            <w:r>
              <w:rPr>
                <w:sz w:val="17"/>
              </w:rPr>
              <w:t xml:space="preserve">0.0000</w:t>
            </w:r>
          </w:p>
        </w:tc>
      </w:tr>
      <w:tr>
        <w:tc>
          <w:tcPr/>
          <w:p>
            <w:pPr>
              <w:pStyle w:val="Compact"/>
              <w:jc w:val="left"/>
            </w:pPr>
            <w:r>
              <w:rPr>
                <w:sz w:val="17"/>
              </w:rPr>
              <w:t xml:space="preserve">Unemployment +4pt</w:t>
            </w:r>
          </w:p>
        </w:tc>
        <w:tc>
          <w:tcPr/>
          <w:p>
            <w:pPr>
              <w:pStyle w:val="Compact"/>
              <w:jc w:val="right"/>
            </w:pPr>
            <w:r>
              <w:rPr>
                <w:sz w:val="17"/>
              </w:rPr>
              <w:t xml:space="preserve">11.25%</w:t>
            </w:r>
          </w:p>
        </w:tc>
        <w:tc>
          <w:tcPr/>
          <w:p>
            <w:pPr>
              <w:pStyle w:val="Compact"/>
              <w:jc w:val="right"/>
            </w:pPr>
            <w:r>
              <w:rPr>
                <w:sz w:val="17"/>
              </w:rPr>
              <w:t xml:space="preserve">1.449%</w:t>
            </w:r>
          </w:p>
        </w:tc>
        <w:tc>
          <w:tcPr/>
          <w:p>
            <w:pPr>
              <w:pStyle w:val="Compact"/>
              <w:jc w:val="right"/>
            </w:pPr>
            <w:r>
              <w:rPr>
                <w:sz w:val="17"/>
              </w:rPr>
              <w:t xml:space="preserve">0.35</w:t>
            </w:r>
          </w:p>
        </w:tc>
        <w:tc>
          <w:tcPr/>
          <w:p>
            <w:pPr>
              <w:pStyle w:val="Compact"/>
              <w:jc w:val="right"/>
            </w:pPr>
            <w:r>
              <w:rPr>
                <w:sz w:val="17"/>
              </w:rPr>
              <w:t xml:space="preserve">6</w:t>
            </w:r>
          </w:p>
        </w:tc>
        <w:tc>
          <w:tcPr/>
          <w:p>
            <w:pPr>
              <w:pStyle w:val="Compact"/>
              <w:jc w:val="right"/>
            </w:pPr>
            <w:r>
              <w:rPr>
                <w:sz w:val="17"/>
              </w:rPr>
              <w:t xml:space="preserve">0.0000</w:t>
            </w:r>
          </w:p>
        </w:tc>
      </w:tr>
      <w:tr>
        <w:tc>
          <w:tcPr/>
          <w:p>
            <w:pPr>
              <w:pStyle w:val="Compact"/>
              <w:jc w:val="left"/>
            </w:pPr>
            <w:r>
              <w:rPr>
                <w:sz w:val="17"/>
              </w:rPr>
              <w:t xml:space="preserve">Adverse combined</w:t>
            </w:r>
          </w:p>
        </w:tc>
        <w:tc>
          <w:tcPr/>
          <w:p>
            <w:pPr>
              <w:pStyle w:val="Compact"/>
              <w:jc w:val="right"/>
            </w:pPr>
            <w:r>
              <w:rPr>
                <w:sz w:val="17"/>
              </w:rPr>
              <w:t xml:space="preserve">11.26%</w:t>
            </w:r>
          </w:p>
        </w:tc>
        <w:tc>
          <w:tcPr/>
          <w:p>
            <w:pPr>
              <w:pStyle w:val="Compact"/>
              <w:jc w:val="right"/>
            </w:pPr>
            <w:r>
              <w:rPr>
                <w:sz w:val="17"/>
              </w:rPr>
              <w:t xml:space="preserve">1.530%</w:t>
            </w:r>
          </w:p>
        </w:tc>
        <w:tc>
          <w:tcPr/>
          <w:p>
            <w:pPr>
              <w:pStyle w:val="Compact"/>
              <w:jc w:val="right"/>
            </w:pPr>
            <w:r>
              <w:rPr>
                <w:sz w:val="17"/>
              </w:rPr>
              <w:t xml:space="preserve">0.35</w:t>
            </w:r>
          </w:p>
        </w:tc>
        <w:tc>
          <w:tcPr/>
          <w:p>
            <w:pPr>
              <w:pStyle w:val="Compact"/>
              <w:jc w:val="right"/>
            </w:pPr>
            <w:r>
              <w:rPr>
                <w:sz w:val="17"/>
              </w:rPr>
              <w:t xml:space="preserve">6</w:t>
            </w:r>
          </w:p>
        </w:tc>
        <w:tc>
          <w:tcPr/>
          <w:p>
            <w:pPr>
              <w:pStyle w:val="Compact"/>
              <w:jc w:val="right"/>
            </w:pPr>
            <w:r>
              <w:rPr>
                <w:sz w:val="17"/>
              </w:rPr>
              <w:t xml:space="preserve">+0.0200</w:t>
            </w:r>
          </w:p>
        </w:tc>
      </w:tr>
    </w:tbl>
    <w:p/>
    <w:p>
      <w:pPr>
        <w:pStyle w:val="TableCaption"/>
      </w:pPr>
      <w:r>
        <w:t xml:space="preserve">Mapping of the exported scalars to the waterfall project's</w:t>
      </w:r>
      <w:r>
        <w:t xml:space="preserve"> </w:t>
      </w:r>
      <w:r>
        <w:rPr>
          <w:rStyle w:val="VerbatimChar"/>
        </w:rPr>
        <w:t xml:space="preserve">Scenario</w:t>
      </w:r>
      <w:r>
        <w:t xml:space="preserve"> </w:t>
      </w:r>
      <w:r>
        <w:t xml:space="preserve">dataclass.</w:t>
      </w:r>
    </w:p>
    <w:tbl>
      <w:tblPr>
        <w:tblStyle w:val="Table"/>
        <w:tblW w:type="pct" w:w="5000"/>
        <w:tblLayout w:type="fixed"/>
        <w:tblLook w:firstRow="1" w:lastRow="0" w:firstColumn="0" w:lastColumn="0" w:noHBand="0" w:noVBand="0" w:val="0020"/>
        <w:tblCaption w:val="Mapping of the exported scalars to the waterfall project's Scenario dataclas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Hook column</w:t>
            </w:r>
          </w:p>
        </w:tc>
        <w:tc>
          <w:tcPr/>
          <w:p>
            <w:pPr>
              <w:pStyle w:val="Compact"/>
              <w:jc w:val="left"/>
            </w:pPr>
            <w:r>
              <w:rPr>
                <w:sz w:val="17"/>
              </w:rPr>
              <w:t xml:space="preserve">Waterfall</w:t>
            </w:r>
            <w:r>
              <w:rPr>
                <w:sz w:val="17"/>
              </w:rPr>
              <w:t xml:space="preserve"> </w:t>
            </w:r>
            <w:r>
              <w:rPr>
                <w:rStyle w:val="VerbatimChar"/>
                <w:sz w:val="17"/>
              </w:rPr>
              <w:t xml:space="preserve">Scenario</w:t>
            </w:r>
            <w:r>
              <w:rPr>
                <w:sz w:val="17"/>
              </w:rPr>
              <w:t xml:space="preserve"> </w:t>
            </w:r>
            <w:r>
              <w:rPr>
                <w:sz w:val="17"/>
              </w:rPr>
              <w:t xml:space="preserve">field</w:t>
            </w:r>
          </w:p>
        </w:tc>
        <w:tc>
          <w:tcPr/>
          <w:p>
            <w:pPr>
              <w:pStyle w:val="Compact"/>
              <w:jc w:val="left"/>
            </w:pPr>
            <w:r>
              <w:rPr>
                <w:sz w:val="17"/>
              </w:rPr>
              <w:t xml:space="preserve">Meaning and unit</w:t>
            </w:r>
          </w:p>
        </w:tc>
      </w:tr>
      <w:tr>
        <w:tc>
          <w:tcPr/>
          <w:p>
            <w:pPr>
              <w:pStyle w:val="Compact"/>
              <w:jc w:val="left"/>
            </w:pPr>
            <w:r>
              <w:rPr>
                <w:rStyle w:val="VerbatimChar"/>
                <w:sz w:val="17"/>
              </w:rPr>
              <w:t xml:space="preserve">scenario</w:t>
            </w:r>
          </w:p>
        </w:tc>
        <w:tc>
          <w:tcPr/>
          <w:p>
            <w:pPr>
              <w:pStyle w:val="Compact"/>
              <w:jc w:val="left"/>
            </w:pPr>
            <w:r>
              <w:rPr>
                <w:rStyle w:val="VerbatimChar"/>
                <w:sz w:val="17"/>
              </w:rPr>
              <w:t xml:space="preserve">name</w:t>
            </w:r>
          </w:p>
        </w:tc>
        <w:tc>
          <w:tcPr/>
          <w:p>
            <w:pPr>
              <w:pStyle w:val="Compact"/>
              <w:jc w:val="left"/>
            </w:pPr>
            <w:r>
              <w:rPr>
                <w:sz w:val="17"/>
              </w:rPr>
              <w:t xml:space="preserve">scenario label</w:t>
            </w:r>
          </w:p>
        </w:tc>
      </w:tr>
      <w:tr>
        <w:tc>
          <w:tcPr/>
          <w:p>
            <w:pPr>
              <w:pStyle w:val="Compact"/>
              <w:jc w:val="left"/>
            </w:pPr>
            <w:r>
              <w:rPr>
                <w:rStyle w:val="VerbatimChar"/>
                <w:sz w:val="17"/>
              </w:rPr>
              <w:t xml:space="preserve">cpr</w:t>
            </w:r>
          </w:p>
        </w:tc>
        <w:tc>
          <w:tcPr/>
          <w:p>
            <w:pPr>
              <w:pStyle w:val="Compact"/>
              <w:jc w:val="left"/>
            </w:pPr>
            <w:r>
              <w:rPr>
                <w:rStyle w:val="VerbatimChar"/>
                <w:sz w:val="17"/>
              </w:rPr>
              <w:t xml:space="preserve">cpr</w:t>
            </w:r>
          </w:p>
        </w:tc>
        <w:tc>
          <w:tcPr/>
          <w:p>
            <w:pPr>
              <w:pStyle w:val="Compact"/>
              <w:jc w:val="left"/>
            </w:pPr>
            <w:r>
              <w:rPr>
                <w:sz w:val="17"/>
              </w:rPr>
              <w:t xml:space="preserve">annualized prepayment rate, decimal</w:t>
            </w:r>
          </w:p>
        </w:tc>
      </w:tr>
      <w:tr>
        <w:tc>
          <w:tcPr/>
          <w:p>
            <w:pPr>
              <w:pStyle w:val="Compact"/>
              <w:jc w:val="left"/>
            </w:pPr>
            <w:r>
              <w:rPr>
                <w:rStyle w:val="VerbatimChar"/>
                <w:sz w:val="17"/>
              </w:rPr>
              <w:t xml:space="preserve">cdr</w:t>
            </w:r>
          </w:p>
        </w:tc>
        <w:tc>
          <w:tcPr/>
          <w:p>
            <w:pPr>
              <w:pStyle w:val="Compact"/>
              <w:jc w:val="left"/>
            </w:pPr>
            <w:r>
              <w:rPr>
                <w:rStyle w:val="VerbatimChar"/>
                <w:sz w:val="17"/>
              </w:rPr>
              <w:t xml:space="preserve">cdr</w:t>
            </w:r>
          </w:p>
        </w:tc>
        <w:tc>
          <w:tcPr/>
          <w:p>
            <w:pPr>
              <w:pStyle w:val="Compact"/>
              <w:jc w:val="left"/>
            </w:pPr>
            <w:r>
              <w:rPr>
                <w:sz w:val="17"/>
              </w:rPr>
              <w:t xml:space="preserve">annualized default rate, decimal</w:t>
            </w:r>
          </w:p>
        </w:tc>
      </w:tr>
      <w:tr>
        <w:tc>
          <w:tcPr/>
          <w:p>
            <w:pPr>
              <w:pStyle w:val="Compact"/>
              <w:jc w:val="left"/>
            </w:pPr>
            <w:r>
              <w:rPr>
                <w:rStyle w:val="VerbatimChar"/>
                <w:sz w:val="17"/>
              </w:rPr>
              <w:t xml:space="preserve">severity</w:t>
            </w:r>
          </w:p>
        </w:tc>
        <w:tc>
          <w:tcPr/>
          <w:p>
            <w:pPr>
              <w:pStyle w:val="Compact"/>
              <w:jc w:val="left"/>
            </w:pPr>
            <w:r>
              <w:rPr>
                <w:rStyle w:val="VerbatimChar"/>
                <w:sz w:val="17"/>
              </w:rPr>
              <w:t xml:space="preserve">severity</w:t>
            </w:r>
          </w:p>
        </w:tc>
        <w:tc>
          <w:tcPr/>
          <w:p>
            <w:pPr>
              <w:pStyle w:val="Compact"/>
              <w:jc w:val="left"/>
            </w:pPr>
            <w:r>
              <w:rPr>
                <w:sz w:val="17"/>
              </w:rPr>
              <w:t xml:space="preserve">loss given default, fixed assumption 0.35</w:t>
            </w:r>
          </w:p>
        </w:tc>
      </w:tr>
      <w:tr>
        <w:tc>
          <w:tcPr/>
          <w:p>
            <w:pPr>
              <w:pStyle w:val="Compact"/>
              <w:jc w:val="left"/>
            </w:pPr>
            <w:r>
              <w:rPr>
                <w:rStyle w:val="VerbatimChar"/>
                <w:sz w:val="17"/>
              </w:rPr>
              <w:t xml:space="preserve">lag</w:t>
            </w:r>
          </w:p>
        </w:tc>
        <w:tc>
          <w:tcPr/>
          <w:p>
            <w:pPr>
              <w:pStyle w:val="Compact"/>
              <w:jc w:val="left"/>
            </w:pPr>
            <w:r>
              <w:rPr>
                <w:rStyle w:val="VerbatimChar"/>
                <w:sz w:val="17"/>
              </w:rPr>
              <w:t xml:space="preserve">lag</w:t>
            </w:r>
          </w:p>
        </w:tc>
        <w:tc>
          <w:tcPr/>
          <w:p>
            <w:pPr>
              <w:pStyle w:val="Compact"/>
              <w:jc w:val="left"/>
            </w:pPr>
            <w:r>
              <w:rPr>
                <w:sz w:val="17"/>
              </w:rPr>
              <w:t xml:space="preserve">months from default to recovery, fixed assumption 6</w:t>
            </w:r>
          </w:p>
        </w:tc>
      </w:tr>
      <w:tr>
        <w:tc>
          <w:tcPr/>
          <w:p>
            <w:pPr>
              <w:pStyle w:val="Compact"/>
              <w:jc w:val="left"/>
            </w:pPr>
            <w:r>
              <w:rPr>
                <w:rStyle w:val="VerbatimChar"/>
                <w:sz w:val="17"/>
              </w:rPr>
              <w:t xml:space="preserve">index_shift</w:t>
            </w:r>
          </w:p>
        </w:tc>
        <w:tc>
          <w:tcPr/>
          <w:p>
            <w:pPr>
              <w:pStyle w:val="Compact"/>
              <w:jc w:val="left"/>
            </w:pPr>
            <w:r>
              <w:rPr>
                <w:rStyle w:val="VerbatimChar"/>
                <w:sz w:val="17"/>
              </w:rPr>
              <w:t xml:space="preserve">index_shift</w:t>
            </w:r>
          </w:p>
        </w:tc>
        <w:tc>
          <w:tcPr/>
          <w:p>
            <w:pPr>
              <w:pStyle w:val="Compact"/>
              <w:jc w:val="left"/>
            </w:pPr>
            <w:r>
              <w:rPr>
                <w:sz w:val="17"/>
              </w:rPr>
              <w:t xml:space="preserve">parallel shift of the floating index, decimal (rate shock bp divided by 10,000)</w:t>
            </w:r>
          </w:p>
        </w:tc>
      </w:tr>
    </w:tbl>
    <w:p>
      <w:pPr>
        <w:pStyle w:val="BodyText"/>
      </w:pPr>
      <w:r>
        <w:rPr>
          <w:rStyle w:val="VerbatimChar"/>
        </w:rPr>
        <w:t xml:space="preserve">export_hook.to_waterfall_scenarios</w:t>
      </w:r>
      <w:r>
        <w:t xml:space="preserve"> </w:t>
      </w:r>
      <w:r>
        <w:t xml:space="preserve">reads the scalar file back into dictionaries with exactly these keys, and a test compares the keys with the sibling project's</w:t>
      </w:r>
      <w:r>
        <w:t xml:space="preserve"> </w:t>
      </w:r>
      <w:r>
        <w:rPr>
          <w:rStyle w:val="VerbatimChar"/>
        </w:rPr>
        <w:t xml:space="preserve">config.py</w:t>
      </w:r>
      <w:r>
        <w:t xml:space="preserve"> </w:t>
      </w:r>
      <w:r>
        <w:t xml:space="preserve">so the interface cannot drift silently. Two caveats. Severity and lag are assumptions, not model outputs. And the sibling project's collateral is a synthetic short-maturity, high-coupon consumer-style pool, with a base scenario of 10 percent CPR and 3 percent CDR, whereas this project's base mortgage pool shows a CPR of 11.21% and a CDR of only 0.852% (1.530% in the adverse combined case). The hook therefore demonstrates the interface and units; applying mortgage-derived CDRs to a different collateral type would not be a meaningful deal analysis.</w:t>
      </w:r>
    </w:p>
    <w:bookmarkEnd w:id="122"/>
    <w:bookmarkEnd w:id="123"/>
    <w:bookmarkStart w:id="128" w:name="excel-workbook-walkthrough"/>
    <w:p>
      <w:pPr>
        <w:pStyle w:val="Heading1"/>
      </w:pPr>
      <w:r>
        <w:rPr>
          <w:rStyle w:val="SectionNumber"/>
        </w:rPr>
        <w:t xml:space="preserve">11</w:t>
      </w:r>
      <w:r>
        <w:tab/>
      </w:r>
      <w:r>
        <w:t xml:space="preserve">Excel workbook walkthrough</w:t>
      </w:r>
    </w:p>
    <w:bookmarkStart w:id="124" w:name="why-an-excel-version-exists"/>
    <w:p>
      <w:pPr>
        <w:pStyle w:val="Heading2"/>
      </w:pPr>
      <w:r>
        <w:rPr>
          <w:rStyle w:val="SectionNumber"/>
        </w:rPr>
        <w:t xml:space="preserve">11.1</w:t>
      </w:r>
      <w:r>
        <w:tab/>
      </w:r>
      <w:r>
        <w:t xml:space="preserve">Why an Excel version exists</w:t>
      </w:r>
    </w:p>
    <w:p>
      <w:pPr>
        <w:pStyle w:val="FirstParagraph"/>
      </w:pPr>
      <w:r>
        <w:t xml:space="preserve">Model validators and credit committees often want to see a calculation in a tool they can audit cell by cell. The workbook</w:t>
      </w:r>
      <w:r>
        <w:t xml:space="preserve"> </w:t>
      </w:r>
      <w:r>
        <w:rPr>
          <w:rStyle w:val="VerbatimChar"/>
        </w:rPr>
        <w:t xml:space="preserve">excel/mortgage_risk_model.xlsx</w:t>
      </w:r>
      <w:r>
        <w:t xml:space="preserve"> </w:t>
      </w:r>
      <w:r>
        <w:t xml:space="preserve">re-implements the scorecard, the decile and calibration analysis, the PSI and a simplified scenario engine with</w:t>
      </w:r>
      <w:r>
        <w:t xml:space="preserve"> </w:t>
      </w:r>
      <w:r>
        <w:rPr>
          <w:b/>
          <w:bCs/>
        </w:rPr>
        <w:t xml:space="preserve">live formulas</w:t>
      </w:r>
      <w:r>
        <w:t xml:space="preserve"> </w:t>
      </w:r>
      <w:r>
        <w:t xml:space="preserve">over a fixed sample of 2,000 out-of-time snapshot loans (</w:t>
      </w:r>
      <w:r>
        <w:rPr>
          <w:rStyle w:val="VerbatimChar"/>
        </w:rPr>
        <w:t xml:space="preserve">excel_inputs/loan_sample.csv</w:t>
      </w:r>
      <w:r>
        <w:t xml:space="preserve">, a seeded random draw from the out-of-time set). The workbook contains 62,535 formulas. It is generated by</w:t>
      </w:r>
      <w:r>
        <w:t xml:space="preserve"> </w:t>
      </w:r>
      <w:r>
        <w:rPr>
          <w:rStyle w:val="VerbatimChar"/>
        </w:rPr>
        <w:t xml:space="preserve">excel/build_workbook.py</w:t>
      </w:r>
      <w:r>
        <w:t xml:space="preserve">, with the Python-side reference values and the comparison logic in</w:t>
      </w:r>
      <w:r>
        <w:t xml:space="preserve"> </w:t>
      </w:r>
      <w:r>
        <w:rPr>
          <w:rStyle w:val="VerbatimChar"/>
        </w:rPr>
        <w:t xml:space="preserve">mortgage_risk/reconcile_excel.py</w:t>
      </w:r>
      <w:r>
        <w:t xml:space="preserve">. Typed numbers are limited to the Inputs sheet and to imported Python value sheets; everything else is a formula.</w:t>
      </w:r>
    </w:p>
    <w:bookmarkEnd w:id="124"/>
    <w:bookmarkStart w:id="125" w:name="sheet-by-sheet"/>
    <w:p>
      <w:pPr>
        <w:pStyle w:val="Heading2"/>
      </w:pPr>
      <w:r>
        <w:rPr>
          <w:rStyle w:val="SectionNumber"/>
        </w:rPr>
        <w:t xml:space="preserve">11.2</w:t>
      </w:r>
      <w:r>
        <w:tab/>
      </w:r>
      <w:r>
        <w:t xml:space="preserve">Sheet by sheet</w:t>
      </w:r>
    </w:p>
    <w:p>
      <w:pPr>
        <w:pStyle w:val="TableCaption"/>
      </w:pPr>
      <w:r>
        <w:t xml:space="preserve">Workbook sheets.</w:t>
      </w:r>
    </w:p>
    <w:tbl>
      <w:tblPr>
        <w:tblStyle w:val="Table"/>
        <w:tblW w:type="pct" w:w="5000"/>
        <w:tblLayout w:type="fixed"/>
        <w:tblLook w:firstRow="1" w:lastRow="0" w:firstColumn="0" w:lastColumn="0" w:noHBand="0" w:noVBand="0" w:val="0020"/>
        <w:tblCaption w:val="Workbook sheet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Sheet</w:t>
            </w:r>
          </w:p>
        </w:tc>
        <w:tc>
          <w:tcPr/>
          <w:p>
            <w:pPr>
              <w:pStyle w:val="Compact"/>
              <w:jc w:val="left"/>
            </w:pPr>
            <w:r>
              <w:rPr>
                <w:sz w:val="17"/>
              </w:rPr>
              <w:t xml:space="preserve">What it contains</w:t>
            </w:r>
          </w:p>
        </w:tc>
        <w:tc>
          <w:tcPr/>
          <w:p>
            <w:pPr>
              <w:pStyle w:val="Compact"/>
              <w:jc w:val="left"/>
            </w:pPr>
            <w:r>
              <w:rPr>
                <w:sz w:val="17"/>
              </w:rPr>
              <w:t xml:space="preserve">Live or static</w:t>
            </w:r>
          </w:p>
        </w:tc>
      </w:tr>
      <w:tr>
        <w:tc>
          <w:tcPr/>
          <w:p>
            <w:pPr>
              <w:pStyle w:val="Compact"/>
              <w:jc w:val="left"/>
            </w:pPr>
            <w:r>
              <w:rPr>
                <w:sz w:val="17"/>
              </w:rPr>
              <w:t xml:space="preserve">README</w:t>
            </w:r>
          </w:p>
        </w:tc>
        <w:tc>
          <w:tcPr/>
          <w:p>
            <w:pPr>
              <w:pStyle w:val="Compact"/>
              <w:jc w:val="left"/>
            </w:pPr>
            <w:r>
              <w:rPr>
                <w:sz w:val="17"/>
              </w:rPr>
              <w:t xml:space="preserve">purpose, how to use, list of approximations</w:t>
            </w:r>
          </w:p>
        </w:tc>
        <w:tc>
          <w:tcPr/>
          <w:p>
            <w:pPr>
              <w:pStyle w:val="Compact"/>
              <w:jc w:val="left"/>
            </w:pPr>
            <w:r>
              <w:rPr>
                <w:sz w:val="17"/>
              </w:rPr>
              <w:t xml:space="preserve">text</w:t>
            </w:r>
          </w:p>
        </w:tc>
      </w:tr>
      <w:tr>
        <w:tc>
          <w:tcPr/>
          <w:p>
            <w:pPr>
              <w:pStyle w:val="Compact"/>
              <w:jc w:val="left"/>
            </w:pPr>
            <w:r>
              <w:rPr>
                <w:sz w:val="17"/>
              </w:rPr>
              <w:t xml:space="preserve">Inputs</w:t>
            </w:r>
          </w:p>
        </w:tc>
        <w:tc>
          <w:tcPr/>
          <w:p>
            <w:pPr>
              <w:pStyle w:val="Compact"/>
              <w:jc w:val="left"/>
            </w:pPr>
            <w:r>
              <w:rPr>
                <w:sz w:val="17"/>
              </w:rPr>
              <w:t xml:space="preserve">scenario selector (1 to 6), LGD, scorecard scaling (PDO, base score, base odds; factor and offset are formulas), the logit intercept, Platt calibrator slope and intercept, prepay hinge coefficients, a one-loan calculator input block</w:t>
            </w:r>
          </w:p>
        </w:tc>
        <w:tc>
          <w:tcPr/>
          <w:p>
            <w:pPr>
              <w:pStyle w:val="Compact"/>
              <w:jc w:val="left"/>
            </w:pPr>
            <w:r>
              <w:rPr>
                <w:sz w:val="17"/>
              </w:rPr>
              <w:t xml:space="preserve">inputs; factor and offset live</w:t>
            </w:r>
          </w:p>
        </w:tc>
      </w:tr>
      <w:tr>
        <w:tc>
          <w:tcPr/>
          <w:p>
            <w:pPr>
              <w:pStyle w:val="Compact"/>
              <w:jc w:val="left"/>
            </w:pPr>
            <w:r>
              <w:rPr>
                <w:sz w:val="17"/>
              </w:rPr>
              <w:t xml:space="preserve">Scorecard</w:t>
            </w:r>
          </w:p>
        </w:tc>
        <w:tc>
          <w:tcPr/>
          <w:p>
            <w:pPr>
              <w:pStyle w:val="Compact"/>
              <w:jc w:val="left"/>
            </w:pPr>
            <w:r>
              <w:rPr>
                <w:sz w:val="17"/>
              </w:rPr>
              <w:t xml:space="preserve">the bin table from</w:t>
            </w:r>
            <w:r>
              <w:rPr>
                <w:sz w:val="17"/>
              </w:rPr>
              <w:t xml:space="preserve"> </w:t>
            </w:r>
            <w:r>
              <w:rPr>
                <w:rStyle w:val="VerbatimChar"/>
                <w:sz w:val="17"/>
              </w:rPr>
              <w:t xml:space="preserve">scorecard_table.csv</w:t>
            </w:r>
            <w:r>
              <w:rPr>
                <w:sz w:val="17"/>
              </w:rPr>
              <w:t xml:space="preserve"> </w:t>
            </w:r>
            <w:r>
              <w:rPr>
                <w:sz w:val="17"/>
              </w:rPr>
              <w:t xml:space="preserve">(variable, bin edges, WoE, coefficient, points) with a helper column of finite edges</w:t>
            </w:r>
          </w:p>
        </w:tc>
        <w:tc>
          <w:tcPr/>
          <w:p>
            <w:pPr>
              <w:pStyle w:val="Compact"/>
              <w:jc w:val="left"/>
            </w:pPr>
            <w:r>
              <w:rPr>
                <w:sz w:val="17"/>
              </w:rPr>
              <w:t xml:space="preserve">static values from Python</w:t>
            </w:r>
          </w:p>
        </w:tc>
      </w:tr>
      <w:tr>
        <w:tc>
          <w:tcPr/>
          <w:p>
            <w:pPr>
              <w:pStyle w:val="Compact"/>
              <w:jc w:val="left"/>
            </w:pPr>
            <w:r>
              <w:rPr>
                <w:sz w:val="17"/>
              </w:rPr>
              <w:t xml:space="preserve">Score_Calc</w:t>
            </w:r>
          </w:p>
        </w:tc>
        <w:tc>
          <w:tcPr/>
          <w:p>
            <w:pPr>
              <w:pStyle w:val="Compact"/>
              <w:jc w:val="left"/>
            </w:pPr>
            <w:r>
              <w:rPr>
                <w:sz w:val="17"/>
              </w:rPr>
              <w:t xml:space="preserve">one-loan scorecard calculator: looks up each variable's bin, WoE and points from the Inputs block, sums to a margin, calibrated PD and total score, and ranks the three variables with the largest shortfall against the best bin</w:t>
            </w:r>
          </w:p>
        </w:tc>
        <w:tc>
          <w:tcPr/>
          <w:p>
            <w:pPr>
              <w:pStyle w:val="Compact"/>
              <w:jc w:val="left"/>
            </w:pPr>
            <w:r>
              <w:rPr>
                <w:sz w:val="17"/>
              </w:rPr>
              <w:t xml:space="preserve">live</w:t>
            </w:r>
          </w:p>
        </w:tc>
      </w:tr>
      <w:tr>
        <w:tc>
          <w:tcPr/>
          <w:p>
            <w:pPr>
              <w:pStyle w:val="Compact"/>
              <w:jc w:val="left"/>
            </w:pPr>
            <w:r>
              <w:rPr>
                <w:sz w:val="17"/>
              </w:rPr>
              <w:t xml:space="preserve">Loan_Sample</w:t>
            </w:r>
          </w:p>
        </w:tc>
        <w:tc>
          <w:tcPr/>
          <w:p>
            <w:pPr>
              <w:pStyle w:val="Compact"/>
              <w:jc w:val="left"/>
            </w:pPr>
            <w:r>
              <w:rPr>
                <w:sz w:val="17"/>
              </w:rPr>
              <w:t xml:space="preserve">the 2,000 loans with their attributes and the Python scorecard PD, points and LightGBM PD (static), plus live columns for each variable's WoE, the margin, the calibrated PD, the points, the PD rank and the decile</w:t>
            </w:r>
          </w:p>
        </w:tc>
        <w:tc>
          <w:tcPr/>
          <w:p>
            <w:pPr>
              <w:pStyle w:val="Compact"/>
              <w:jc w:val="left"/>
            </w:pPr>
            <w:r>
              <w:rPr>
                <w:sz w:val="17"/>
              </w:rPr>
              <w:t xml:space="preserve">static attributes, live</w:t>
            </w:r>
            <w:r>
              <w:rPr>
                <w:sz w:val="17"/>
              </w:rPr>
              <w:t xml:space="preserve"> </w:t>
            </w:r>
            <w:r>
              <w:rPr>
                <w:rStyle w:val="VerbatimChar"/>
                <w:sz w:val="17"/>
              </w:rPr>
              <w:t xml:space="preserve">xl_</w:t>
            </w:r>
            <w:r>
              <w:rPr>
                <w:sz w:val="17"/>
              </w:rPr>
              <w:t xml:space="preserve"> </w:t>
            </w:r>
            <w:r>
              <w:rPr>
                <w:sz w:val="17"/>
              </w:rPr>
              <w:t xml:space="preserve">columns</w:t>
            </w:r>
          </w:p>
        </w:tc>
      </w:tr>
      <w:tr>
        <w:tc>
          <w:tcPr/>
          <w:p>
            <w:pPr>
              <w:pStyle w:val="Compact"/>
              <w:jc w:val="left"/>
            </w:pPr>
            <w:r>
              <w:rPr>
                <w:sz w:val="17"/>
              </w:rPr>
              <w:t xml:space="preserve">Deciles</w:t>
            </w:r>
          </w:p>
        </w:tc>
        <w:tc>
          <w:tcPr/>
          <w:p>
            <w:pPr>
              <w:pStyle w:val="Compact"/>
              <w:jc w:val="left"/>
            </w:pPr>
            <w:r>
              <w:rPr>
                <w:sz w:val="17"/>
              </w:rPr>
              <w:t xml:space="preserve">ten equal-count groups on the live PD: counts, events, rate, mean PD, cumulative capture, lift, KS gap, a trapezoid AUC and Gini, next to the full-population Python decile values</w:t>
            </w:r>
          </w:p>
        </w:tc>
        <w:tc>
          <w:tcPr/>
          <w:p>
            <w:pPr>
              <w:pStyle w:val="Compact"/>
              <w:jc w:val="left"/>
            </w:pPr>
            <w:r>
              <w:rPr>
                <w:sz w:val="17"/>
              </w:rPr>
              <w:t xml:space="preserve">live</w:t>
            </w:r>
          </w:p>
        </w:tc>
      </w:tr>
      <w:tr>
        <w:tc>
          <w:tcPr/>
          <w:p>
            <w:pPr>
              <w:pStyle w:val="Compact"/>
              <w:jc w:val="left"/>
            </w:pPr>
            <w:r>
              <w:rPr>
                <w:sz w:val="17"/>
              </w:rPr>
              <w:t xml:space="preserve">PSI</w:t>
            </w:r>
          </w:p>
        </w:tc>
        <w:tc>
          <w:tcPr/>
          <w:p>
            <w:pPr>
              <w:pStyle w:val="Compact"/>
              <w:jc w:val="left"/>
            </w:pPr>
            <w:r>
              <w:rPr>
                <w:sz w:val="17"/>
              </w:rPr>
              <w:t xml:space="preserve">the training decile bins (from</w:t>
            </w:r>
            <w:r>
              <w:rPr>
                <w:sz w:val="17"/>
              </w:rPr>
              <w:t xml:space="preserve"> </w:t>
            </w:r>
            <w:r>
              <w:rPr>
                <w:rStyle w:val="VerbatimChar"/>
                <w:sz w:val="17"/>
              </w:rPr>
              <w:t xml:space="preserve">psi_train_bins.csv</w:t>
            </w:r>
            <w:r>
              <w:rPr>
                <w:sz w:val="17"/>
              </w:rPr>
              <w:t xml:space="preserve">) against the live sample score shares, with the share floor and bands; total PSI</w:t>
            </w:r>
          </w:p>
        </w:tc>
        <w:tc>
          <w:tcPr/>
          <w:p>
            <w:pPr>
              <w:pStyle w:val="Compact"/>
              <w:jc w:val="left"/>
            </w:pPr>
            <w:r>
              <w:rPr>
                <w:sz w:val="17"/>
              </w:rPr>
              <w:t xml:space="preserve">live</w:t>
            </w:r>
          </w:p>
        </w:tc>
      </w:tr>
      <w:tr>
        <w:tc>
          <w:tcPr/>
          <w:p>
            <w:pPr>
              <w:pStyle w:val="Compact"/>
              <w:jc w:val="left"/>
            </w:pPr>
            <w:r>
              <w:rPr>
                <w:sz w:val="17"/>
              </w:rPr>
              <w:t xml:space="preserve">Calibration</w:t>
            </w:r>
          </w:p>
        </w:tc>
        <w:tc>
          <w:tcPr/>
          <w:p>
            <w:pPr>
              <w:pStyle w:val="Compact"/>
              <w:jc w:val="left"/>
            </w:pPr>
            <w:r>
              <w:rPr>
                <w:sz w:val="17"/>
              </w:rPr>
              <w:t xml:space="preserve">predicted against observed by decile, Brier score against a constant-forecast Brier, Hosmer-Lemeshow, expected against observed events</w:t>
            </w:r>
          </w:p>
        </w:tc>
        <w:tc>
          <w:tcPr/>
          <w:p>
            <w:pPr>
              <w:pStyle w:val="Compact"/>
              <w:jc w:val="left"/>
            </w:pPr>
            <w:r>
              <w:rPr>
                <w:sz w:val="17"/>
              </w:rPr>
              <w:t xml:space="preserve">live</w:t>
            </w:r>
          </w:p>
        </w:tc>
      </w:tr>
      <w:tr>
        <w:tc>
          <w:tcPr/>
          <w:p>
            <w:pPr>
              <w:pStyle w:val="Compact"/>
              <w:jc w:val="left"/>
            </w:pPr>
            <w:r>
              <w:rPr>
                <w:sz w:val="17"/>
              </w:rPr>
              <w:t xml:space="preserve">Scenario</w:t>
            </w:r>
          </w:p>
        </w:tc>
        <w:tc>
          <w:tcPr/>
          <w:p>
            <w:pPr>
              <w:pStyle w:val="Compact"/>
              <w:jc w:val="left"/>
            </w:pPr>
            <w:r>
              <w:rPr>
                <w:sz w:val="17"/>
              </w:rPr>
              <w:t xml:space="preserve">the selected shock applied to the sample (unemployment added, MTM LTV divided by one plus the HPI shock, incentive reduced by the rate shock), re-binned scorecard PD, expected loss as PD times LGD times balance, and prepay SMM from the hinge logit; base against selected; Python GBM reference below</w:t>
            </w:r>
          </w:p>
        </w:tc>
        <w:tc>
          <w:tcPr/>
          <w:p>
            <w:pPr>
              <w:pStyle w:val="Compact"/>
              <w:jc w:val="left"/>
            </w:pPr>
            <w:r>
              <w:rPr>
                <w:sz w:val="17"/>
              </w:rPr>
              <w:t xml:space="preserve">live</w:t>
            </w:r>
          </w:p>
        </w:tc>
      </w:tr>
      <w:tr>
        <w:tc>
          <w:tcPr/>
          <w:p>
            <w:pPr>
              <w:pStyle w:val="Compact"/>
              <w:jc w:val="left"/>
            </w:pPr>
            <w:r>
              <w:rPr>
                <w:sz w:val="17"/>
              </w:rPr>
              <w:t xml:space="preserve">Checks</w:t>
            </w:r>
          </w:p>
        </w:tc>
        <w:tc>
          <w:tcPr/>
          <w:p>
            <w:pPr>
              <w:pStyle w:val="Compact"/>
              <w:jc w:val="left"/>
            </w:pPr>
            <w:r>
              <w:rPr>
                <w:sz w:val="17"/>
              </w:rPr>
              <w:t xml:space="preserve">14 integrity checks (counts, bounds, rank permutation, shares sum to one, live PD and points against the exported Python values) and an all-pass cell</w:t>
            </w:r>
          </w:p>
        </w:tc>
        <w:tc>
          <w:tcPr/>
          <w:p>
            <w:pPr>
              <w:pStyle w:val="Compact"/>
              <w:jc w:val="left"/>
            </w:pPr>
            <w:r>
              <w:rPr>
                <w:sz w:val="17"/>
              </w:rPr>
              <w:t xml:space="preserve">live</w:t>
            </w:r>
          </w:p>
        </w:tc>
      </w:tr>
      <w:tr>
        <w:tc>
          <w:tcPr/>
          <w:p>
            <w:pPr>
              <w:pStyle w:val="Compact"/>
              <w:jc w:val="left"/>
            </w:pPr>
            <w:r>
              <w:rPr>
                <w:sz w:val="17"/>
              </w:rPr>
              <w:t xml:space="preserve">Conclusions</w:t>
            </w:r>
          </w:p>
        </w:tc>
        <w:tc>
          <w:tcPr/>
          <w:p>
            <w:pPr>
              <w:pStyle w:val="Compact"/>
              <w:jc w:val="left"/>
            </w:pPr>
            <w:r>
              <w:rPr>
                <w:sz w:val="17"/>
              </w:rPr>
              <w:t xml:space="preserve">static text written by the builder from the computed numbers</w:t>
            </w:r>
          </w:p>
        </w:tc>
        <w:tc>
          <w:tcPr/>
          <w:p>
            <w:pPr>
              <w:pStyle w:val="Compact"/>
              <w:jc w:val="left"/>
            </w:pPr>
            <w:r>
              <w:rPr>
                <w:sz w:val="17"/>
              </w:rPr>
              <w:t xml:space="preserve">text</w:t>
            </w:r>
          </w:p>
        </w:tc>
      </w:tr>
      <w:tr>
        <w:tc>
          <w:tcPr/>
          <w:p>
            <w:pPr>
              <w:pStyle w:val="Compact"/>
              <w:jc w:val="left"/>
            </w:pPr>
            <w:r>
              <w:rPr>
                <w:sz w:val="17"/>
              </w:rPr>
              <w:t xml:space="preserve">Python_Ref</w:t>
            </w:r>
          </w:p>
        </w:tc>
        <w:tc>
          <w:tcPr/>
          <w:p>
            <w:pPr>
              <w:pStyle w:val="Compact"/>
              <w:jc w:val="left"/>
            </w:pPr>
            <w:r>
              <w:rPr>
                <w:sz w:val="17"/>
              </w:rPr>
              <w:t xml:space="preserve">imported Python benchmark, decile, PSI bins, CSI and scenario summary tables used for side-by-side comparison</w:t>
            </w:r>
          </w:p>
        </w:tc>
        <w:tc>
          <w:tcPr/>
          <w:p>
            <w:pPr>
              <w:pStyle w:val="Compact"/>
              <w:jc w:val="left"/>
            </w:pPr>
            <w:r>
              <w:rPr>
                <w:sz w:val="17"/>
              </w:rPr>
              <w:t xml:space="preserve">static values</w:t>
            </w:r>
          </w:p>
        </w:tc>
      </w:tr>
      <w:tr>
        <w:tc>
          <w:tcPr/>
          <w:p>
            <w:pPr>
              <w:pStyle w:val="Compact"/>
              <w:jc w:val="left"/>
            </w:pPr>
            <w:r>
              <w:rPr>
                <w:sz w:val="17"/>
              </w:rPr>
              <w:t xml:space="preserve">Curves_Python</w:t>
            </w:r>
          </w:p>
        </w:tc>
        <w:tc>
          <w:tcPr/>
          <w:p>
            <w:pPr>
              <w:pStyle w:val="Compact"/>
              <w:jc w:val="left"/>
            </w:pPr>
            <w:r>
              <w:rPr>
                <w:sz w:val="17"/>
              </w:rPr>
              <w:t xml:space="preserve">the 60-month Python scenario curves (</w:t>
            </w:r>
            <w:r>
              <w:rPr>
                <w:rStyle w:val="VerbatimChar"/>
                <w:sz w:val="17"/>
              </w:rPr>
              <w:t xml:space="preserve">scenario_curves.csv</w:t>
            </w:r>
            <w:r>
              <w:rPr>
                <w:sz w:val="17"/>
              </w:rPr>
              <w:t xml:space="preserve">)</w:t>
            </w:r>
          </w:p>
        </w:tc>
        <w:tc>
          <w:tcPr/>
          <w:p>
            <w:pPr>
              <w:pStyle w:val="Compact"/>
              <w:jc w:val="left"/>
            </w:pPr>
            <w:r>
              <w:rPr>
                <w:sz w:val="17"/>
              </w:rPr>
              <w:t xml:space="preserve">static values</w:t>
            </w:r>
          </w:p>
        </w:tc>
      </w:tr>
    </w:tbl>
    <w:p>
      <w:pPr>
        <w:pStyle w:val="BodyText"/>
      </w:pPr>
      <w:r>
        <w:t xml:space="preserve">Three mechanics deserve explanation. First, a bin lookup: for a value</w:t>
      </w:r>
      <w:r>
        <w:t xml:space="preserve"> </w:t>
      </w:r>
      <m:oMath>
        <m:r>
          <m:t>x</m:t>
        </m:r>
      </m:oMath>
      <w:r>
        <w:t xml:space="preserve"> </w:t>
      </w:r>
      <w:r>
        <w:t xml:space="preserve">and a variable's finite bin edges</w:t>
      </w:r>
      <w:r>
        <w:t xml:space="preserve"> </w:t>
      </w:r>
      <m:oMath>
        <m:sSub>
          <m:e>
            <m:r>
              <m:t>e</m:t>
            </m:r>
          </m:e>
          <m:sub>
            <m:r>
              <m:t>1</m:t>
            </m:r>
          </m:sub>
        </m:sSub>
        <m:r>
          <m:rPr>
            <m:sty m:val="p"/>
          </m:rPr>
          <m:t>&lt;</m:t>
        </m:r>
        <m:r>
          <m:rPr>
            <m:sty m:val="p"/>
          </m:rPr>
          <m:t>…</m:t>
        </m:r>
        <m:r>
          <m:rPr>
            <m:sty m:val="p"/>
          </m:rPr>
          <m:t>&lt;</m:t>
        </m:r>
        <m:sSub>
          <m:e>
            <m:r>
              <m:t>e</m:t>
            </m:r>
          </m:e>
          <m:sub>
            <m:r>
              <m:t>k</m:t>
            </m:r>
            <m:r>
              <m:rPr>
                <m:sty m:val="p"/>
              </m:rPr>
              <m:t>−</m:t>
            </m:r>
            <m:r>
              <m:t>1</m:t>
            </m:r>
          </m:sub>
        </m:sSub>
      </m:oMath>
      <w:r>
        <w:t xml:space="preserve">, the bin number is one plus the count of edges strictly below</w:t>
      </w:r>
      <w:r>
        <w:t xml:space="preserve"> </w:t>
      </w:r>
      <m:oMath>
        <m:r>
          <m:t>x</m:t>
        </m:r>
      </m:oMath>
      <w:r>
        <w:t xml:space="preserve">, i.e.</w:t>
      </w:r>
      <w:r>
        <w:t xml:space="preserve"> </w:t>
      </w:r>
      <w:r>
        <w:rPr>
          <w:rStyle w:val="VerbatimChar"/>
        </w:rPr>
        <w:t xml:space="preserve">SUMPRODUCT(--(edges&lt;x))+1</w:t>
      </w:r>
      <w:r>
        <w:t xml:space="preserve">, which reproduces the right-closed bins of</w:t>
      </w:r>
      <w:r>
        <w:t xml:space="preserve"> </w:t>
      </w:r>
      <w:r>
        <w:rPr>
          <w:rStyle w:val="VerbatimChar"/>
        </w:rPr>
        <w:t xml:space="preserve">BinSpec.bin_index</w:t>
      </w:r>
      <w:r>
        <w:t xml:space="preserve">; a blank input falls into the "missing" bin. Second, the calibrated PD in Excel applies the stored Platt slope</w:t>
      </w:r>
      <w:r>
        <w:t xml:space="preserve"> </w:t>
      </w:r>
      <m:oMath>
        <m:r>
          <m:t>a</m:t>
        </m:r>
        <m:r>
          <m:rPr>
            <m:sty m:val="p"/>
          </m:rPr>
          <m:t>=</m:t>
        </m:r>
        <m:r>
          <m:t>1.0661</m:t>
        </m:r>
      </m:oMath>
      <w:r>
        <w:t xml:space="preserve"> </w:t>
      </w:r>
      <w:r>
        <w:t xml:space="preserve">and intercept</w:t>
      </w:r>
      <w:r>
        <w:t xml:space="preserve"> </w:t>
      </w:r>
      <m:oMath>
        <m:r>
          <m:t>b</m:t>
        </m:r>
        <m:r>
          <m:rPr>
            <m:sty m:val="p"/>
          </m:rPr>
          <m:t>=</m:t>
        </m:r>
        <m:r>
          <m:t>0.2036</m:t>
        </m:r>
      </m:oMath>
      <w:r>
        <w:t xml:space="preserve"> </w:t>
      </w:r>
      <w:r>
        <w:t xml:space="preserve">to the scorecard margin</w:t>
      </w:r>
      <w:r>
        <w:t xml:space="preserve"> </w:t>
      </w:r>
      <m:oMath>
        <m:r>
          <m:t>z</m:t>
        </m:r>
      </m:oMath>
      <w:r>
        <w:t xml:space="preserve">,</w:t>
      </w:r>
      <w:r>
        <w:t xml:space="preserve"> </w:t>
      </w:r>
      <m:oMath>
        <m:r>
          <m:t>p</m:t>
        </m:r>
        <m:r>
          <m:rPr>
            <m:sty m:val="p"/>
          </m:rPr>
          <m:t>=</m:t>
        </m:r>
        <m:r>
          <m:t>σ</m:t>
        </m:r>
        <m:r>
          <m:rPr>
            <m:sty m:val="p"/>
          </m:rPr>
          <m:t>(</m:t>
        </m:r>
        <m:r>
          <m:t>a</m:t>
        </m:r>
        <m:r>
          <m:t>z</m:t>
        </m:r>
        <m:r>
          <m:rPr>
            <m:sty m:val="p"/>
          </m:rPr>
          <m:t>+</m:t>
        </m:r>
        <m:r>
          <m:t>b</m:t>
        </m:r>
        <m:r>
          <m:rPr>
            <m:sty m:val="p"/>
          </m:rPr>
          <m:t>)</m:t>
        </m:r>
      </m:oMath>
      <w:r>
        <w:t xml:space="preserve">, clipped to</w:t>
      </w:r>
      <w:r>
        <w:t xml:space="preserve"> </w:t>
      </w:r>
      <m:oMath>
        <m:r>
          <m:rPr>
            <m:sty m:val="p"/>
          </m:rPr>
          <m:t>[</m:t>
        </m:r>
        <m:sSup>
          <m:e>
            <m:r>
              <m:t>10</m:t>
            </m:r>
          </m:e>
          <m:sup>
            <m:r>
              <m:rPr>
                <m:sty m:val="p"/>
              </m:rPr>
              <m:t>−</m:t>
            </m:r>
            <m:r>
              <m:t>6</m:t>
            </m:r>
          </m:sup>
        </m:sSup>
        <m:r>
          <m:rPr>
            <m:sty m:val="p"/>
          </m:rPr>
          <m:t>,</m:t>
        </m:r>
        <m:r>
          <m:t>1</m:t>
        </m:r>
        <m:r>
          <m:rPr>
            <m:sty m:val="p"/>
          </m:rPr>
          <m:t>−</m:t>
        </m:r>
        <m:sSup>
          <m:e>
            <m:r>
              <m:t>10</m:t>
            </m:r>
          </m:e>
          <m:sup>
            <m:r>
              <m:rPr>
                <m:sty m:val="p"/>
              </m:rPr>
              <m:t>−</m:t>
            </m:r>
            <m:r>
              <m:t>6</m:t>
            </m:r>
          </m:sup>
        </m:sSup>
        <m:r>
          <m:rPr>
            <m:sty m:val="p"/>
          </m:rPr>
          <m:t>]</m:t>
        </m:r>
      </m:oMath>
      <w:r>
        <w:t xml:space="preserve">, mirroring the Python calibrator for the scorecard. Third, the rank and decile columns replicate</w:t>
      </w:r>
      <w:r>
        <w:t xml:space="preserve"> </w:t>
      </w:r>
      <w:r>
        <w:rPr>
          <w:rStyle w:val="VerbatimChar"/>
        </w:rPr>
        <w:t xml:space="preserve">evaluation.decile_table</w:t>
      </w:r>
      <w:r>
        <w:t xml:space="preserve">: sorted by descending PD with ties broken by input order (a</w:t>
      </w:r>
      <w:r>
        <w:t xml:space="preserve"> </w:t>
      </w:r>
      <w:r>
        <w:rPr>
          <w:rStyle w:val="VerbatimChar"/>
        </w:rPr>
        <w:t xml:space="preserve">COUNTIF</w:t>
      </w:r>
      <w:r>
        <w:t xml:space="preserve"> </w:t>
      </w:r>
      <w:r>
        <w:t xml:space="preserve">tiebreak on rank), with the remainder loans going to the first groups as in</w:t>
      </w:r>
      <w:r>
        <w:t xml:space="preserve"> </w:t>
      </w:r>
      <w:r>
        <w:rPr>
          <w:rStyle w:val="VerbatimChar"/>
        </w:rPr>
        <w:t xml:space="preserve">numpy.array_split</w:t>
      </w:r>
      <w:r>
        <w:t xml:space="preserve">.</w:t>
      </w:r>
    </w:p>
    <w:bookmarkEnd w:id="125"/>
    <w:bookmarkStart w:id="126" w:name="X4c15c269832c26610295f0690735e800d5c7e24"/>
    <w:p>
      <w:pPr>
        <w:pStyle w:val="Heading2"/>
      </w:pPr>
      <w:r>
        <w:rPr>
          <w:rStyle w:val="SectionNumber"/>
        </w:rPr>
        <w:t xml:space="preserve">11.3</w:t>
      </w:r>
      <w:r>
        <w:tab/>
      </w:r>
      <w:r>
        <w:t xml:space="preserve">Approximations the workbook makes on purpose</w:t>
      </w:r>
    </w:p>
    <w:p>
      <w:pPr>
        <w:pStyle w:val="Compact"/>
        <w:numPr>
          <w:ilvl w:val="0"/>
          <w:numId w:val="1006"/>
        </w:numPr>
      </w:pPr>
      <w:r>
        <w:rPr>
          <w:b/>
          <w:bCs/>
        </w:rPr>
        <w:t xml:space="preserve">Prepay burnout.</w:t>
      </w:r>
      <w:r>
        <w:t xml:space="preserve"> </w:t>
      </w:r>
      <w:r>
        <w:t xml:space="preserve">The sample has no burnout history, so the prepay hinge logit uses a single burnout value of 36.4 months, solved so that the sample's base 12-month prepay equals the Python GBM base. This is labelled an approximation on the Inputs sheet.</w:t>
      </w:r>
    </w:p>
    <w:p>
      <w:pPr>
        <w:pStyle w:val="Compact"/>
        <w:numPr>
          <w:ilvl w:val="0"/>
          <w:numId w:val="1006"/>
        </w:numPr>
      </w:pPr>
      <w:r>
        <w:rPr>
          <w:b/>
          <w:bCs/>
        </w:rPr>
        <w:t xml:space="preserve">Scenario step.</w:t>
      </w:r>
      <w:r>
        <w:t xml:space="preserve"> </w:t>
      </w:r>
      <w:r>
        <w:t xml:space="preserve">The full shock is applied at the snapshot with no ramp, and prepay is annualized at a constant SMM, so the Excel scenario table is not comparable with the 60-month Python projection; the Python reference values are shown beside it for context only.</w:t>
      </w:r>
    </w:p>
    <w:p>
      <w:pPr>
        <w:pStyle w:val="Compact"/>
        <w:numPr>
          <w:ilvl w:val="0"/>
          <w:numId w:val="1006"/>
        </w:numPr>
      </w:pPr>
      <w:r>
        <w:rPr>
          <w:b/>
          <w:bCs/>
        </w:rPr>
        <w:t xml:space="preserve">Rate shocks.</w:t>
      </w:r>
      <w:r>
        <w:t xml:space="preserve"> </w:t>
      </w:r>
      <w:r>
        <w:t xml:space="preserve">The scorecard moves with a rate shock only through its</w:t>
      </w:r>
      <w:r>
        <w:t xml:space="preserve"> </w:t>
      </w:r>
      <w:r>
        <w:rPr>
          <w:rStyle w:val="VerbatimChar"/>
        </w:rPr>
        <w:t xml:space="preserve">incentive</w:t>
      </w:r>
      <w:r>
        <w:t xml:space="preserve"> </w:t>
      </w:r>
      <w:r>
        <w:t xml:space="preserve">variable, while the hinge logit moves a great deal, so Excel rate scenarios mainly demonstrate the mechanics.</w:t>
      </w:r>
    </w:p>
    <w:p>
      <w:pPr>
        <w:pStyle w:val="Compact"/>
        <w:numPr>
          <w:ilvl w:val="0"/>
          <w:numId w:val="1006"/>
        </w:numPr>
      </w:pPr>
      <w:r>
        <w:rPr>
          <w:b/>
          <w:bCs/>
        </w:rPr>
        <w:t xml:space="preserve">AUC and Gini.</w:t>
      </w:r>
      <w:r>
        <w:t xml:space="preserve"> </w:t>
      </w:r>
      <w:r>
        <w:t xml:space="preserve">Computed from the decile ROC trapezoid, an approximation of the exact AUC.</w:t>
      </w:r>
    </w:p>
    <w:bookmarkEnd w:id="126"/>
    <w:bookmarkStart w:id="127" w:name="reconciliation-to-python"/>
    <w:p>
      <w:pPr>
        <w:pStyle w:val="Heading2"/>
      </w:pPr>
      <w:r>
        <w:rPr>
          <w:rStyle w:val="SectionNumber"/>
        </w:rPr>
        <w:t xml:space="preserve">11.4</w:t>
      </w:r>
      <w:r>
        <w:tab/>
      </w:r>
      <w:r>
        <w:t xml:space="preserve">Reconciliation to Python</w:t>
      </w:r>
    </w:p>
    <w:p>
      <w:pPr>
        <w:pStyle w:val="FirstParagraph"/>
      </w:pPr>
      <w:r>
        <w:rPr>
          <w:rStyle w:val="VerbatimChar"/>
        </w:rPr>
        <w:t xml:space="preserve">mortgage_risk/reconcile_excel.py</w:t>
      </w:r>
      <w:r>
        <w:t xml:space="preserve"> </w:t>
      </w:r>
      <w:r>
        <w:t xml:space="preserve">rebuilds the workbook, recalculates it headlessly in LibreOffice, reads the results back and compares each quantity with an independent Python computation. It runs 6 scenario cases (Base (selector 1, passed), Rates +200bp (selector 2, passed), Rates -200bp (selector 3, passed), HPI -20% (selector 4, passed), Unemployment +4pt (selector 5, passed), Adverse combined (selector 6, passed)). Overall result:</w:t>
      </w:r>
      <w:r>
        <w:t xml:space="preserve"> </w:t>
      </w:r>
      <w:r>
        <w:rPr>
          <w:b/>
          <w:bCs/>
        </w:rPr>
        <w:t xml:space="preserve">all comparisons passed</w:t>
      </w:r>
      <w:r>
        <w:t xml:space="preserve">; the report recorded 62,535 formulas and a run time of 43.4 seconds. The largest absolute difference across all quantities is 3.1e-05 (</w:t>
      </w:r>
      <w:r>
        <w:rPr>
          <w:rStyle w:val="VerbatimChar"/>
        </w:rPr>
        <w:t xml:space="preserve">vs_exported_python_points</w:t>
      </w:r>
      <w:r>
        <w:t xml:space="preserve">); every quantity computed from the same inputs agrees to better than 1e-8 except the comparison with the values Python exported to the CSV, which is limited by the float32 precision at which the loan attributes are stored.</w:t>
      </w:r>
    </w:p>
    <w:p>
      <w:pPr>
        <w:pStyle w:val="TableCaption"/>
      </w:pPr>
      <w:r>
        <w:t xml:space="preserve">Excel reconciliation, worst absolute difference over the cases (from</w:t>
      </w:r>
      <w:r>
        <w:t xml:space="preserve"> </w:t>
      </w:r>
      <w:r>
        <w:rPr>
          <w:rStyle w:val="VerbatimChar"/>
        </w:rPr>
        <w:t xml:space="preserve">outputs/excel_reconciliation.json</w:t>
      </w:r>
      <w:r>
        <w:t xml:space="preserve">).</w:t>
      </w:r>
    </w:p>
    <w:tbl>
      <w:tblPr>
        <w:tblStyle w:val="Table"/>
        <w:tblW w:type="pct" w:w="5000"/>
        <w:tblLayout w:type="fixed"/>
        <w:tblLook w:firstRow="1" w:lastRow="0" w:firstColumn="0" w:lastColumn="0" w:noHBand="0" w:noVBand="0" w:val="0020"/>
        <w:tblCaption w:val="Excel reconciliation, worst absolute difference over the cases (from outputs/excel_reconciliation.jso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jc w:val="left"/>
            </w:pPr>
            <w:r>
              <w:rPr>
                <w:sz w:val="17"/>
              </w:rPr>
              <w:t xml:space="preserve">Quantity</w:t>
            </w:r>
          </w:p>
        </w:tc>
        <w:tc>
          <w:tcPr/>
          <w:p>
            <w:pPr>
              <w:pStyle w:val="Compact"/>
              <w:jc w:val="right"/>
            </w:pPr>
            <w:r>
              <w:rPr>
                <w:sz w:val="17"/>
              </w:rPr>
              <w:t xml:space="preserve">Worst absolute difference, Excel against Python</w:t>
            </w:r>
          </w:p>
        </w:tc>
      </w:tr>
      <w:tr>
        <w:tc>
          <w:tcPr/>
          <w:p>
            <w:pPr>
              <w:pStyle w:val="Compact"/>
              <w:jc w:val="left"/>
            </w:pPr>
            <w:r>
              <w:rPr>
                <w:sz w:val="17"/>
              </w:rPr>
              <w:t xml:space="preserve">Calibrated scorecard PD, each of the sample loans</w:t>
            </w:r>
          </w:p>
        </w:tc>
        <w:tc>
          <w:tcPr/>
          <w:p>
            <w:pPr>
              <w:pStyle w:val="Compact"/>
              <w:jc w:val="right"/>
            </w:pPr>
            <w:r>
              <w:rPr>
                <w:sz w:val="17"/>
              </w:rPr>
              <w:t xml:space="preserve">4.6e-16</w:t>
            </w:r>
          </w:p>
        </w:tc>
      </w:tr>
      <w:tr>
        <w:tc>
          <w:tcPr/>
          <w:p>
            <w:pPr>
              <w:pStyle w:val="Compact"/>
              <w:jc w:val="left"/>
            </w:pPr>
            <w:r>
              <w:rPr>
                <w:sz w:val="17"/>
              </w:rPr>
              <w:t xml:space="preserve">Scorecard points, each loan</w:t>
            </w:r>
          </w:p>
        </w:tc>
        <w:tc>
          <w:tcPr/>
          <w:p>
            <w:pPr>
              <w:pStyle w:val="Compact"/>
              <w:jc w:val="right"/>
            </w:pPr>
            <w:r>
              <w:rPr>
                <w:sz w:val="17"/>
              </w:rPr>
              <w:t xml:space="preserve">6.8e-13</w:t>
            </w:r>
          </w:p>
        </w:tc>
      </w:tr>
      <w:tr>
        <w:tc>
          <w:tcPr/>
          <w:p>
            <w:pPr>
              <w:pStyle w:val="Compact"/>
              <w:jc w:val="left"/>
            </w:pPr>
            <w:r>
              <w:rPr>
                <w:sz w:val="17"/>
              </w:rPr>
              <w:t xml:space="preserve">PD rank, each loan</w:t>
            </w:r>
          </w:p>
        </w:tc>
        <w:tc>
          <w:tcPr/>
          <w:p>
            <w:pPr>
              <w:pStyle w:val="Compact"/>
              <w:jc w:val="right"/>
            </w:pPr>
            <w:r>
              <w:rPr>
                <w:sz w:val="17"/>
              </w:rPr>
              <w:t xml:space="preserve">0.0e+00</w:t>
            </w:r>
          </w:p>
        </w:tc>
      </w:tr>
      <w:tr>
        <w:tc>
          <w:tcPr/>
          <w:p>
            <w:pPr>
              <w:pStyle w:val="Compact"/>
              <w:jc w:val="left"/>
            </w:pPr>
            <w:r>
              <w:rPr>
                <w:sz w:val="17"/>
              </w:rPr>
              <w:t xml:space="preserve">Decile assignment, each loan</w:t>
            </w:r>
          </w:p>
        </w:tc>
        <w:tc>
          <w:tcPr/>
          <w:p>
            <w:pPr>
              <w:pStyle w:val="Compact"/>
              <w:jc w:val="right"/>
            </w:pPr>
            <w:r>
              <w:rPr>
                <w:sz w:val="17"/>
              </w:rPr>
              <w:t xml:space="preserve">0.0e+00</w:t>
            </w:r>
          </w:p>
        </w:tc>
      </w:tr>
      <w:tr>
        <w:tc>
          <w:tcPr/>
          <w:p>
            <w:pPr>
              <w:pStyle w:val="Compact"/>
              <w:jc w:val="left"/>
            </w:pPr>
            <w:r>
              <w:rPr>
                <w:sz w:val="17"/>
              </w:rPr>
              <w:t xml:space="preserve">Excel PD against the PD stored by Python in loan_sample.csv</w:t>
            </w:r>
          </w:p>
        </w:tc>
        <w:tc>
          <w:tcPr/>
          <w:p>
            <w:pPr>
              <w:pStyle w:val="Compact"/>
              <w:jc w:val="right"/>
            </w:pPr>
            <w:r>
              <w:rPr>
                <w:sz w:val="17"/>
              </w:rPr>
              <w:t xml:space="preserve">1.1e-08</w:t>
            </w:r>
          </w:p>
        </w:tc>
      </w:tr>
      <w:tr>
        <w:tc>
          <w:tcPr/>
          <w:p>
            <w:pPr>
              <w:pStyle w:val="Compact"/>
              <w:jc w:val="left"/>
            </w:pPr>
            <w:r>
              <w:rPr>
                <w:sz w:val="17"/>
              </w:rPr>
              <w:t xml:space="preserve">Excel points against the points stored by Python</w:t>
            </w:r>
          </w:p>
        </w:tc>
        <w:tc>
          <w:tcPr/>
          <w:p>
            <w:pPr>
              <w:pStyle w:val="Compact"/>
              <w:jc w:val="right"/>
            </w:pPr>
            <w:r>
              <w:rPr>
                <w:sz w:val="17"/>
              </w:rPr>
              <w:t xml:space="preserve">3.1e-05</w:t>
            </w:r>
          </w:p>
        </w:tc>
      </w:tr>
      <w:tr>
        <w:tc>
          <w:tcPr/>
          <w:p>
            <w:pPr>
              <w:pStyle w:val="Compact"/>
              <w:jc w:val="left"/>
            </w:pPr>
            <w:r>
              <w:rPr>
                <w:sz w:val="17"/>
              </w:rPr>
              <w:t xml:space="preserve">Decile loan counts</w:t>
            </w:r>
          </w:p>
        </w:tc>
        <w:tc>
          <w:tcPr/>
          <w:p>
            <w:pPr>
              <w:pStyle w:val="Compact"/>
              <w:jc w:val="right"/>
            </w:pPr>
            <w:r>
              <w:rPr>
                <w:sz w:val="17"/>
              </w:rPr>
              <w:t xml:space="preserve">0.0e+00</w:t>
            </w:r>
          </w:p>
        </w:tc>
      </w:tr>
      <w:tr>
        <w:tc>
          <w:tcPr/>
          <w:p>
            <w:pPr>
              <w:pStyle w:val="Compact"/>
              <w:jc w:val="left"/>
            </w:pPr>
            <w:r>
              <w:rPr>
                <w:sz w:val="17"/>
              </w:rPr>
              <w:t xml:space="preserve">Decile event counts</w:t>
            </w:r>
          </w:p>
        </w:tc>
        <w:tc>
          <w:tcPr/>
          <w:p>
            <w:pPr>
              <w:pStyle w:val="Compact"/>
              <w:jc w:val="right"/>
            </w:pPr>
            <w:r>
              <w:rPr>
                <w:sz w:val="17"/>
              </w:rPr>
              <w:t xml:space="preserve">0.0e+00</w:t>
            </w:r>
          </w:p>
        </w:tc>
      </w:tr>
      <w:tr>
        <w:tc>
          <w:tcPr/>
          <w:p>
            <w:pPr>
              <w:pStyle w:val="Compact"/>
              <w:jc w:val="left"/>
            </w:pPr>
            <w:r>
              <w:rPr>
                <w:sz w:val="17"/>
              </w:rPr>
              <w:t xml:space="preserve">Decile mean PD</w:t>
            </w:r>
          </w:p>
        </w:tc>
        <w:tc>
          <w:tcPr/>
          <w:p>
            <w:pPr>
              <w:pStyle w:val="Compact"/>
              <w:jc w:val="right"/>
            </w:pPr>
            <w:r>
              <w:rPr>
                <w:sz w:val="17"/>
              </w:rPr>
              <w:t xml:space="preserve">6.9e-17</w:t>
            </w:r>
          </w:p>
        </w:tc>
      </w:tr>
      <w:tr>
        <w:tc>
          <w:tcPr/>
          <w:p>
            <w:pPr>
              <w:pStyle w:val="Compact"/>
              <w:jc w:val="left"/>
            </w:pPr>
            <w:r>
              <w:rPr>
                <w:sz w:val="17"/>
              </w:rPr>
              <w:t xml:space="preserve">Decile lift</w:t>
            </w:r>
          </w:p>
        </w:tc>
        <w:tc>
          <w:tcPr/>
          <w:p>
            <w:pPr>
              <w:pStyle w:val="Compact"/>
              <w:jc w:val="right"/>
            </w:pPr>
            <w:r>
              <w:rPr>
                <w:sz w:val="17"/>
              </w:rPr>
              <w:t xml:space="preserve">4.2e-15</w:t>
            </w:r>
          </w:p>
        </w:tc>
      </w:tr>
      <w:tr>
        <w:tc>
          <w:tcPr/>
          <w:p>
            <w:pPr>
              <w:pStyle w:val="Compact"/>
              <w:jc w:val="left"/>
            </w:pPr>
            <w:r>
              <w:rPr>
                <w:sz w:val="17"/>
              </w:rPr>
              <w:t xml:space="preserve">KS statistic</w:t>
            </w:r>
          </w:p>
        </w:tc>
        <w:tc>
          <w:tcPr/>
          <w:p>
            <w:pPr>
              <w:pStyle w:val="Compact"/>
              <w:jc w:val="right"/>
            </w:pPr>
            <w:r>
              <w:rPr>
                <w:sz w:val="17"/>
              </w:rPr>
              <w:t xml:space="preserve">3.3e-16</w:t>
            </w:r>
          </w:p>
        </w:tc>
      </w:tr>
      <w:tr>
        <w:tc>
          <w:tcPr/>
          <w:p>
            <w:pPr>
              <w:pStyle w:val="Compact"/>
              <w:jc w:val="left"/>
            </w:pPr>
            <w:r>
              <w:rPr>
                <w:sz w:val="17"/>
              </w:rPr>
              <w:t xml:space="preserve">Approximate AUC (decile ROC trapezoid)</w:t>
            </w:r>
          </w:p>
        </w:tc>
        <w:tc>
          <w:tcPr/>
          <w:p>
            <w:pPr>
              <w:pStyle w:val="Compact"/>
              <w:jc w:val="right"/>
            </w:pPr>
            <w:r>
              <w:rPr>
                <w:sz w:val="17"/>
              </w:rPr>
              <w:t xml:space="preserve">0.0e+00</w:t>
            </w:r>
          </w:p>
        </w:tc>
      </w:tr>
      <w:tr>
        <w:tc>
          <w:tcPr/>
          <w:p>
            <w:pPr>
              <w:pStyle w:val="Compact"/>
              <w:jc w:val="left"/>
            </w:pPr>
            <w:r>
              <w:rPr>
                <w:sz w:val="17"/>
              </w:rPr>
              <w:t xml:space="preserve">Total PSI</w:t>
            </w:r>
          </w:p>
        </w:tc>
        <w:tc>
          <w:tcPr/>
          <w:p>
            <w:pPr>
              <w:pStyle w:val="Compact"/>
              <w:jc w:val="right"/>
            </w:pPr>
            <w:r>
              <w:rPr>
                <w:sz w:val="17"/>
              </w:rPr>
              <w:t xml:space="preserve">2.1e-17</w:t>
            </w:r>
          </w:p>
        </w:tc>
      </w:tr>
      <w:tr>
        <w:tc>
          <w:tcPr/>
          <w:p>
            <w:pPr>
              <w:pStyle w:val="Compact"/>
              <w:jc w:val="left"/>
            </w:pPr>
            <w:r>
              <w:rPr>
                <w:sz w:val="17"/>
              </w:rPr>
              <w:t xml:space="preserve">Brier score</w:t>
            </w:r>
          </w:p>
        </w:tc>
        <w:tc>
          <w:tcPr/>
          <w:p>
            <w:pPr>
              <w:pStyle w:val="Compact"/>
              <w:jc w:val="right"/>
            </w:pPr>
            <w:r>
              <w:rPr>
                <w:sz w:val="17"/>
              </w:rPr>
              <w:t xml:space="preserve">4.9e-17</w:t>
            </w:r>
          </w:p>
        </w:tc>
      </w:tr>
      <w:tr>
        <w:tc>
          <w:tcPr/>
          <w:p>
            <w:pPr>
              <w:pStyle w:val="Compact"/>
              <w:jc w:val="left"/>
            </w:pPr>
            <w:r>
              <w:rPr>
                <w:sz w:val="17"/>
              </w:rPr>
              <w:t xml:space="preserve">Hosmer-Lemeshow statistic</w:t>
            </w:r>
          </w:p>
        </w:tc>
        <w:tc>
          <w:tcPr/>
          <w:p>
            <w:pPr>
              <w:pStyle w:val="Compact"/>
              <w:jc w:val="right"/>
            </w:pPr>
            <w:r>
              <w:rPr>
                <w:sz w:val="17"/>
              </w:rPr>
              <w:t xml:space="preserve">6.4e-14</w:t>
            </w:r>
          </w:p>
        </w:tc>
      </w:tr>
      <w:tr>
        <w:tc>
          <w:tcPr/>
          <w:p>
            <w:pPr>
              <w:pStyle w:val="Compact"/>
              <w:jc w:val="left"/>
            </w:pPr>
            <w:r>
              <w:rPr>
                <w:sz w:val="17"/>
              </w:rPr>
              <w:t xml:space="preserve">Expected events</w:t>
            </w:r>
          </w:p>
        </w:tc>
        <w:tc>
          <w:tcPr/>
          <w:p>
            <w:pPr>
              <w:pStyle w:val="Compact"/>
              <w:jc w:val="right"/>
            </w:pPr>
            <w:r>
              <w:rPr>
                <w:sz w:val="17"/>
              </w:rPr>
              <w:t xml:space="preserve">8.5e-14</w:t>
            </w:r>
          </w:p>
        </w:tc>
      </w:tr>
      <w:tr>
        <w:tc>
          <w:tcPr/>
          <w:p>
            <w:pPr>
              <w:pStyle w:val="Compact"/>
              <w:jc w:val="left"/>
            </w:pPr>
            <w:r>
              <w:rPr>
                <w:sz w:val="17"/>
              </w:rPr>
              <w:t xml:space="preserve">Scenario expected defaults</w:t>
            </w:r>
          </w:p>
        </w:tc>
        <w:tc>
          <w:tcPr/>
          <w:p>
            <w:pPr>
              <w:pStyle w:val="Compact"/>
              <w:jc w:val="right"/>
            </w:pPr>
            <w:r>
              <w:rPr>
                <w:sz w:val="17"/>
              </w:rPr>
              <w:t xml:space="preserve">7.8e-14</w:t>
            </w:r>
          </w:p>
        </w:tc>
      </w:tr>
      <w:tr>
        <w:tc>
          <w:tcPr/>
          <w:p>
            <w:pPr>
              <w:pStyle w:val="Compact"/>
              <w:jc w:val="left"/>
            </w:pPr>
            <w:r>
              <w:rPr>
                <w:sz w:val="17"/>
              </w:rPr>
              <w:t xml:space="preserve">Scenario expected loss (USD)</w:t>
            </w:r>
          </w:p>
        </w:tc>
        <w:tc>
          <w:tcPr/>
          <w:p>
            <w:pPr>
              <w:pStyle w:val="Compact"/>
              <w:jc w:val="right"/>
            </w:pPr>
            <w:r>
              <w:rPr>
                <w:sz w:val="17"/>
              </w:rPr>
              <w:t xml:space="preserve">6.5e-09</w:t>
            </w:r>
          </w:p>
        </w:tc>
      </w:tr>
      <w:tr>
        <w:tc>
          <w:tcPr/>
          <w:p>
            <w:pPr>
              <w:pStyle w:val="Compact"/>
              <w:jc w:val="left"/>
            </w:pPr>
            <w:r>
              <w:rPr>
                <w:sz w:val="17"/>
              </w:rPr>
              <w:t xml:space="preserve">Scenario 12-month prepay</w:t>
            </w:r>
          </w:p>
        </w:tc>
        <w:tc>
          <w:tcPr/>
          <w:p>
            <w:pPr>
              <w:pStyle w:val="Compact"/>
              <w:jc w:val="right"/>
            </w:pPr>
            <w:r>
              <w:rPr>
                <w:sz w:val="17"/>
              </w:rPr>
              <w:t xml:space="preserve">1.5e-15</w:t>
            </w:r>
          </w:p>
        </w:tc>
      </w:tr>
      <w:tr>
        <w:tc>
          <w:tcPr/>
          <w:p>
            <w:pPr>
              <w:pStyle w:val="Compact"/>
              <w:jc w:val="left"/>
            </w:pPr>
            <w:r>
              <w:rPr>
                <w:sz w:val="17"/>
              </w:rPr>
              <w:t xml:space="preserve">One-loan calculator PD</w:t>
            </w:r>
          </w:p>
        </w:tc>
        <w:tc>
          <w:tcPr/>
          <w:p>
            <w:pPr>
              <w:pStyle w:val="Compact"/>
              <w:jc w:val="right"/>
            </w:pPr>
            <w:r>
              <w:rPr>
                <w:sz w:val="17"/>
              </w:rPr>
              <w:t xml:space="preserve">1.9e-17</w:t>
            </w:r>
          </w:p>
        </w:tc>
      </w:tr>
      <w:tr>
        <w:tc>
          <w:tcPr/>
          <w:p>
            <w:pPr>
              <w:pStyle w:val="Compact"/>
              <w:jc w:val="left"/>
            </w:pPr>
            <w:r>
              <w:rPr>
                <w:sz w:val="17"/>
              </w:rPr>
              <w:t xml:space="preserve">One-loan calculator score</w:t>
            </w:r>
          </w:p>
        </w:tc>
        <w:tc>
          <w:tcPr/>
          <w:p>
            <w:pPr>
              <w:pStyle w:val="Compact"/>
              <w:jc w:val="right"/>
            </w:pPr>
            <w:r>
              <w:rPr>
                <w:sz w:val="17"/>
              </w:rPr>
              <w:t xml:space="preserve">1.1e-13</w:t>
            </w:r>
          </w:p>
        </w:tc>
      </w:tr>
    </w:tbl>
    <w:p>
      <w:pPr>
        <w:pStyle w:val="BodyText"/>
      </w:pPr>
      <w:r>
        <w:t xml:space="preserve">The differences of order 1e-13 to 1e-16 are floating-point rounding. They show that the live formulas reproduce the Python scorecard, decile, PSI, calibration and scenario logic, which is the purpose of the exercise: a reviewer can trace any number in the workbook to a cell formula and know it matches the code. They say nothing about whether the model is right for real loans.</w:t>
      </w:r>
    </w:p>
    <w:bookmarkEnd w:id="127"/>
    <w:bookmarkEnd w:id="128"/>
    <w:bookmarkStart w:id="137" w:name="governance-in-the-style-of-sr-11-7"/>
    <w:p>
      <w:pPr>
        <w:pStyle w:val="Heading1"/>
      </w:pPr>
      <w:r>
        <w:rPr>
          <w:rStyle w:val="SectionNumber"/>
        </w:rPr>
        <w:t xml:space="preserve">12</w:t>
      </w:r>
      <w:r>
        <w:tab/>
      </w:r>
      <w:r>
        <w:t xml:space="preserve">Governance in the style of SR 11-7</w:t>
      </w:r>
    </w:p>
    <w:p>
      <w:pPr>
        <w:pStyle w:val="FirstParagraph"/>
      </w:pPr>
      <w:r>
        <w:t xml:space="preserve">Supervisory guidance on model risk management, issued by the Federal Reserve and the OCC in 2011 as SR 11-7, asks banks to document a model's purpose, design, data, performance, limitations and ongoing monitoring, to validate it independently with "effective challenge", and to keep an inventory and controls (Federal Reserve and OCC 2011). This section writes the project up in that structure to show how such a model would be described.</w:t>
      </w:r>
      <w:r>
        <w:t xml:space="preserve"> </w:t>
      </w:r>
      <w:r>
        <w:rPr>
          <w:b/>
          <w:bCs/>
        </w:rPr>
        <w:t xml:space="preserve">It is a documentation exercise on synthetic data. The model has not been independently validated, has not been approved by any institution, and must not be used to make credit, pricing or capital decisions.</w:t>
      </w:r>
    </w:p>
    <w:bookmarkStart w:id="129" w:name="purpose-and-intended-use"/>
    <w:p>
      <w:pPr>
        <w:pStyle w:val="Heading2"/>
      </w:pPr>
      <w:r>
        <w:rPr>
          <w:rStyle w:val="SectionNumber"/>
        </w:rPr>
        <w:t xml:space="preserve">12.1</w:t>
      </w:r>
      <w:r>
        <w:tab/>
      </w:r>
      <w:r>
        <w:t xml:space="preserve">Purpose and intended use</w:t>
      </w:r>
    </w:p>
    <w:p>
      <w:pPr>
        <w:pStyle w:val="FirstParagraph"/>
      </w:pPr>
      <w:r>
        <w:t xml:space="preserve">The models estimate (a) the 12-month probability that a performing or early-delinquent first-lien 30-year mortgage reaches 90+DPD and (b) the monthly probability of full prepayment, for ranking loans, producing expected default and prepayment curves for a pool under macro scenarios, and feeding those curves into a structured-finance cash-flow model. Intended users are an analyst learning the workflow and a reader assessing methodology. Out-of-scope uses: severity or loss forecasting, regulatory capital, accounting provisioning, origination decisions, pricing of real securities, or any use on loan types other than the simulated 30-year fixed-rate first liens.</w:t>
      </w:r>
    </w:p>
    <w:bookmarkEnd w:id="129"/>
    <w:bookmarkStart w:id="130" w:name="data-1"/>
    <w:p>
      <w:pPr>
        <w:pStyle w:val="Heading2"/>
      </w:pPr>
      <w:r>
        <w:rPr>
          <w:rStyle w:val="SectionNumber"/>
        </w:rPr>
        <w:t xml:space="preserve">12.2</w:t>
      </w:r>
      <w:r>
        <w:tab/>
      </w:r>
      <w:r>
        <w:t xml:space="preserve">Data</w:t>
      </w:r>
    </w:p>
    <w:p>
      <w:pPr>
        <w:pStyle w:val="FirstParagraph"/>
      </w:pPr>
      <w:r>
        <w:t xml:space="preserve">Synthetic panel of 60,000 loans (seed 20261001) generated by a documented process (section 4). Real-data readiness: the loader for Freddie Mac loan-level files exists and is exercised only by unit tests on a small fixture, not on full vintages. Data quality controls: stop at first default event, sentinel handling and median imputation for missing credit fields, leakage guards, time-ordered splits.</w:t>
      </w:r>
    </w:p>
    <w:bookmarkEnd w:id="130"/>
    <w:bookmarkStart w:id="131" w:name="methodology"/>
    <w:p>
      <w:pPr>
        <w:pStyle w:val="Heading2"/>
      </w:pPr>
      <w:r>
        <w:rPr>
          <w:rStyle w:val="SectionNumber"/>
        </w:rPr>
        <w:t xml:space="preserve">12.3</w:t>
      </w:r>
      <w:r>
        <w:tab/>
      </w:r>
      <w:r>
        <w:t xml:space="preserve">Methodology</w:t>
      </w:r>
    </w:p>
    <w:p>
      <w:pPr>
        <w:pStyle w:val="FirstParagraph"/>
      </w:pPr>
      <w:r>
        <w:t xml:space="preserve">A WoE scorecard (logistic regression on binned, monotone-trended variables, scaled to points) is the benchmark and the explainable champion candidate; XGBoost and LightGBM with monotone constraints, time-aware tuning and calibrated outputs are the challengers; a hinge logit and two boosted models for prepayment. Explanations use TreeSHAP on the raw margin. Scenarios re-score the portfolio monthly under deterministic macro shocks.</w:t>
      </w:r>
    </w:p>
    <w:bookmarkEnd w:id="131"/>
    <w:bookmarkStart w:id="132" w:name="performance-summary"/>
    <w:p>
      <w:pPr>
        <w:pStyle w:val="Heading2"/>
      </w:pPr>
      <w:r>
        <w:rPr>
          <w:rStyle w:val="SectionNumber"/>
        </w:rPr>
        <w:t xml:space="preserve">12.4</w:t>
      </w:r>
      <w:r>
        <w:tab/>
      </w:r>
      <w:r>
        <w:t xml:space="preserve">Performance summary</w:t>
      </w:r>
    </w:p>
    <w:p>
      <w:pPr>
        <w:pStyle w:val="TableCaption"/>
      </w:pPr>
      <w:r>
        <w:t xml:space="preserve">Performance summary.</w:t>
      </w:r>
    </w:p>
    <w:tbl>
      <w:tblPr>
        <w:tblStyle w:val="Table"/>
        <w:tblW w:type="pct" w:w="5000"/>
        <w:tblLayout w:type="fixed"/>
        <w:tblLook w:firstRow="1" w:lastRow="0" w:firstColumn="0" w:lastColumn="0" w:noHBand="0" w:noVBand="0" w:val="0020"/>
        <w:tblCaption w:val="Performance summary."/>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Measure (out-of-time, synthetic)</w:t>
            </w:r>
          </w:p>
        </w:tc>
        <w:tc>
          <w:tcPr/>
          <w:p>
            <w:pPr>
              <w:pStyle w:val="Compact"/>
              <w:jc w:val="left"/>
            </w:pPr>
            <w:r>
              <w:rPr>
                <w:sz w:val="17"/>
              </w:rPr>
              <w:t xml:space="preserve">Value</w:t>
            </w:r>
          </w:p>
        </w:tc>
        <w:tc>
          <w:tcPr/>
          <w:p>
            <w:pPr>
              <w:pStyle w:val="Compact"/>
              <w:jc w:val="left"/>
            </w:pPr>
            <w:r>
              <w:rPr>
                <w:sz w:val="17"/>
              </w:rPr>
              <w:t xml:space="preserve">Assessment</w:t>
            </w:r>
          </w:p>
        </w:tc>
      </w:tr>
      <w:tr>
        <w:tc>
          <w:tcPr/>
          <w:p>
            <w:pPr>
              <w:pStyle w:val="Compact"/>
              <w:jc w:val="left"/>
            </w:pPr>
            <w:r>
              <w:rPr>
                <w:sz w:val="17"/>
              </w:rPr>
              <w:t xml:space="preserve">PD AUC, scorecard / XGBoost / LightGBM</w:t>
            </w:r>
          </w:p>
        </w:tc>
        <w:tc>
          <w:tcPr/>
          <w:p>
            <w:pPr>
              <w:pStyle w:val="Compact"/>
              <w:jc w:val="left"/>
            </w:pPr>
            <w:r>
              <w:rPr>
                <w:sz w:val="17"/>
              </w:rPr>
              <w:t xml:space="preserve">0.790 / 0.812 / 0.808</w:t>
            </w:r>
          </w:p>
        </w:tc>
        <w:tc>
          <w:tcPr/>
          <w:p>
            <w:pPr>
              <w:pStyle w:val="Compact"/>
              <w:jc w:val="left"/>
            </w:pPr>
            <w:r>
              <w:rPr>
                <w:sz w:val="17"/>
              </w:rPr>
              <w:t xml:space="preserve">good ranking; trees significantly better (DeLong)</w:t>
            </w:r>
          </w:p>
        </w:tc>
      </w:tr>
      <w:tr>
        <w:tc>
          <w:tcPr/>
          <w:p>
            <w:pPr>
              <w:pStyle w:val="Compact"/>
              <w:jc w:val="left"/>
            </w:pPr>
            <w:r>
              <w:rPr>
                <w:sz w:val="17"/>
              </w:rPr>
              <w:t xml:space="preserve">PD KS, LightGBM</w:t>
            </w:r>
          </w:p>
        </w:tc>
        <w:tc>
          <w:tcPr/>
          <w:p>
            <w:pPr>
              <w:pStyle w:val="Compact"/>
              <w:jc w:val="left"/>
            </w:pPr>
            <w:r>
              <w:rPr>
                <w:sz w:val="17"/>
              </w:rPr>
              <w:t xml:space="preserve">0.463</w:t>
            </w:r>
          </w:p>
        </w:tc>
        <w:tc>
          <w:tcPr/>
          <w:p>
            <w:pPr>
              <w:pStyle w:val="Compact"/>
              <w:jc w:val="left"/>
            </w:pPr>
            <w:r>
              <w:rPr>
                <w:sz w:val="17"/>
              </w:rPr>
              <w:t xml:space="preserve">adequate separation</w:t>
            </w:r>
          </w:p>
        </w:tc>
      </w:tr>
      <w:tr>
        <w:tc>
          <w:tcPr/>
          <w:p>
            <w:pPr>
              <w:pStyle w:val="Compact"/>
              <w:jc w:val="left"/>
            </w:pPr>
            <w:r>
              <w:rPr>
                <w:sz w:val="17"/>
              </w:rPr>
              <w:t xml:space="preserve">PD observed against predicted level</w:t>
            </w:r>
          </w:p>
        </w:tc>
        <w:tc>
          <w:tcPr/>
          <w:p>
            <w:pPr>
              <w:pStyle w:val="Compact"/>
              <w:jc w:val="left"/>
            </w:pPr>
            <w:r>
              <w:rPr>
                <w:sz w:val="17"/>
              </w:rPr>
              <w:t xml:space="preserve">2.32% against 1.90%</w:t>
            </w:r>
          </w:p>
        </w:tc>
        <w:tc>
          <w:tcPr/>
          <w:p>
            <w:pPr>
              <w:pStyle w:val="Compact"/>
              <w:jc w:val="left"/>
            </w:pPr>
            <w:r>
              <w:rPr>
                <w:sz w:val="17"/>
              </w:rPr>
              <w:t xml:space="preserve">under-prediction; remediation required before level use</w:t>
            </w:r>
          </w:p>
        </w:tc>
      </w:tr>
      <w:tr>
        <w:tc>
          <w:tcPr/>
          <w:p>
            <w:pPr>
              <w:pStyle w:val="Compact"/>
              <w:jc w:val="left"/>
            </w:pPr>
            <w:r>
              <w:rPr>
                <w:sz w:val="17"/>
              </w:rPr>
              <w:t xml:space="preserve">Score PSI, OOT against train</w:t>
            </w:r>
          </w:p>
        </w:tc>
        <w:tc>
          <w:tcPr/>
          <w:p>
            <w:pPr>
              <w:pStyle w:val="Compact"/>
              <w:jc w:val="left"/>
            </w:pPr>
            <w:r>
              <w:rPr>
                <w:sz w:val="17"/>
              </w:rPr>
              <w:t xml:space="preserve">0.0087 (LightGBM)</w:t>
            </w:r>
          </w:p>
        </w:tc>
        <w:tc>
          <w:tcPr/>
          <w:p>
            <w:pPr>
              <w:pStyle w:val="Compact"/>
              <w:jc w:val="left"/>
            </w:pPr>
            <w:r>
              <w:rPr>
                <w:sz w:val="17"/>
              </w:rPr>
              <w:t xml:space="preserve">stable</w:t>
            </w:r>
          </w:p>
        </w:tc>
      </w:tr>
      <w:tr>
        <w:tc>
          <w:tcPr/>
          <w:p>
            <w:pPr>
              <w:pStyle w:val="Compact"/>
              <w:jc w:val="left"/>
            </w:pPr>
            <w:r>
              <w:rPr>
                <w:sz w:val="17"/>
              </w:rPr>
              <w:t xml:space="preserve">Features in significant CSI band</w:t>
            </w:r>
          </w:p>
        </w:tc>
        <w:tc>
          <w:tcPr/>
          <w:p>
            <w:pPr>
              <w:pStyle w:val="Compact"/>
              <w:jc w:val="left"/>
            </w:pPr>
            <w:r>
              <w:rPr>
                <w:sz w:val="17"/>
              </w:rPr>
              <w:t xml:space="preserve">6 of 17</w:t>
            </w:r>
          </w:p>
        </w:tc>
        <w:tc>
          <w:tcPr/>
          <w:p>
            <w:pPr>
              <w:pStyle w:val="Compact"/>
              <w:jc w:val="left"/>
            </w:pPr>
            <w:r>
              <w:rPr>
                <w:sz w:val="17"/>
              </w:rPr>
              <w:t xml:space="preserve">regime shift in macro inputs, expected in a stress test</w:t>
            </w:r>
          </w:p>
        </w:tc>
      </w:tr>
      <w:tr>
        <w:tc>
          <w:tcPr/>
          <w:p>
            <w:pPr>
              <w:pStyle w:val="Compact"/>
              <w:jc w:val="left"/>
            </w:pPr>
            <w:r>
              <w:rPr>
                <w:sz w:val="17"/>
              </w:rPr>
              <w:t xml:space="preserve">Prepay AUC, hinge logit / LightGBM</w:t>
            </w:r>
          </w:p>
        </w:tc>
        <w:tc>
          <w:tcPr/>
          <w:p>
            <w:pPr>
              <w:pStyle w:val="Compact"/>
              <w:jc w:val="left"/>
            </w:pPr>
            <w:r>
              <w:rPr>
                <w:sz w:val="17"/>
              </w:rPr>
              <w:t xml:space="preserve">0.727 / 0.731</w:t>
            </w:r>
          </w:p>
        </w:tc>
        <w:tc>
          <w:tcPr/>
          <w:p>
            <w:pPr>
              <w:pStyle w:val="Compact"/>
              <w:jc w:val="left"/>
            </w:pPr>
            <w:r>
              <w:rPr>
                <w:sz w:val="17"/>
              </w:rPr>
              <w:t xml:space="preserve">moderate; adequate for a smooth hazard</w:t>
            </w:r>
          </w:p>
        </w:tc>
      </w:tr>
      <w:tr>
        <w:tc>
          <w:tcPr/>
          <w:p>
            <w:pPr>
              <w:pStyle w:val="Compact"/>
              <w:jc w:val="left"/>
            </w:pPr>
            <w:r>
              <w:rPr>
                <w:sz w:val="17"/>
              </w:rPr>
              <w:t xml:space="preserve">Prepay CPR RMSE, LightGBM</w:t>
            </w:r>
          </w:p>
        </w:tc>
        <w:tc>
          <w:tcPr/>
          <w:p>
            <w:pPr>
              <w:pStyle w:val="Compact"/>
              <w:jc w:val="left"/>
            </w:pPr>
            <w:r>
              <w:rPr>
                <w:sz w:val="17"/>
              </w:rPr>
              <w:t xml:space="preserve">4.99 points</w:t>
            </w:r>
          </w:p>
        </w:tc>
        <w:tc>
          <w:tcPr/>
          <w:p>
            <w:pPr>
              <w:pStyle w:val="Compact"/>
              <w:jc w:val="left"/>
            </w:pPr>
            <w:r>
              <w:rPr>
                <w:sz w:val="17"/>
              </w:rPr>
              <w:t xml:space="preserve">acceptable; peak under-estimated</w:t>
            </w:r>
          </w:p>
        </w:tc>
      </w:tr>
      <w:tr>
        <w:tc>
          <w:tcPr/>
          <w:p>
            <w:pPr>
              <w:pStyle w:val="Compact"/>
              <w:jc w:val="left"/>
            </w:pPr>
            <w:r>
              <w:rPr>
                <w:sz w:val="17"/>
              </w:rPr>
              <w:t xml:space="preserve">SHAP against DGP checks</w:t>
            </w:r>
          </w:p>
        </w:tc>
        <w:tc>
          <w:tcPr/>
          <w:p>
            <w:pPr>
              <w:pStyle w:val="Compact"/>
              <w:jc w:val="left"/>
            </w:pPr>
            <w:r>
              <w:rPr>
                <w:sz w:val="17"/>
              </w:rPr>
              <w:t xml:space="preserve">13 of 13 pass</w:t>
            </w:r>
          </w:p>
        </w:tc>
        <w:tc>
          <w:tcPr/>
          <w:p>
            <w:pPr>
              <w:pStyle w:val="Compact"/>
              <w:jc w:val="left"/>
            </w:pPr>
            <w:r>
              <w:rPr>
                <w:sz w:val="17"/>
              </w:rPr>
              <w:t xml:space="preserve">explanations coherent with truth</w:t>
            </w:r>
          </w:p>
        </w:tc>
      </w:tr>
      <w:tr>
        <w:tc>
          <w:tcPr/>
          <w:p>
            <w:pPr>
              <w:pStyle w:val="Compact"/>
              <w:jc w:val="left"/>
            </w:pPr>
            <w:r>
              <w:rPr>
                <w:sz w:val="17"/>
              </w:rPr>
              <w:t xml:space="preserve">12m default, model against truth, adverse combined</w:t>
            </w:r>
          </w:p>
        </w:tc>
        <w:tc>
          <w:tcPr/>
          <w:p>
            <w:pPr>
              <w:pStyle w:val="Compact"/>
              <w:jc w:val="left"/>
            </w:pPr>
            <w:r>
              <w:rPr>
                <w:sz w:val="17"/>
              </w:rPr>
              <w:t xml:space="preserve">1.56% against 3.26%</w:t>
            </w:r>
          </w:p>
        </w:tc>
        <w:tc>
          <w:tcPr/>
          <w:p>
            <w:pPr>
              <w:pStyle w:val="Compact"/>
              <w:jc w:val="left"/>
            </w:pPr>
            <w:r>
              <w:rPr>
                <w:sz w:val="17"/>
              </w:rPr>
              <w:t xml:space="preserve">material under-reaction under stress</w:t>
            </w:r>
          </w:p>
        </w:tc>
      </w:tr>
    </w:tbl>
    <w:bookmarkEnd w:id="132"/>
    <w:bookmarkStart w:id="133" w:name="assumptions-log"/>
    <w:p>
      <w:pPr>
        <w:pStyle w:val="Heading2"/>
      </w:pPr>
      <w:r>
        <w:rPr>
          <w:rStyle w:val="SectionNumber"/>
        </w:rPr>
        <w:t xml:space="preserve">12.5</w:t>
      </w:r>
      <w:r>
        <w:tab/>
      </w:r>
      <w:r>
        <w:t xml:space="preserve">Assumptions log</w:t>
      </w:r>
    </w:p>
    <w:p>
      <w:pPr>
        <w:pStyle w:val="TableCaption"/>
      </w:pPr>
      <w:r>
        <w:t xml:space="preserve">Assumptions log.</w:t>
      </w:r>
    </w:p>
    <w:tbl>
      <w:tblPr>
        <w:tblStyle w:val="Table"/>
        <w:tblW w:type="pct" w:w="5000"/>
        <w:tblLayout w:type="fixed"/>
        <w:tblLook w:firstRow="1" w:lastRow="0" w:firstColumn="0" w:lastColumn="0" w:noHBand="0" w:noVBand="0" w:val="0020"/>
        <w:tblCaption w:val="Assumptions log."/>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jc w:val="left"/>
            </w:pPr>
            <w:r>
              <w:rPr>
                <w:sz w:val="17"/>
              </w:rPr>
              <w:t xml:space="preserve">ID</w:t>
            </w:r>
          </w:p>
        </w:tc>
        <w:tc>
          <w:tcPr/>
          <w:p>
            <w:pPr>
              <w:pStyle w:val="Compact"/>
              <w:jc w:val="left"/>
            </w:pPr>
            <w:r>
              <w:rPr>
                <w:sz w:val="17"/>
              </w:rPr>
              <w:t xml:space="preserve">Assumption</w:t>
            </w:r>
          </w:p>
        </w:tc>
        <w:tc>
          <w:tcPr/>
          <w:p>
            <w:pPr>
              <w:pStyle w:val="Compact"/>
              <w:jc w:val="left"/>
            </w:pPr>
            <w:r>
              <w:rPr>
                <w:sz w:val="17"/>
              </w:rPr>
              <w:t xml:space="preserve">Why it was made</w:t>
            </w:r>
          </w:p>
        </w:tc>
        <w:tc>
          <w:tcPr/>
          <w:p>
            <w:pPr>
              <w:pStyle w:val="Compact"/>
              <w:jc w:val="left"/>
            </w:pPr>
            <w:r>
              <w:rPr>
                <w:sz w:val="17"/>
              </w:rPr>
              <w:t xml:space="preserve">Effect if wrong</w:t>
            </w:r>
          </w:p>
        </w:tc>
      </w:tr>
      <w:tr>
        <w:tc>
          <w:tcPr/>
          <w:p>
            <w:pPr>
              <w:pStyle w:val="Compact"/>
              <w:jc w:val="left"/>
            </w:pPr>
            <w:r>
              <w:rPr>
                <w:sz w:val="17"/>
              </w:rPr>
              <w:t xml:space="preserve">A1</w:t>
            </w:r>
          </w:p>
        </w:tc>
        <w:tc>
          <w:tcPr/>
          <w:p>
            <w:pPr>
              <w:pStyle w:val="Compact"/>
              <w:jc w:val="left"/>
            </w:pPr>
            <w:r>
              <w:rPr>
                <w:sz w:val="17"/>
              </w:rPr>
              <w:t xml:space="preserve">Data follow the documented logistic-hazard DGP</w:t>
            </w:r>
          </w:p>
        </w:tc>
        <w:tc>
          <w:tcPr/>
          <w:p>
            <w:pPr>
              <w:pStyle w:val="Compact"/>
              <w:jc w:val="left"/>
            </w:pPr>
            <w:r>
              <w:rPr>
                <w:sz w:val="17"/>
              </w:rPr>
              <w:t xml:space="preserve">no access to real loans in this build</w:t>
            </w:r>
          </w:p>
        </w:tc>
        <w:tc>
          <w:tcPr/>
          <w:p>
            <w:pPr>
              <w:pStyle w:val="Compact"/>
              <w:jc w:val="left"/>
            </w:pPr>
            <w:r>
              <w:rPr>
                <w:sz w:val="17"/>
              </w:rPr>
              <w:t xml:space="preserve">results prove methodology only</w:t>
            </w:r>
          </w:p>
        </w:tc>
      </w:tr>
      <w:tr>
        <w:tc>
          <w:tcPr/>
          <w:p>
            <w:pPr>
              <w:pStyle w:val="Compact"/>
              <w:jc w:val="left"/>
            </w:pPr>
            <w:r>
              <w:rPr>
                <w:sz w:val="17"/>
              </w:rPr>
              <w:t xml:space="preserve">A2</w:t>
            </w:r>
          </w:p>
        </w:tc>
        <w:tc>
          <w:tcPr/>
          <w:p>
            <w:pPr>
              <w:pStyle w:val="Compact"/>
              <w:jc w:val="left"/>
            </w:pPr>
            <w:r>
              <w:rPr>
                <w:sz w:val="17"/>
              </w:rPr>
              <w:t xml:space="preserve">Default means first month at 90+DPD</w:t>
            </w:r>
          </w:p>
        </w:tc>
        <w:tc>
          <w:tcPr/>
          <w:p>
            <w:pPr>
              <w:pStyle w:val="Compact"/>
              <w:jc w:val="left"/>
            </w:pPr>
            <w:r>
              <w:rPr>
                <w:sz w:val="17"/>
              </w:rPr>
              <w:t xml:space="preserve">common practical definition; simple to observe</w:t>
            </w:r>
          </w:p>
        </w:tc>
        <w:tc>
          <w:tcPr/>
          <w:p>
            <w:pPr>
              <w:pStyle w:val="Compact"/>
              <w:jc w:val="left"/>
            </w:pPr>
            <w:r>
              <w:rPr>
                <w:sz w:val="17"/>
              </w:rPr>
              <w:t xml:space="preserve">different definitions change the base rate</w:t>
            </w:r>
          </w:p>
        </w:tc>
      </w:tr>
      <w:tr>
        <w:tc>
          <w:tcPr/>
          <w:p>
            <w:pPr>
              <w:pStyle w:val="Compact"/>
              <w:jc w:val="left"/>
            </w:pPr>
            <w:r>
              <w:rPr>
                <w:sz w:val="17"/>
              </w:rPr>
              <w:t xml:space="preserve">A3</w:t>
            </w:r>
          </w:p>
        </w:tc>
        <w:tc>
          <w:tcPr/>
          <w:p>
            <w:pPr>
              <w:pStyle w:val="Compact"/>
              <w:jc w:val="left"/>
            </w:pPr>
            <w:r>
              <w:rPr>
                <w:sz w:val="17"/>
              </w:rPr>
              <w:t xml:space="preserve">PD horizon 12 months, cumulative incidence (prepay is "no default")</w:t>
            </w:r>
          </w:p>
        </w:tc>
        <w:tc>
          <w:tcPr/>
          <w:p>
            <w:pPr>
              <w:pStyle w:val="Compact"/>
              <w:jc w:val="left"/>
            </w:pPr>
            <w:r>
              <w:rPr>
                <w:sz w:val="17"/>
              </w:rPr>
              <w:t xml:space="preserve">answers the investor's question directly</w:t>
            </w:r>
          </w:p>
        </w:tc>
        <w:tc>
          <w:tcPr/>
          <w:p>
            <w:pPr>
              <w:pStyle w:val="Compact"/>
              <w:jc w:val="left"/>
            </w:pPr>
            <w:r>
              <w:rPr>
                <w:sz w:val="17"/>
              </w:rPr>
              <w:t xml:space="preserve">not a pure default hazard; double counting in projection</w:t>
            </w:r>
          </w:p>
        </w:tc>
      </w:tr>
      <w:tr>
        <w:tc>
          <w:tcPr/>
          <w:p>
            <w:pPr>
              <w:pStyle w:val="Compact"/>
              <w:jc w:val="left"/>
            </w:pPr>
            <w:r>
              <w:rPr>
                <w:sz w:val="17"/>
              </w:rPr>
              <w:t xml:space="preserve">A4</w:t>
            </w:r>
          </w:p>
        </w:tc>
        <w:tc>
          <w:tcPr/>
          <w:p>
            <w:pPr>
              <w:pStyle w:val="Compact"/>
              <w:jc w:val="left"/>
            </w:pPr>
            <w:r>
              <w:rPr>
                <w:sz w:val="17"/>
              </w:rPr>
              <w:t xml:space="preserve">Snapshots in January and July, status current or 30DPD</w:t>
            </w:r>
          </w:p>
        </w:tc>
        <w:tc>
          <w:tcPr/>
          <w:p>
            <w:pPr>
              <w:pStyle w:val="Compact"/>
              <w:jc w:val="left"/>
            </w:pPr>
            <w:r>
              <w:rPr>
                <w:sz w:val="17"/>
              </w:rPr>
              <w:t xml:space="preserve">limits overlap and focuses on early identification</w:t>
            </w:r>
          </w:p>
        </w:tc>
        <w:tc>
          <w:tcPr/>
          <w:p>
            <w:pPr>
              <w:pStyle w:val="Compact"/>
              <w:jc w:val="left"/>
            </w:pPr>
            <w:r>
              <w:rPr>
                <w:sz w:val="17"/>
              </w:rPr>
              <w:t xml:space="preserve">60DPD loans are not scored</w:t>
            </w:r>
          </w:p>
        </w:tc>
      </w:tr>
      <w:tr>
        <w:tc>
          <w:tcPr/>
          <w:p>
            <w:pPr>
              <w:pStyle w:val="Compact"/>
              <w:jc w:val="left"/>
            </w:pPr>
            <w:r>
              <w:rPr>
                <w:sz w:val="17"/>
              </w:rPr>
              <w:t xml:space="preserve">A5</w:t>
            </w:r>
          </w:p>
        </w:tc>
        <w:tc>
          <w:tcPr/>
          <w:p>
            <w:pPr>
              <w:pStyle w:val="Compact"/>
              <w:jc w:val="left"/>
            </w:pPr>
            <w:r>
              <w:rPr>
                <w:sz w:val="17"/>
              </w:rPr>
              <w:t xml:space="preserve">Time split with development labels resolved by the cutoff</w:t>
            </w:r>
          </w:p>
        </w:tc>
        <w:tc>
          <w:tcPr/>
          <w:p>
            <w:pPr>
              <w:pStyle w:val="Compact"/>
              <w:jc w:val="left"/>
            </w:pPr>
            <w:r>
              <w:rPr>
                <w:sz w:val="17"/>
              </w:rPr>
              <w:t xml:space="preserve">prevents label leakage</w:t>
            </w:r>
          </w:p>
        </w:tc>
        <w:tc>
          <w:tcPr/>
          <w:p>
            <w:pPr>
              <w:pStyle w:val="Compact"/>
              <w:jc w:val="left"/>
            </w:pPr>
            <w:r>
              <w:rPr>
                <w:sz w:val="17"/>
              </w:rPr>
              <w:t xml:space="preserve">otherwise optimistic validation</w:t>
            </w:r>
          </w:p>
        </w:tc>
      </w:tr>
      <w:tr>
        <w:tc>
          <w:tcPr/>
          <w:p>
            <w:pPr>
              <w:pStyle w:val="Compact"/>
              <w:jc w:val="left"/>
            </w:pPr>
            <w:r>
              <w:rPr>
                <w:sz w:val="17"/>
              </w:rPr>
              <w:t xml:space="preserve">A6</w:t>
            </w:r>
          </w:p>
        </w:tc>
        <w:tc>
          <w:tcPr/>
          <w:p>
            <w:pPr>
              <w:pStyle w:val="Compact"/>
              <w:jc w:val="left"/>
            </w:pPr>
            <w:r>
              <w:rPr>
                <w:sz w:val="17"/>
              </w:rPr>
              <w:t xml:space="preserve">Stylized deterministic macro paths and linear-ramp shocks</w:t>
            </w:r>
          </w:p>
        </w:tc>
        <w:tc>
          <w:tcPr/>
          <w:p>
            <w:pPr>
              <w:pStyle w:val="Compact"/>
              <w:jc w:val="left"/>
            </w:pPr>
            <w:r>
              <w:rPr>
                <w:sz w:val="17"/>
              </w:rPr>
              <w:t xml:space="preserve">transparent scenario design</w:t>
            </w:r>
          </w:p>
        </w:tc>
        <w:tc>
          <w:tcPr/>
          <w:p>
            <w:pPr>
              <w:pStyle w:val="Compact"/>
              <w:jc w:val="left"/>
            </w:pPr>
            <w:r>
              <w:rPr>
                <w:sz w:val="17"/>
              </w:rPr>
              <w:t xml:space="preserve">no probabilities attached to scenarios</w:t>
            </w:r>
          </w:p>
        </w:tc>
      </w:tr>
      <w:tr>
        <w:tc>
          <w:tcPr/>
          <w:p>
            <w:pPr>
              <w:pStyle w:val="Compact"/>
              <w:jc w:val="left"/>
            </w:pPr>
            <w:r>
              <w:rPr>
                <w:sz w:val="17"/>
              </w:rPr>
              <w:t xml:space="preserve">A7</w:t>
            </w:r>
          </w:p>
        </w:tc>
        <w:tc>
          <w:tcPr/>
          <w:p>
            <w:pPr>
              <w:pStyle w:val="Compact"/>
              <w:jc w:val="left"/>
            </w:pPr>
            <w:r>
              <w:rPr>
                <w:sz w:val="17"/>
              </w:rPr>
              <w:t xml:space="preserve">Delinquency status held fixed in projection</w:t>
            </w:r>
          </w:p>
        </w:tc>
        <w:tc>
          <w:tcPr/>
          <w:p>
            <w:pPr>
              <w:pStyle w:val="Compact"/>
              <w:jc w:val="left"/>
            </w:pPr>
            <w:r>
              <w:rPr>
                <w:sz w:val="17"/>
              </w:rPr>
              <w:t xml:space="preserve">keeps the projection tractable</w:t>
            </w:r>
          </w:p>
        </w:tc>
        <w:tc>
          <w:tcPr/>
          <w:p>
            <w:pPr>
              <w:pStyle w:val="Compact"/>
              <w:jc w:val="left"/>
            </w:pPr>
            <w:r>
              <w:rPr>
                <w:sz w:val="17"/>
              </w:rPr>
              <w:t xml:space="preserve">misses roll dynamics within the horizon</w:t>
            </w:r>
          </w:p>
        </w:tc>
      </w:tr>
      <w:tr>
        <w:tc>
          <w:tcPr/>
          <w:p>
            <w:pPr>
              <w:pStyle w:val="Compact"/>
              <w:jc w:val="left"/>
            </w:pPr>
            <w:r>
              <w:rPr>
                <w:sz w:val="17"/>
              </w:rPr>
              <w:t xml:space="preserve">A8</w:t>
            </w:r>
          </w:p>
        </w:tc>
        <w:tc>
          <w:tcPr/>
          <w:p>
            <w:pPr>
              <w:pStyle w:val="Compact"/>
              <w:jc w:val="left"/>
            </w:pPr>
            <w:r>
              <w:rPr>
                <w:sz w:val="17"/>
              </w:rPr>
              <w:t xml:space="preserve">Severity 35% and lag 6 months in the waterfall export</w:t>
            </w:r>
          </w:p>
        </w:tc>
        <w:tc>
          <w:tcPr/>
          <w:p>
            <w:pPr>
              <w:pStyle w:val="Compact"/>
              <w:jc w:val="left"/>
            </w:pPr>
            <w:r>
              <w:rPr>
                <w:sz w:val="17"/>
              </w:rPr>
              <w:t xml:space="preserve">no loss model built</w:t>
            </w:r>
          </w:p>
        </w:tc>
        <w:tc>
          <w:tcPr/>
          <w:p>
            <w:pPr>
              <w:pStyle w:val="Compact"/>
              <w:jc w:val="left"/>
            </w:pPr>
            <w:r>
              <w:rPr>
                <w:sz w:val="17"/>
              </w:rPr>
              <w:t xml:space="preserve">loss and tranche results are assumption-driven</w:t>
            </w:r>
          </w:p>
        </w:tc>
      </w:tr>
      <w:tr>
        <w:tc>
          <w:tcPr/>
          <w:p>
            <w:pPr>
              <w:pStyle w:val="Compact"/>
              <w:jc w:val="left"/>
            </w:pPr>
            <w:r>
              <w:rPr>
                <w:sz w:val="17"/>
              </w:rPr>
              <w:t xml:space="preserve">A9</w:t>
            </w:r>
          </w:p>
        </w:tc>
        <w:tc>
          <w:tcPr/>
          <w:p>
            <w:pPr>
              <w:pStyle w:val="Compact"/>
              <w:jc w:val="left"/>
            </w:pPr>
            <w:r>
              <w:rPr>
                <w:sz w:val="17"/>
              </w:rPr>
              <w:t xml:space="preserve">Prepayment model trained on a 25% random sample of loans</w:t>
            </w:r>
          </w:p>
        </w:tc>
        <w:tc>
          <w:tcPr/>
          <w:p>
            <w:pPr>
              <w:pStyle w:val="Compact"/>
              <w:jc w:val="left"/>
            </w:pPr>
            <w:r>
              <w:rPr>
                <w:sz w:val="17"/>
              </w:rPr>
              <w:t xml:space="preserve">memory and speed</w:t>
            </w:r>
          </w:p>
        </w:tc>
        <w:tc>
          <w:tcPr/>
          <w:p>
            <w:pPr>
              <w:pStyle w:val="Compact"/>
              <w:jc w:val="left"/>
            </w:pPr>
            <w:r>
              <w:rPr>
                <w:sz w:val="17"/>
              </w:rPr>
              <w:t xml:space="preserve">slightly higher estimation noise</w:t>
            </w:r>
          </w:p>
        </w:tc>
      </w:tr>
      <w:tr>
        <w:tc>
          <w:tcPr/>
          <w:p>
            <w:pPr>
              <w:pStyle w:val="Compact"/>
              <w:jc w:val="left"/>
            </w:pPr>
            <w:r>
              <w:rPr>
                <w:sz w:val="17"/>
              </w:rPr>
              <w:t xml:space="preserve">A10</w:t>
            </w:r>
          </w:p>
        </w:tc>
        <w:tc>
          <w:tcPr/>
          <w:p>
            <w:pPr>
              <w:pStyle w:val="Compact"/>
              <w:jc w:val="left"/>
            </w:pPr>
            <w:r>
              <w:rPr>
                <w:sz w:val="17"/>
              </w:rPr>
              <w:t xml:space="preserve">Median imputation for missing credit fields on real data</w:t>
            </w:r>
          </w:p>
        </w:tc>
        <w:tc>
          <w:tcPr/>
          <w:p>
            <w:pPr>
              <w:pStyle w:val="Compact"/>
              <w:jc w:val="left"/>
            </w:pPr>
            <w:r>
              <w:rPr>
                <w:sz w:val="17"/>
              </w:rPr>
              <w:t xml:space="preserve">simplicity</w:t>
            </w:r>
          </w:p>
        </w:tc>
        <w:tc>
          <w:tcPr/>
          <w:p>
            <w:pPr>
              <w:pStyle w:val="Compact"/>
              <w:jc w:val="left"/>
            </w:pPr>
            <w:r>
              <w:rPr>
                <w:sz w:val="17"/>
              </w:rPr>
              <w:t xml:space="preserve">bias if missingness is informative</w:t>
            </w:r>
          </w:p>
        </w:tc>
      </w:tr>
      <w:tr>
        <w:tc>
          <w:tcPr/>
          <w:p>
            <w:pPr>
              <w:pStyle w:val="Compact"/>
              <w:jc w:val="left"/>
            </w:pPr>
            <w:r>
              <w:rPr>
                <w:sz w:val="17"/>
              </w:rPr>
              <w:t xml:space="preserve">A11</w:t>
            </w:r>
          </w:p>
        </w:tc>
        <w:tc>
          <w:tcPr/>
          <w:p>
            <w:pPr>
              <w:pStyle w:val="Compact"/>
              <w:jc w:val="left"/>
            </w:pPr>
            <w:r>
              <w:rPr>
                <w:sz w:val="17"/>
              </w:rPr>
              <w:t xml:space="preserve">Calibration on a separate 2018 (PD) and 2019 (prepay) window</w:t>
            </w:r>
          </w:p>
        </w:tc>
        <w:tc>
          <w:tcPr/>
          <w:p>
            <w:pPr>
              <w:pStyle w:val="Compact"/>
              <w:jc w:val="left"/>
            </w:pPr>
            <w:r>
              <w:rPr>
                <w:sz w:val="17"/>
              </w:rPr>
              <w:t xml:space="preserve">out-of-sample calibration</w:t>
            </w:r>
          </w:p>
        </w:tc>
        <w:tc>
          <w:tcPr/>
          <w:p>
            <w:pPr>
              <w:pStyle w:val="Compact"/>
              <w:jc w:val="left"/>
            </w:pPr>
            <w:r>
              <w:rPr>
                <w:sz w:val="17"/>
              </w:rPr>
              <w:t xml:space="preserve">level bias if the window is unrepresentative</w:t>
            </w:r>
          </w:p>
        </w:tc>
      </w:tr>
    </w:tbl>
    <w:bookmarkEnd w:id="133"/>
    <w:bookmarkStart w:id="134" w:name="limitations"/>
    <w:p>
      <w:pPr>
        <w:pStyle w:val="Heading2"/>
      </w:pPr>
      <w:r>
        <w:rPr>
          <w:rStyle w:val="SectionNumber"/>
        </w:rPr>
        <w:t xml:space="preserve">12.6</w:t>
      </w:r>
      <w:r>
        <w:tab/>
      </w:r>
      <w:r>
        <w:t xml:space="preserve">Limitations</w:t>
      </w:r>
    </w:p>
    <w:p>
      <w:pPr>
        <w:pStyle w:val="Compact"/>
        <w:numPr>
          <w:ilvl w:val="0"/>
          <w:numId w:val="1007"/>
        </w:numPr>
      </w:pPr>
      <w:r>
        <w:rPr>
          <w:b/>
          <w:bCs/>
        </w:rPr>
        <w:t xml:space="preserve">Synthetic data.</w:t>
      </w:r>
      <w:r>
        <w:t xml:space="preserve"> </w:t>
      </w:r>
      <w:r>
        <w:t xml:space="preserve">Performance, SHAP agreement and the model-versus-truth comparison say nothing about real mortgage behaviour. The models and the simulator share the same logistic family, which flatters both.</w:t>
      </w:r>
    </w:p>
    <w:p>
      <w:pPr>
        <w:pStyle w:val="Compact"/>
        <w:numPr>
          <w:ilvl w:val="0"/>
          <w:numId w:val="1007"/>
        </w:numPr>
      </w:pPr>
      <w:r>
        <w:rPr>
          <w:b/>
          <w:bCs/>
        </w:rPr>
        <w:t xml:space="preserve">Under-prediction of PD level out of time</w:t>
      </w:r>
      <w:r>
        <w:t xml:space="preserve"> </w:t>
      </w:r>
      <w:r>
        <w:t xml:space="preserve">(observed against predicted ratio 1.22), driven by the benign calibration window and regime change.</w:t>
      </w:r>
    </w:p>
    <w:p>
      <w:pPr>
        <w:pStyle w:val="Compact"/>
        <w:numPr>
          <w:ilvl w:val="0"/>
          <w:numId w:val="1007"/>
        </w:numPr>
      </w:pPr>
      <w:r>
        <w:rPr>
          <w:b/>
          <w:bCs/>
        </w:rPr>
        <w:t xml:space="preserve">No extrapolation.</w:t>
      </w:r>
      <w:r>
        <w:t xml:space="preserve"> </w:t>
      </w:r>
      <w:r>
        <w:t xml:space="preserve">Tree models are flat outside the training range of unemployment (training maximum 8.6 percent) and house price changes (training minimum 3.5%); stress results under-react, and 3 of six scenarios breach the project's own 25% tolerance against simulation truth.</w:t>
      </w:r>
    </w:p>
    <w:p>
      <w:pPr>
        <w:pStyle w:val="Compact"/>
        <w:numPr>
          <w:ilvl w:val="0"/>
          <w:numId w:val="1007"/>
        </w:numPr>
      </w:pPr>
      <w:r>
        <w:rPr>
          <w:b/>
          <w:bCs/>
        </w:rPr>
        <w:t xml:space="preserve">Pool out of the money.</w:t>
      </w:r>
      <w:r>
        <w:t xml:space="preserve"> </w:t>
      </w:r>
      <w:r>
        <w:t xml:space="preserve">The end-2023 pool shows no rate sensitivity, so rate scenarios are not informative on it; the 2021 as-of run exists for that reason.</w:t>
      </w:r>
    </w:p>
    <w:p>
      <w:pPr>
        <w:pStyle w:val="Compact"/>
        <w:numPr>
          <w:ilvl w:val="0"/>
          <w:numId w:val="1007"/>
        </w:numPr>
      </w:pPr>
      <w:r>
        <w:rPr>
          <w:b/>
          <w:bCs/>
        </w:rPr>
        <w:t xml:space="preserve">Scorecard blind spot.</w:t>
      </w:r>
      <w:r>
        <w:t xml:space="preserve"> </w:t>
      </w:r>
      <w:r>
        <w:t xml:space="preserve">The scorecard drops</w:t>
      </w:r>
      <w:r>
        <w:t xml:space="preserve"> </w:t>
      </w:r>
      <w:r>
        <w:rPr>
          <w:rStyle w:val="VerbatimChar"/>
        </w:rPr>
        <w:t xml:space="preserve">dlq_status</w:t>
      </w:r>
      <w:r>
        <w:t xml:space="preserve"> </w:t>
      </w:r>
      <w:r>
        <w:t xml:space="preserve">and</w:t>
      </w:r>
      <w:r>
        <w:t xml:space="preserve"> </w:t>
      </w:r>
      <w:r>
        <w:rPr>
          <w:rStyle w:val="VerbatimChar"/>
        </w:rPr>
        <w:t xml:space="preserve">times_30dpd_12m</w:t>
      </w:r>
      <w:r>
        <w:t xml:space="preserve"> </w:t>
      </w:r>
      <w:r>
        <w:t xml:space="preserve">because only 0.77% of training snapshots are delinquent, below the 5% minimum bin share, so each variable collapses to one bin. The scorecard cannot see that a loan is already late, which the boosted models do (it is the largest SHAP contribution for the loans it affects). This is a design weakness of the binning rule, not of scorecards in general, and a fix (a special-value bin that is exempt from the minimum share) is listed under next steps.</w:t>
      </w:r>
    </w:p>
    <w:p>
      <w:pPr>
        <w:pStyle w:val="Compact"/>
        <w:numPr>
          <w:ilvl w:val="0"/>
          <w:numId w:val="1007"/>
        </w:numPr>
      </w:pPr>
      <w:r>
        <w:rPr>
          <w:b/>
          <w:bCs/>
        </w:rPr>
        <w:t xml:space="preserve">Competing-risk handling is approximate</w:t>
      </w:r>
      <w:r>
        <w:t xml:space="preserve"> </w:t>
      </w:r>
      <w:r>
        <w:t xml:space="preserve">in the projection (section 10.5).</w:t>
      </w:r>
    </w:p>
    <w:p>
      <w:pPr>
        <w:pStyle w:val="Compact"/>
        <w:numPr>
          <w:ilvl w:val="0"/>
          <w:numId w:val="1007"/>
        </w:numPr>
      </w:pPr>
      <w:r>
        <w:rPr>
          <w:b/>
          <w:bCs/>
        </w:rPr>
        <w:t xml:space="preserve">No loss severity, modifications, forbearance or insurance.</w:t>
      </w:r>
    </w:p>
    <w:p>
      <w:pPr>
        <w:pStyle w:val="Compact"/>
        <w:numPr>
          <w:ilvl w:val="0"/>
          <w:numId w:val="1007"/>
        </w:numPr>
      </w:pPr>
      <w:r>
        <w:rPr>
          <w:b/>
          <w:bCs/>
        </w:rPr>
        <w:t xml:space="preserve">Single simulated realization</w:t>
      </w:r>
      <w:r>
        <w:t xml:space="preserve">, no repeated-simulation confidence on any metric beyond the loan bootstrap.</w:t>
      </w:r>
    </w:p>
    <w:p>
      <w:pPr>
        <w:pStyle w:val="Compact"/>
        <w:numPr>
          <w:ilvl w:val="0"/>
          <w:numId w:val="1007"/>
        </w:numPr>
      </w:pPr>
      <w:r>
        <w:rPr>
          <w:b/>
          <w:bCs/>
        </w:rPr>
        <w:t xml:space="preserve">Reason codes</w:t>
      </w:r>
      <w:r>
        <w:t xml:space="preserve"> </w:t>
      </w:r>
      <w:r>
        <w:t xml:space="preserve">are generic and unfiltered for materiality (section 9.4).</w:t>
      </w:r>
    </w:p>
    <w:p>
      <w:pPr>
        <w:pStyle w:val="Compact"/>
        <w:numPr>
          <w:ilvl w:val="0"/>
          <w:numId w:val="1007"/>
        </w:numPr>
      </w:pPr>
      <w:r>
        <w:rPr>
          <w:b/>
          <w:bCs/>
        </w:rPr>
        <w:t xml:space="preserve">Real-data path lightly tested</w:t>
      </w:r>
      <w:r>
        <w:t xml:space="preserve">; macro series must be supplied or the loader falls back to the synthetic macro, which would make macro features meaningless for real loans.</w:t>
      </w:r>
    </w:p>
    <w:bookmarkEnd w:id="134"/>
    <w:bookmarkStart w:id="135" w:name="ongoing-monitoring-plan"/>
    <w:p>
      <w:pPr>
        <w:pStyle w:val="Heading2"/>
      </w:pPr>
      <w:r>
        <w:rPr>
          <w:rStyle w:val="SectionNumber"/>
        </w:rPr>
        <w:t xml:space="preserve">12.7</w:t>
      </w:r>
      <w:r>
        <w:tab/>
      </w:r>
      <w:r>
        <w:t xml:space="preserve">Ongoing monitoring plan</w:t>
      </w:r>
    </w:p>
    <w:p>
      <w:pPr>
        <w:pStyle w:val="TableCaption"/>
      </w:pPr>
      <w:r>
        <w:t xml:space="preserve">Proposed monitoring metrics and triggers (illustrative thresholds for the model owner to set and governance to approve).</w:t>
      </w:r>
    </w:p>
    <w:tbl>
      <w:tblPr>
        <w:tblStyle w:val="Table"/>
        <w:tblW w:type="pct" w:w="5000"/>
        <w:tblLayout w:type="fixed"/>
        <w:tblLook w:firstRow="1" w:lastRow="0" w:firstColumn="0" w:lastColumn="0" w:noHBand="0" w:noVBand="0" w:val="0020"/>
        <w:tblCaption w:val="Proposed monitoring metrics and triggers (illustrative thresholds for the model owner to set and governance to approv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Metric</w:t>
            </w:r>
          </w:p>
        </w:tc>
        <w:tc>
          <w:tcPr/>
          <w:p>
            <w:pPr>
              <w:pStyle w:val="Compact"/>
              <w:jc w:val="left"/>
            </w:pPr>
            <w:r>
              <w:rPr>
                <w:sz w:val="17"/>
              </w:rPr>
              <w:t xml:space="preserve">Frequency</w:t>
            </w:r>
          </w:p>
        </w:tc>
        <w:tc>
          <w:tcPr/>
          <w:p>
            <w:pPr>
              <w:pStyle w:val="Compact"/>
              <w:jc w:val="left"/>
            </w:pPr>
            <w:r>
              <w:rPr>
                <w:sz w:val="17"/>
              </w:rPr>
              <w:t xml:space="preserve">Green</w:t>
            </w:r>
          </w:p>
        </w:tc>
        <w:tc>
          <w:tcPr/>
          <w:p>
            <w:pPr>
              <w:pStyle w:val="Compact"/>
              <w:jc w:val="left"/>
            </w:pPr>
            <w:r>
              <w:rPr>
                <w:sz w:val="17"/>
              </w:rPr>
              <w:t xml:space="preserve">Amber</w:t>
            </w:r>
          </w:p>
        </w:tc>
        <w:tc>
          <w:tcPr/>
          <w:p>
            <w:pPr>
              <w:pStyle w:val="Compact"/>
              <w:jc w:val="left"/>
            </w:pPr>
            <w:r>
              <w:rPr>
                <w:sz w:val="17"/>
              </w:rPr>
              <w:t xml:space="preserve">Red</w:t>
            </w:r>
          </w:p>
        </w:tc>
        <w:tc>
          <w:tcPr/>
          <w:p>
            <w:pPr>
              <w:pStyle w:val="Compact"/>
              <w:jc w:val="left"/>
            </w:pPr>
            <w:r>
              <w:rPr>
                <w:sz w:val="17"/>
              </w:rPr>
              <w:t xml:space="preserve">Action</w:t>
            </w:r>
          </w:p>
        </w:tc>
      </w:tr>
      <w:tr>
        <w:tc>
          <w:tcPr/>
          <w:p>
            <w:pPr>
              <w:pStyle w:val="Compact"/>
              <w:jc w:val="left"/>
            </w:pPr>
            <w:r>
              <w:rPr>
                <w:sz w:val="17"/>
              </w:rPr>
              <w:t xml:space="preserve">Score PSI (current against development)</w:t>
            </w:r>
          </w:p>
        </w:tc>
        <w:tc>
          <w:tcPr/>
          <w:p>
            <w:pPr>
              <w:pStyle w:val="Compact"/>
              <w:jc w:val="left"/>
            </w:pPr>
            <w:r>
              <w:rPr>
                <w:sz w:val="17"/>
              </w:rPr>
              <w:t xml:space="preserve">monthly</w:t>
            </w:r>
          </w:p>
        </w:tc>
        <w:tc>
          <w:tcPr/>
          <w:p>
            <w:pPr>
              <w:pStyle w:val="Compact"/>
              <w:jc w:val="left"/>
            </w:pPr>
            <w:r>
              <w:rPr>
                <w:sz w:val="17"/>
              </w:rPr>
              <w:t xml:space="preserve">below 0.10</w:t>
            </w:r>
          </w:p>
        </w:tc>
        <w:tc>
          <w:tcPr/>
          <w:p>
            <w:pPr>
              <w:pStyle w:val="Compact"/>
              <w:jc w:val="left"/>
            </w:pPr>
            <w:r>
              <w:rPr>
                <w:sz w:val="17"/>
              </w:rPr>
              <w:t xml:space="preserve">0.10 to 0.25</w:t>
            </w:r>
          </w:p>
        </w:tc>
        <w:tc>
          <w:tcPr/>
          <w:p>
            <w:pPr>
              <w:pStyle w:val="Compact"/>
              <w:jc w:val="left"/>
            </w:pPr>
            <w:r>
              <w:rPr>
                <w:sz w:val="17"/>
              </w:rPr>
              <w:t xml:space="preserve">above 0.25</w:t>
            </w:r>
          </w:p>
        </w:tc>
        <w:tc>
          <w:tcPr/>
          <w:p>
            <w:pPr>
              <w:pStyle w:val="Compact"/>
              <w:jc w:val="left"/>
            </w:pPr>
            <w:r>
              <w:rPr>
                <w:sz w:val="17"/>
              </w:rPr>
              <w:t xml:space="preserve">amber: investigate drivers via CSI; red: escalate to the model owner and consider recalibration</w:t>
            </w:r>
          </w:p>
        </w:tc>
      </w:tr>
      <w:tr>
        <w:tc>
          <w:tcPr/>
          <w:p>
            <w:pPr>
              <w:pStyle w:val="Compact"/>
              <w:jc w:val="left"/>
            </w:pPr>
            <w:r>
              <w:rPr>
                <w:sz w:val="17"/>
              </w:rPr>
              <w:t xml:space="preserve">CSI of the top five SHAP features</w:t>
            </w:r>
          </w:p>
        </w:tc>
        <w:tc>
          <w:tcPr/>
          <w:p>
            <w:pPr>
              <w:pStyle w:val="Compact"/>
              <w:jc w:val="left"/>
            </w:pPr>
            <w:r>
              <w:rPr>
                <w:sz w:val="17"/>
              </w:rPr>
              <w:t xml:space="preserve">monthly</w:t>
            </w:r>
          </w:p>
        </w:tc>
        <w:tc>
          <w:tcPr/>
          <w:p>
            <w:pPr>
              <w:pStyle w:val="Compact"/>
              <w:jc w:val="left"/>
            </w:pPr>
            <w:r>
              <w:rPr>
                <w:sz w:val="17"/>
              </w:rPr>
              <w:t xml:space="preserve">below 0.10</w:t>
            </w:r>
          </w:p>
        </w:tc>
        <w:tc>
          <w:tcPr/>
          <w:p>
            <w:pPr>
              <w:pStyle w:val="Compact"/>
              <w:jc w:val="left"/>
            </w:pPr>
            <w:r>
              <w:rPr>
                <w:sz w:val="17"/>
              </w:rPr>
              <w:t xml:space="preserve">0.10 to 0.25</w:t>
            </w:r>
          </w:p>
        </w:tc>
        <w:tc>
          <w:tcPr/>
          <w:p>
            <w:pPr>
              <w:pStyle w:val="Compact"/>
              <w:jc w:val="left"/>
            </w:pPr>
            <w:r>
              <w:rPr>
                <w:sz w:val="17"/>
              </w:rPr>
              <w:t xml:space="preserve">above 0.25</w:t>
            </w:r>
          </w:p>
        </w:tc>
        <w:tc>
          <w:tcPr/>
          <w:p>
            <w:pPr>
              <w:pStyle w:val="Compact"/>
              <w:jc w:val="left"/>
            </w:pPr>
            <w:r>
              <w:rPr>
                <w:sz w:val="17"/>
              </w:rPr>
              <w:t xml:space="preserve">review input data and population change</w:t>
            </w:r>
          </w:p>
        </w:tc>
      </w:tr>
      <w:tr>
        <w:tc>
          <w:tcPr/>
          <w:p>
            <w:pPr>
              <w:pStyle w:val="Compact"/>
              <w:jc w:val="left"/>
            </w:pPr>
            <w:r>
              <w:rPr>
                <w:sz w:val="17"/>
              </w:rPr>
              <w:t xml:space="preserve">AUC on matured 12-month outcomes</w:t>
            </w:r>
          </w:p>
        </w:tc>
        <w:tc>
          <w:tcPr/>
          <w:p>
            <w:pPr>
              <w:pStyle w:val="Compact"/>
              <w:jc w:val="left"/>
            </w:pPr>
            <w:r>
              <w:rPr>
                <w:sz w:val="17"/>
              </w:rPr>
              <w:t xml:space="preserve">quarterly</w:t>
            </w:r>
          </w:p>
        </w:tc>
        <w:tc>
          <w:tcPr/>
          <w:p>
            <w:pPr>
              <w:pStyle w:val="Compact"/>
              <w:jc w:val="left"/>
            </w:pPr>
            <w:r>
              <w:rPr>
                <w:sz w:val="17"/>
              </w:rPr>
              <w:t xml:space="preserve">within 0.02 of development (0.808)</w:t>
            </w:r>
          </w:p>
        </w:tc>
        <w:tc>
          <w:tcPr/>
          <w:p>
            <w:pPr>
              <w:pStyle w:val="Compact"/>
              <w:jc w:val="left"/>
            </w:pPr>
            <w:r>
              <w:rPr>
                <w:sz w:val="17"/>
              </w:rPr>
              <w:t xml:space="preserve">0.02 to 0.05 below</w:t>
            </w:r>
          </w:p>
        </w:tc>
        <w:tc>
          <w:tcPr/>
          <w:p>
            <w:pPr>
              <w:pStyle w:val="Compact"/>
              <w:jc w:val="left"/>
            </w:pPr>
            <w:r>
              <w:rPr>
                <w:sz w:val="17"/>
              </w:rPr>
              <w:t xml:space="preserve">more than 0.05 below</w:t>
            </w:r>
          </w:p>
        </w:tc>
        <w:tc>
          <w:tcPr/>
          <w:p>
            <w:pPr>
              <w:pStyle w:val="Compact"/>
              <w:jc w:val="left"/>
            </w:pPr>
            <w:r>
              <w:rPr>
                <w:sz w:val="17"/>
              </w:rPr>
              <w:t xml:space="preserve">redevelop or replace with the challenger</w:t>
            </w:r>
          </w:p>
        </w:tc>
      </w:tr>
      <w:tr>
        <w:tc>
          <w:tcPr/>
          <w:p>
            <w:pPr>
              <w:pStyle w:val="Compact"/>
              <w:jc w:val="left"/>
            </w:pPr>
            <w:r>
              <w:rPr>
                <w:sz w:val="17"/>
              </w:rPr>
              <w:t xml:space="preserve">Observed over predicted default rate, overall and by decile</w:t>
            </w:r>
          </w:p>
        </w:tc>
        <w:tc>
          <w:tcPr/>
          <w:p>
            <w:pPr>
              <w:pStyle w:val="Compact"/>
              <w:jc w:val="left"/>
            </w:pPr>
            <w:r>
              <w:rPr>
                <w:sz w:val="17"/>
              </w:rPr>
              <w:t xml:space="preserve">quarterly</w:t>
            </w:r>
          </w:p>
        </w:tc>
        <w:tc>
          <w:tcPr/>
          <w:p>
            <w:pPr>
              <w:pStyle w:val="Compact"/>
              <w:jc w:val="left"/>
            </w:pPr>
            <w:r>
              <w:rPr>
                <w:sz w:val="17"/>
              </w:rPr>
              <w:t xml:space="preserve">0.90 to 1.10</w:t>
            </w:r>
          </w:p>
        </w:tc>
        <w:tc>
          <w:tcPr/>
          <w:p>
            <w:pPr>
              <w:pStyle w:val="Compact"/>
              <w:jc w:val="left"/>
            </w:pPr>
            <w:r>
              <w:rPr>
                <w:sz w:val="17"/>
              </w:rPr>
              <w:t xml:space="preserve">0.80 to 0.90 or 1.10 to 1.25</w:t>
            </w:r>
          </w:p>
        </w:tc>
        <w:tc>
          <w:tcPr/>
          <w:p>
            <w:pPr>
              <w:pStyle w:val="Compact"/>
              <w:jc w:val="left"/>
            </w:pPr>
            <w:r>
              <w:rPr>
                <w:sz w:val="17"/>
              </w:rPr>
              <w:t xml:space="preserve">outside 0.80 to 1.25</w:t>
            </w:r>
          </w:p>
        </w:tc>
        <w:tc>
          <w:tcPr/>
          <w:p>
            <w:pPr>
              <w:pStyle w:val="Compact"/>
              <w:jc w:val="left"/>
            </w:pPr>
            <w:r>
              <w:rPr>
                <w:sz w:val="17"/>
              </w:rPr>
              <w:t xml:space="preserve">recalibrate on a recent window</w:t>
            </w:r>
          </w:p>
        </w:tc>
      </w:tr>
      <w:tr>
        <w:tc>
          <w:tcPr/>
          <w:p>
            <w:pPr>
              <w:pStyle w:val="Compact"/>
              <w:jc w:val="left"/>
            </w:pPr>
            <w:r>
              <w:rPr>
                <w:sz w:val="17"/>
              </w:rPr>
              <w:t xml:space="preserve">Prepay CPR RMSE against development (4.99 points)</w:t>
            </w:r>
          </w:p>
        </w:tc>
        <w:tc>
          <w:tcPr/>
          <w:p>
            <w:pPr>
              <w:pStyle w:val="Compact"/>
              <w:jc w:val="left"/>
            </w:pPr>
            <w:r>
              <w:rPr>
                <w:sz w:val="17"/>
              </w:rPr>
              <w:t xml:space="preserve">monthly</w:t>
            </w:r>
          </w:p>
        </w:tc>
        <w:tc>
          <w:tcPr/>
          <w:p>
            <w:pPr>
              <w:pStyle w:val="Compact"/>
              <w:jc w:val="left"/>
            </w:pPr>
            <w:r>
              <w:rPr>
                <w:sz w:val="17"/>
              </w:rPr>
              <w:t xml:space="preserve">below 1.25 times</w:t>
            </w:r>
          </w:p>
        </w:tc>
        <w:tc>
          <w:tcPr/>
          <w:p>
            <w:pPr>
              <w:pStyle w:val="Compact"/>
              <w:jc w:val="left"/>
            </w:pPr>
            <w:r>
              <w:rPr>
                <w:sz w:val="17"/>
              </w:rPr>
              <w:t xml:space="preserve">1.25 to 2 times</w:t>
            </w:r>
          </w:p>
        </w:tc>
        <w:tc>
          <w:tcPr/>
          <w:p>
            <w:pPr>
              <w:pStyle w:val="Compact"/>
              <w:jc w:val="left"/>
            </w:pPr>
            <w:r>
              <w:rPr>
                <w:sz w:val="17"/>
              </w:rPr>
              <w:t xml:space="preserve">above 2 times</w:t>
            </w:r>
          </w:p>
        </w:tc>
        <w:tc>
          <w:tcPr/>
          <w:p>
            <w:pPr>
              <w:pStyle w:val="Compact"/>
              <w:jc w:val="left"/>
            </w:pPr>
            <w:r>
              <w:rPr>
                <w:sz w:val="17"/>
              </w:rPr>
              <w:t xml:space="preserve">refit incentive response</w:t>
            </w:r>
          </w:p>
        </w:tc>
      </w:tr>
      <w:tr>
        <w:tc>
          <w:tcPr/>
          <w:p>
            <w:pPr>
              <w:pStyle w:val="Compact"/>
              <w:jc w:val="left"/>
            </w:pPr>
            <w:r>
              <w:rPr>
                <w:sz w:val="17"/>
              </w:rPr>
              <w:t xml:space="preserve">Data checks (missing rates, sentinel codes, balance roll-forward)</w:t>
            </w:r>
          </w:p>
        </w:tc>
        <w:tc>
          <w:tcPr/>
          <w:p>
            <w:pPr>
              <w:pStyle w:val="Compact"/>
              <w:jc w:val="left"/>
            </w:pPr>
            <w:r>
              <w:rPr>
                <w:sz w:val="17"/>
              </w:rPr>
              <w:t xml:space="preserve">monthly</w:t>
            </w:r>
          </w:p>
        </w:tc>
        <w:tc>
          <w:tcPr/>
          <w:p>
            <w:pPr>
              <w:pStyle w:val="Compact"/>
              <w:jc w:val="left"/>
            </w:pPr>
            <w:r>
              <w:rPr>
                <w:sz w:val="17"/>
              </w:rPr>
              <w:t xml:space="preserve">no breach</w:t>
            </w:r>
          </w:p>
        </w:tc>
        <w:tc>
          <w:tcPr/>
          <w:p>
            <w:pPr>
              <w:pStyle w:val="Compact"/>
              <w:jc w:val="left"/>
            </w:pPr>
            <w:r>
              <w:rPr>
                <w:sz w:val="17"/>
              </w:rPr>
              <w:t xml:space="preserve">minor</w:t>
            </w:r>
          </w:p>
        </w:tc>
        <w:tc>
          <w:tcPr/>
          <w:p>
            <w:pPr>
              <w:pStyle w:val="Compact"/>
              <w:jc w:val="left"/>
            </w:pPr>
            <w:r>
              <w:rPr>
                <w:sz w:val="17"/>
              </w:rPr>
              <w:t xml:space="preserve">major</w:t>
            </w:r>
          </w:p>
        </w:tc>
        <w:tc>
          <w:tcPr/>
          <w:p>
            <w:pPr>
              <w:pStyle w:val="Compact"/>
              <w:jc w:val="left"/>
            </w:pPr>
            <w:r>
              <w:rPr>
                <w:sz w:val="17"/>
              </w:rPr>
              <w:t xml:space="preserve">stop scoring until fixed</w:t>
            </w:r>
          </w:p>
        </w:tc>
      </w:tr>
    </w:tbl>
    <w:p>
      <w:pPr>
        <w:pStyle w:val="BodyText"/>
      </w:pPr>
      <w:r>
        <w:t xml:space="preserve">A</w:t>
      </w:r>
      <w:r>
        <w:t xml:space="preserve"> </w:t>
      </w:r>
      <w:r>
        <w:rPr>
          <w:b/>
          <w:bCs/>
        </w:rPr>
        <w:t xml:space="preserve">backtest</w:t>
      </w:r>
      <w:r>
        <w:t xml:space="preserve"> </w:t>
      </w:r>
      <w:r>
        <w:t xml:space="preserve">compares predicted PD with realized 12-month outcomes for the same snapshot cohort once the window has matured, by decile and by vintage, using the same tables as section 8. Full revalidation is annual or earlier on a red trigger.</w:t>
      </w:r>
    </w:p>
    <w:bookmarkEnd w:id="135"/>
    <w:bookmarkStart w:id="136" w:name="challenger-plan"/>
    <w:p>
      <w:pPr>
        <w:pStyle w:val="Heading2"/>
      </w:pPr>
      <w:r>
        <w:rPr>
          <w:rStyle w:val="SectionNumber"/>
        </w:rPr>
        <w:t xml:space="preserve">12.8</w:t>
      </w:r>
      <w:r>
        <w:tab/>
      </w:r>
      <w:r>
        <w:t xml:space="preserve">Challenger plan</w:t>
      </w:r>
    </w:p>
    <w:p>
      <w:pPr>
        <w:pStyle w:val="FirstParagraph"/>
      </w:pPr>
      <w:r>
        <w:t xml:space="preserve">The scorecard logit is the standing challenger for PD and the hinge logit for prepayment; both are re-fitted and compared on each refresh using the benchmark table and the DeLong test. Planned additional challengers are a discrete-time multinomial competing-risk model (default, prepay, stay) that removes the double-counting approximation, a parametric hazard overlay for the macro stress dimension, and a benchmark run on real Freddie Mac vintages spanning 2007 to 2012.</w:t>
      </w:r>
    </w:p>
    <w:bookmarkEnd w:id="136"/>
    <w:bookmarkEnd w:id="137"/>
    <w:bookmarkStart w:id="141" w:name="repository-guide-and-how-to-run"/>
    <w:p>
      <w:pPr>
        <w:pStyle w:val="Heading1"/>
      </w:pPr>
      <w:r>
        <w:rPr>
          <w:rStyle w:val="SectionNumber"/>
        </w:rPr>
        <w:t xml:space="preserve">13</w:t>
      </w:r>
      <w:r>
        <w:tab/>
      </w:r>
      <w:r>
        <w:t xml:space="preserve">Repository guide and how to run</w:t>
      </w:r>
    </w:p>
    <w:bookmarkStart w:id="138" w:name="layout"/>
    <w:p>
      <w:pPr>
        <w:pStyle w:val="Heading2"/>
      </w:pPr>
      <w:r>
        <w:rPr>
          <w:rStyle w:val="SectionNumber"/>
        </w:rPr>
        <w:t xml:space="preserve">13.1</w:t>
      </w:r>
      <w:r>
        <w:tab/>
      </w:r>
      <w:r>
        <w:t xml:space="preserve">Layout</w:t>
      </w:r>
    </w:p>
    <w:p>
      <w:pPr>
        <w:pStyle w:val="SourceCode"/>
      </w:pPr>
      <w:r>
        <w:rPr>
          <w:rStyle w:val="VerbatimChar"/>
        </w:rPr>
        <w:t xml:space="preserve">Mortgage_Delinquency_Prepayment_Model/</w:t>
      </w:r>
      <w:r>
        <w:br/>
      </w:r>
      <w:r>
        <w:rPr>
          <w:rStyle w:val="VerbatimChar"/>
        </w:rPr>
        <w:t xml:space="preserve">  README.md                        overview and headline results</w:t>
      </w:r>
      <w:r>
        <w:br/>
      </w:r>
      <w:r>
        <w:rPr>
          <w:rStyle w:val="VerbatimChar"/>
        </w:rPr>
        <w:t xml:space="preserve">  INTERFACES.md                    module contracts used while building</w:t>
      </w:r>
      <w:r>
        <w:br/>
      </w:r>
      <w:r>
        <w:rPr>
          <w:rStyle w:val="VerbatimChar"/>
        </w:rPr>
        <w:t xml:space="preserve">  data/raw/, data/interim/         Freddie files go in raw; parquet cache in interim</w:t>
      </w:r>
      <w:r>
        <w:br/>
      </w:r>
      <w:r>
        <w:rPr>
          <w:rStyle w:val="VerbatimChar"/>
        </w:rPr>
        <w:t xml:space="preserve">  docs/                            this document, build_docs.py, reference.docx</w:t>
      </w:r>
      <w:r>
        <w:br/>
      </w:r>
      <w:r>
        <w:rPr>
          <w:rStyle w:val="VerbatimChar"/>
        </w:rPr>
        <w:t xml:space="preserve">  excel/                           build_workbook.py, mortgage_risk_model.xlsx</w:t>
      </w:r>
      <w:r>
        <w:br/>
      </w:r>
      <w:r>
        <w:rPr>
          <w:rStyle w:val="VerbatimChar"/>
        </w:rPr>
        <w:t xml:space="preserve">  python/</w:t>
      </w:r>
      <w:r>
        <w:br/>
      </w:r>
      <w:r>
        <w:rPr>
          <w:rStyle w:val="VerbatimChar"/>
        </w:rPr>
        <w:t xml:space="preserve">    mortgage_risk/                 the package (modules below)</w:t>
      </w:r>
      <w:r>
        <w:br/>
      </w:r>
      <w:r>
        <w:rPr>
          <w:rStyle w:val="VerbatimChar"/>
        </w:rPr>
        <w:t xml:space="preserve">    tests/                         pytest suites</w:t>
      </w:r>
      <w:r>
        <w:br/>
      </w:r>
      <w:r>
        <w:rPr>
          <w:rStyle w:val="VerbatimChar"/>
        </w:rPr>
        <w:t xml:space="preserve">    outputs/                       CSV/JSON results, charts/, models/, waterfall_hook/,</w:t>
      </w:r>
      <w:r>
        <w:br/>
      </w:r>
      <w:r>
        <w:rPr>
          <w:rStyle w:val="VerbatimChar"/>
        </w:rPr>
        <w:t xml:space="preserve">                                   excel_inputs/, scenarios_itm_2021/</w:t>
      </w:r>
      <w:r>
        <w:br/>
      </w:r>
      <w:r>
        <w:rPr>
          <w:rStyle w:val="VerbatimChar"/>
        </w:rPr>
        <w:t xml:space="preserve">    requirements.txt, pytest.ini</w:t>
      </w:r>
    </w:p>
    <w:p>
      <w:pPr>
        <w:pStyle w:val="TableCaption"/>
      </w:pPr>
      <w:r>
        <w:t xml:space="preserve">Package modules.</w:t>
      </w:r>
    </w:p>
    <w:tbl>
      <w:tblPr>
        <w:tblStyle w:val="Table"/>
        <w:tblW w:type="pct" w:w="5000"/>
        <w:tblLayout w:type="fixed"/>
        <w:tblLook w:firstRow="1" w:lastRow="0" w:firstColumn="0" w:lastColumn="0" w:noHBand="0" w:noVBand="0" w:val="0020"/>
        <w:tblCaption w:val="Package module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jc w:val="left"/>
            </w:pPr>
            <w:r>
              <w:rPr>
                <w:sz w:val="17"/>
              </w:rPr>
              <w:t xml:space="preserve">Module</w:t>
            </w:r>
          </w:p>
        </w:tc>
        <w:tc>
          <w:tcPr/>
          <w:p>
            <w:pPr>
              <w:pStyle w:val="Compact"/>
              <w:jc w:val="left"/>
            </w:pPr>
            <w:r>
              <w:rPr>
                <w:sz w:val="17"/>
              </w:rPr>
              <w:t xml:space="preserve">Role</w:t>
            </w:r>
          </w:p>
        </w:tc>
      </w:tr>
      <w:tr>
        <w:tc>
          <w:tcPr/>
          <w:p>
            <w:pPr>
              <w:pStyle w:val="Compact"/>
              <w:jc w:val="left"/>
            </w:pPr>
            <w:r>
              <w:rPr>
                <w:rStyle w:val="VerbatimChar"/>
                <w:sz w:val="17"/>
              </w:rPr>
              <w:t xml:space="preserve">config.py</w:t>
            </w:r>
            <w:r>
              <w:rPr>
                <w:sz w:val="17"/>
              </w:rPr>
              <w:t xml:space="preserve">,</w:t>
            </w:r>
            <w:r>
              <w:rPr>
                <w:sz w:val="17"/>
              </w:rPr>
              <w:t xml:space="preserve"> </w:t>
            </w:r>
            <w:r>
              <w:rPr>
                <w:rStyle w:val="VerbatimChar"/>
                <w:sz w:val="17"/>
              </w:rPr>
              <w:t xml:space="preserve">columns.py</w:t>
            </w:r>
          </w:p>
        </w:tc>
        <w:tc>
          <w:tcPr/>
          <w:p>
            <w:pPr>
              <w:pStyle w:val="Compact"/>
              <w:jc w:val="left"/>
            </w:pPr>
            <w:r>
              <w:rPr>
                <w:sz w:val="17"/>
              </w:rPr>
              <w:t xml:space="preserve">all shared settings, the true DGP coefficients, split windows, shocks; every column name as a constant</w:t>
            </w:r>
          </w:p>
        </w:tc>
      </w:tr>
      <w:tr>
        <w:tc>
          <w:tcPr/>
          <w:p>
            <w:pPr>
              <w:pStyle w:val="Compact"/>
              <w:jc w:val="left"/>
            </w:pPr>
            <w:r>
              <w:rPr>
                <w:rStyle w:val="VerbatimChar"/>
                <w:sz w:val="17"/>
              </w:rPr>
              <w:t xml:space="preserve">macro.py</w:t>
            </w:r>
          </w:p>
        </w:tc>
        <w:tc>
          <w:tcPr/>
          <w:p>
            <w:pPr>
              <w:pStyle w:val="Compact"/>
              <w:jc w:val="left"/>
            </w:pPr>
            <w:r>
              <w:rPr>
                <w:sz w:val="17"/>
              </w:rPr>
              <w:t xml:space="preserve">stylized rate, house price and unemployment paths;</w:t>
            </w:r>
            <w:r>
              <w:rPr>
                <w:sz w:val="17"/>
              </w:rPr>
              <w:t xml:space="preserve"> </w:t>
            </w:r>
            <w:r>
              <w:rPr>
                <w:rStyle w:val="VerbatimChar"/>
                <w:sz w:val="17"/>
              </w:rPr>
              <w:t xml:space="preserve">apply_shock</w:t>
            </w:r>
          </w:p>
        </w:tc>
      </w:tr>
      <w:tr>
        <w:tc>
          <w:tcPr/>
          <w:p>
            <w:pPr>
              <w:pStyle w:val="Compact"/>
              <w:jc w:val="left"/>
            </w:pPr>
            <w:r>
              <w:rPr>
                <w:rStyle w:val="VerbatimChar"/>
                <w:sz w:val="17"/>
              </w:rPr>
              <w:t xml:space="preserve">synthetic.py</w:t>
            </w:r>
          </w:p>
        </w:tc>
        <w:tc>
          <w:tcPr/>
          <w:p>
            <w:pPr>
              <w:pStyle w:val="Compact"/>
              <w:jc w:val="left"/>
            </w:pPr>
            <w:r>
              <w:rPr>
                <w:sz w:val="17"/>
              </w:rPr>
              <w:t xml:space="preserve">simulator</w:t>
            </w:r>
            <w:r>
              <w:rPr>
                <w:sz w:val="17"/>
              </w:rPr>
              <w:t xml:space="preserve"> </w:t>
            </w:r>
            <w:r>
              <w:rPr>
                <w:rStyle w:val="VerbatimChar"/>
                <w:sz w:val="17"/>
              </w:rPr>
              <w:t xml:space="preserve">simulate_panel</w:t>
            </w:r>
            <w:r>
              <w:rPr>
                <w:sz w:val="17"/>
              </w:rPr>
              <w:t xml:space="preserve"> </w:t>
            </w:r>
            <w:r>
              <w:rPr>
                <w:sz w:val="17"/>
              </w:rPr>
              <w:t xml:space="preserve">and</w:t>
            </w:r>
            <w:r>
              <w:rPr>
                <w:sz w:val="17"/>
              </w:rPr>
              <w:t xml:space="preserve"> </w:t>
            </w:r>
            <w:r>
              <w:rPr>
                <w:rStyle w:val="VerbatimChar"/>
                <w:sz w:val="17"/>
              </w:rPr>
              <w:t xml:space="preserve">calibration_report</w:t>
            </w:r>
          </w:p>
        </w:tc>
      </w:tr>
      <w:tr>
        <w:tc>
          <w:tcPr/>
          <w:p>
            <w:pPr>
              <w:pStyle w:val="Compact"/>
              <w:jc w:val="left"/>
            </w:pPr>
            <w:r>
              <w:rPr>
                <w:rStyle w:val="VerbatimChar"/>
                <w:sz w:val="17"/>
              </w:rPr>
              <w:t xml:space="preserve">freddie.py</w:t>
            </w:r>
          </w:p>
        </w:tc>
        <w:tc>
          <w:tcPr/>
          <w:p>
            <w:pPr>
              <w:pStyle w:val="Compact"/>
              <w:jc w:val="left"/>
            </w:pPr>
            <w:r>
              <w:rPr>
                <w:sz w:val="17"/>
              </w:rPr>
              <w:t xml:space="preserve">Freddie Mac file loader and macro loader</w:t>
            </w:r>
          </w:p>
        </w:tc>
      </w:tr>
      <w:tr>
        <w:tc>
          <w:tcPr/>
          <w:p>
            <w:pPr>
              <w:pStyle w:val="Compact"/>
              <w:jc w:val="left"/>
            </w:pPr>
            <w:r>
              <w:rPr>
                <w:rStyle w:val="VerbatimChar"/>
                <w:sz w:val="17"/>
              </w:rPr>
              <w:t xml:space="preserve">data.py</w:t>
            </w:r>
          </w:p>
        </w:tc>
        <w:tc>
          <w:tcPr/>
          <w:p>
            <w:pPr>
              <w:pStyle w:val="Compact"/>
              <w:jc w:val="left"/>
            </w:pPr>
            <w:r>
              <w:rPr>
                <w:rStyle w:val="VerbatimChar"/>
                <w:sz w:val="17"/>
              </w:rPr>
              <w:t xml:space="preserve">get_panel</w:t>
            </w:r>
            <w:r>
              <w:rPr>
                <w:sz w:val="17"/>
              </w:rPr>
              <w:t xml:space="preserve">: choose source, cache parquet</w:t>
            </w:r>
          </w:p>
        </w:tc>
      </w:tr>
      <w:tr>
        <w:tc>
          <w:tcPr/>
          <w:p>
            <w:pPr>
              <w:pStyle w:val="Compact"/>
              <w:jc w:val="left"/>
            </w:pPr>
            <w:r>
              <w:rPr>
                <w:rStyle w:val="VerbatimChar"/>
                <w:sz w:val="17"/>
              </w:rPr>
              <w:t xml:space="preserve">features.py</w:t>
            </w:r>
          </w:p>
        </w:tc>
        <w:tc>
          <w:tcPr/>
          <w:p>
            <w:pPr>
              <w:pStyle w:val="Compact"/>
              <w:jc w:val="left"/>
            </w:pPr>
            <w:r>
              <w:rPr>
                <w:sz w:val="17"/>
              </w:rPr>
              <w:t xml:space="preserve">backward-looking features and the leakage guard</w:t>
            </w:r>
          </w:p>
        </w:tc>
      </w:tr>
      <w:tr>
        <w:tc>
          <w:tcPr/>
          <w:p>
            <w:pPr>
              <w:pStyle w:val="Compact"/>
              <w:jc w:val="left"/>
            </w:pPr>
            <w:r>
              <w:rPr>
                <w:rStyle w:val="VerbatimChar"/>
                <w:sz w:val="17"/>
              </w:rPr>
              <w:t xml:space="preserve">targets.py</w:t>
            </w:r>
          </w:p>
        </w:tc>
        <w:tc>
          <w:tcPr/>
          <w:p>
            <w:pPr>
              <w:pStyle w:val="Compact"/>
              <w:jc w:val="left"/>
            </w:pPr>
            <w:r>
              <w:rPr>
                <w:sz w:val="17"/>
              </w:rPr>
              <w:t xml:space="preserve">PD snapshots, prepayment hazard rows, time split</w:t>
            </w:r>
          </w:p>
        </w:tc>
      </w:tr>
      <w:tr>
        <w:tc>
          <w:tcPr/>
          <w:p>
            <w:pPr>
              <w:pStyle w:val="Compact"/>
              <w:jc w:val="left"/>
            </w:pPr>
            <w:r>
              <w:rPr>
                <w:rStyle w:val="VerbatimChar"/>
                <w:sz w:val="17"/>
              </w:rPr>
              <w:t xml:space="preserve">scorecard.py</w:t>
            </w:r>
          </w:p>
        </w:tc>
        <w:tc>
          <w:tcPr/>
          <w:p>
            <w:pPr>
              <w:pStyle w:val="Compact"/>
              <w:jc w:val="left"/>
            </w:pPr>
            <w:r>
              <w:rPr>
                <w:sz w:val="17"/>
              </w:rPr>
              <w:t xml:space="preserve">WoE binning, IV, scorecard fit and points table</w:t>
            </w:r>
          </w:p>
        </w:tc>
      </w:tr>
      <w:tr>
        <w:tc>
          <w:tcPr/>
          <w:p>
            <w:pPr>
              <w:pStyle w:val="Compact"/>
              <w:jc w:val="left"/>
            </w:pPr>
            <w:r>
              <w:rPr>
                <w:rStyle w:val="VerbatimChar"/>
                <w:sz w:val="17"/>
              </w:rPr>
              <w:t xml:space="preserve">models.py</w:t>
            </w:r>
          </w:p>
        </w:tc>
        <w:tc>
          <w:tcPr/>
          <w:p>
            <w:pPr>
              <w:pStyle w:val="Compact"/>
              <w:jc w:val="left"/>
            </w:pPr>
            <w:r>
              <w:rPr>
                <w:sz w:val="17"/>
              </w:rPr>
              <w:t xml:space="preserve">model bundles, time-aware tuning, calibration,</w:t>
            </w:r>
            <w:r>
              <w:rPr>
                <w:sz w:val="17"/>
              </w:rPr>
              <w:t xml:space="preserve"> </w:t>
            </w:r>
            <w:r>
              <w:rPr>
                <w:rStyle w:val="VerbatimChar"/>
                <w:sz w:val="17"/>
              </w:rPr>
              <w:t xml:space="preserve">train_all</w:t>
            </w:r>
          </w:p>
        </w:tc>
      </w:tr>
      <w:tr>
        <w:tc>
          <w:tcPr/>
          <w:p>
            <w:pPr>
              <w:pStyle w:val="Compact"/>
              <w:jc w:val="left"/>
            </w:pPr>
            <w:r>
              <w:rPr>
                <w:rStyle w:val="VerbatimChar"/>
                <w:sz w:val="17"/>
              </w:rPr>
              <w:t xml:space="preserve">evaluation.py</w:t>
            </w:r>
          </w:p>
        </w:tc>
        <w:tc>
          <w:tcPr/>
          <w:p>
            <w:pPr>
              <w:pStyle w:val="Compact"/>
              <w:jc w:val="left"/>
            </w:pPr>
            <w:r>
              <w:rPr>
                <w:sz w:val="17"/>
              </w:rPr>
              <w:t xml:space="preserve">metrics, DeLong, bootstrap, PSI and CSI, benchmark, output writer</w:t>
            </w:r>
          </w:p>
        </w:tc>
      </w:tr>
      <w:tr>
        <w:tc>
          <w:tcPr/>
          <w:p>
            <w:pPr>
              <w:pStyle w:val="Compact"/>
              <w:jc w:val="left"/>
            </w:pPr>
            <w:r>
              <w:rPr>
                <w:rStyle w:val="VerbatimChar"/>
                <w:sz w:val="17"/>
              </w:rPr>
              <w:t xml:space="preserve">explain.py</w:t>
            </w:r>
          </w:p>
        </w:tc>
        <w:tc>
          <w:tcPr/>
          <w:p>
            <w:pPr>
              <w:pStyle w:val="Compact"/>
              <w:jc w:val="left"/>
            </w:pPr>
            <w:r>
              <w:rPr>
                <w:sz w:val="17"/>
              </w:rPr>
              <w:t xml:space="preserve">SHAP, DGP alignment, reason codes</w:t>
            </w:r>
          </w:p>
        </w:tc>
      </w:tr>
      <w:tr>
        <w:tc>
          <w:tcPr/>
          <w:p>
            <w:pPr>
              <w:pStyle w:val="Compact"/>
              <w:jc w:val="left"/>
            </w:pPr>
            <w:r>
              <w:rPr>
                <w:rStyle w:val="VerbatimChar"/>
                <w:sz w:val="17"/>
              </w:rPr>
              <w:t xml:space="preserve">scenarios.py</w:t>
            </w:r>
          </w:p>
        </w:tc>
        <w:tc>
          <w:tcPr/>
          <w:p>
            <w:pPr>
              <w:pStyle w:val="Compact"/>
              <w:jc w:val="left"/>
            </w:pPr>
            <w:r>
              <w:rPr>
                <w:sz w:val="17"/>
              </w:rPr>
              <w:t xml:space="preserve">projection engine, truth projection, 12-month summaries</w:t>
            </w:r>
          </w:p>
        </w:tc>
      </w:tr>
      <w:tr>
        <w:tc>
          <w:tcPr/>
          <w:p>
            <w:pPr>
              <w:pStyle w:val="Compact"/>
              <w:jc w:val="left"/>
            </w:pPr>
            <w:r>
              <w:rPr>
                <w:rStyle w:val="VerbatimChar"/>
                <w:sz w:val="17"/>
              </w:rPr>
              <w:t xml:space="preserve">export_hook.py</w:t>
            </w:r>
          </w:p>
        </w:tc>
        <w:tc>
          <w:tcPr/>
          <w:p>
            <w:pPr>
              <w:pStyle w:val="Compact"/>
              <w:jc w:val="left"/>
            </w:pPr>
            <w:r>
              <w:rPr>
                <w:sz w:val="17"/>
              </w:rPr>
              <w:t xml:space="preserve">waterfall export</w:t>
            </w:r>
          </w:p>
        </w:tc>
      </w:tr>
      <w:tr>
        <w:tc>
          <w:tcPr/>
          <w:p>
            <w:pPr>
              <w:pStyle w:val="Compact"/>
              <w:jc w:val="left"/>
            </w:pPr>
            <w:r>
              <w:rPr>
                <w:rStyle w:val="VerbatimChar"/>
                <w:sz w:val="17"/>
              </w:rPr>
              <w:t xml:space="preserve">charts.py</w:t>
            </w:r>
          </w:p>
        </w:tc>
        <w:tc>
          <w:tcPr/>
          <w:p>
            <w:pPr>
              <w:pStyle w:val="Compact"/>
              <w:jc w:val="left"/>
            </w:pPr>
            <w:r>
              <w:rPr>
                <w:sz w:val="17"/>
              </w:rPr>
              <w:t xml:space="preserve">all figures (matplotlib, plain style)</w:t>
            </w:r>
          </w:p>
        </w:tc>
      </w:tr>
      <w:tr>
        <w:tc>
          <w:tcPr/>
          <w:p>
            <w:pPr>
              <w:pStyle w:val="Compact"/>
              <w:jc w:val="left"/>
            </w:pPr>
            <w:r>
              <w:rPr>
                <w:rStyle w:val="VerbatimChar"/>
                <w:sz w:val="17"/>
              </w:rPr>
              <w:t xml:space="preserve">reconcile_excel.py</w:t>
            </w:r>
          </w:p>
        </w:tc>
        <w:tc>
          <w:tcPr/>
          <w:p>
            <w:pPr>
              <w:pStyle w:val="Compact"/>
              <w:jc w:val="left"/>
            </w:pPr>
            <w:r>
              <w:rPr>
                <w:sz w:val="17"/>
              </w:rPr>
              <w:t xml:space="preserve">Excel reference values and LibreOffice reconciliation</w:t>
            </w:r>
          </w:p>
        </w:tc>
      </w:tr>
      <w:tr>
        <w:tc>
          <w:tcPr/>
          <w:p>
            <w:pPr>
              <w:pStyle w:val="Compact"/>
              <w:jc w:val="left"/>
            </w:pPr>
            <w:r>
              <w:rPr>
                <w:rStyle w:val="VerbatimChar"/>
                <w:sz w:val="17"/>
              </w:rPr>
              <w:t xml:space="preserve">cli.py</w:t>
            </w:r>
          </w:p>
        </w:tc>
        <w:tc>
          <w:tcPr/>
          <w:p>
            <w:pPr>
              <w:pStyle w:val="Compact"/>
              <w:jc w:val="left"/>
            </w:pPr>
            <w:r>
              <w:rPr>
                <w:sz w:val="17"/>
              </w:rPr>
              <w:t xml:space="preserve">end-to-end pipeline</w:t>
            </w:r>
          </w:p>
        </w:tc>
      </w:tr>
    </w:tbl>
    <w:bookmarkEnd w:id="138"/>
    <w:bookmarkStart w:id="139" w:name="commands"/>
    <w:p>
      <w:pPr>
        <w:pStyle w:val="Heading2"/>
      </w:pPr>
      <w:r>
        <w:rPr>
          <w:rStyle w:val="SectionNumber"/>
        </w:rPr>
        <w:t xml:space="preserve">13.2</w:t>
      </w:r>
      <w:r>
        <w:tab/>
      </w:r>
      <w:r>
        <w:t xml:space="preserve">Commands</w:t>
      </w:r>
    </w:p>
    <w:p>
      <w:pPr>
        <w:pStyle w:val="SourceCode"/>
      </w:pPr>
      <w:r>
        <w:rPr>
          <w:rStyle w:val="VerbatimChar"/>
        </w:rPr>
        <w:t xml:space="preserve">cd python</w:t>
      </w:r>
      <w:r>
        <w:br/>
      </w:r>
      <w:r>
        <w:rPr>
          <w:rStyle w:val="VerbatimChar"/>
        </w:rPr>
        <w:t xml:space="preserve">py -3 -m pip install -r requirements.txt</w:t>
      </w:r>
      <w:r>
        <w:br/>
      </w:r>
      <w:r>
        <w:rPr>
          <w:rStyle w:val="VerbatimChar"/>
        </w:rPr>
        <w:t xml:space="preserve">py -3 -m mortgage_risk.cli            # full run: 60,000 loans, tuning, all outputs</w:t>
      </w:r>
      <w:r>
        <w:br/>
      </w:r>
      <w:r>
        <w:rPr>
          <w:rStyle w:val="VerbatimChar"/>
        </w:rPr>
        <w:t xml:space="preserve">py -3 -m mortgage_risk.cli --quick    # 4,000 loans, light tuning, for smoke runs</w:t>
      </w:r>
      <w:r>
        <w:br/>
      </w:r>
      <w:r>
        <w:rPr>
          <w:rStyle w:val="VerbatimChar"/>
        </w:rPr>
        <w:t xml:space="preserve">py -3 -m pytest -q                    # unit and integration tests</w:t>
      </w:r>
      <w:r>
        <w:br/>
      </w:r>
      <w:r>
        <w:rPr>
          <w:rStyle w:val="VerbatimChar"/>
        </w:rPr>
        <w:t xml:space="preserve">py -3 ../docs/build_docs.py           # rebuild this document and the README</w:t>
      </w:r>
    </w:p>
    <w:p>
      <w:pPr>
        <w:pStyle w:val="FirstParagraph"/>
      </w:pPr>
      <w:r>
        <w:t xml:space="preserve">Option:</w:t>
      </w:r>
      <w:r>
        <w:t xml:space="preserve"> </w:t>
      </w:r>
      <w:r>
        <w:rPr>
          <w:rStyle w:val="VerbatimChar"/>
        </w:rPr>
        <w:t xml:space="preserve">--skip-excel</w:t>
      </w:r>
      <w:r>
        <w:t xml:space="preserve"> </w:t>
      </w:r>
      <w:r>
        <w:t xml:space="preserve">skips workbook building and the LibreOffice reconciliation (which needs LibreOffice installed). The pipeline order is data, features, targets, training, evaluation, SHAP, scenarios, in-the-money scenarios, charts, Excel. The saved models are in</w:t>
      </w:r>
      <w:r>
        <w:t xml:space="preserve"> </w:t>
      </w:r>
      <w:r>
        <w:rPr>
          <w:rStyle w:val="VerbatimChar"/>
        </w:rPr>
        <w:t xml:space="preserve">outputs/models/*.joblib</w:t>
      </w:r>
      <w:r>
        <w:t xml:space="preserve"> </w:t>
      </w:r>
      <w:r>
        <w:t xml:space="preserve">and can be reloaded with</w:t>
      </w:r>
      <w:r>
        <w:t xml:space="preserve"> </w:t>
      </w:r>
      <w:r>
        <w:rPr>
          <w:rStyle w:val="VerbatimChar"/>
        </w:rPr>
        <w:t xml:space="preserve">ModelBundle.load</w:t>
      </w:r>
      <w:r>
        <w:t xml:space="preserve">.</w:t>
      </w:r>
    </w:p>
    <w:p>
      <w:pPr>
        <w:pStyle w:val="BodyText"/>
      </w:pPr>
      <w:r>
        <w:rPr>
          <w:rStyle w:val="VerbatimChar"/>
        </w:rPr>
        <w:t xml:space="preserve">docs/build_docs.py</w:t>
      </w:r>
      <w:r>
        <w:t xml:space="preserve"> </w:t>
      </w:r>
      <w:r>
        <w:t xml:space="preserve">is fully re-runnable: it reads the CSV and JSON outputs, recomputes a few panel statistics from the cached parquet (and caches them in</w:t>
      </w:r>
      <w:r>
        <w:t xml:space="preserve"> </w:t>
      </w:r>
      <w:r>
        <w:rPr>
          <w:rStyle w:val="VerbatimChar"/>
        </w:rPr>
        <w:t xml:space="preserve">docs/_facts_cache.json</w:t>
      </w:r>
      <w:r>
        <w:t xml:space="preserve">), writes the Markdown, converts it to Word with pandoc through</w:t>
      </w:r>
      <w:r>
        <w:t xml:space="preserve"> </w:t>
      </w:r>
      <w:r>
        <w:rPr>
          <w:rStyle w:val="VerbatimChar"/>
        </w:rPr>
        <w:t xml:space="preserve">pypandoc</w:t>
      </w:r>
      <w:r>
        <w:t xml:space="preserve"> </w:t>
      </w:r>
      <w:r>
        <w:t xml:space="preserve">using</w:t>
      </w:r>
      <w:r>
        <w:t xml:space="preserve"> </w:t>
      </w:r>
      <w:r>
        <w:rPr>
          <w:rStyle w:val="VerbatimChar"/>
        </w:rPr>
        <w:t xml:space="preserve">docs/reference.docx</w:t>
      </w:r>
      <w:r>
        <w:t xml:space="preserve"> </w:t>
      </w:r>
      <w:r>
        <w:t xml:space="preserve">(headings in size and weight only, with no colour), sets the author properties and verifies the round trip.</w:t>
      </w:r>
    </w:p>
    <w:bookmarkEnd w:id="139"/>
    <w:bookmarkStart w:id="140" w:name="using-real-freddie-mac-data"/>
    <w:p>
      <w:pPr>
        <w:pStyle w:val="Heading2"/>
      </w:pPr>
      <w:r>
        <w:rPr>
          <w:rStyle w:val="SectionNumber"/>
        </w:rPr>
        <w:t xml:space="preserve">13.3</w:t>
      </w:r>
      <w:r>
        <w:tab/>
      </w:r>
      <w:r>
        <w:t xml:space="preserve">Using real Freddie Mac data</w:t>
      </w:r>
    </w:p>
    <w:p>
      <w:pPr>
        <w:pStyle w:val="Compact"/>
        <w:numPr>
          <w:ilvl w:val="0"/>
          <w:numId w:val="1008"/>
        </w:numPr>
      </w:pPr>
      <w:r>
        <w:t xml:space="preserve">Obtain the Single Family Loan-Level Dataset from Freddie Mac under its terms of use. It is not redistributed here.</w:t>
      </w:r>
    </w:p>
    <w:p>
      <w:pPr>
        <w:pStyle w:val="Compact"/>
        <w:numPr>
          <w:ilvl w:val="0"/>
          <w:numId w:val="1008"/>
        </w:numPr>
      </w:pPr>
      <w:r>
        <w:t xml:space="preserve">Place the pipe-delimited origination and monthly performance files directly under</w:t>
      </w:r>
      <w:r>
        <w:t xml:space="preserve"> </w:t>
      </w:r>
      <w:r>
        <w:rPr>
          <w:rStyle w:val="VerbatimChar"/>
        </w:rPr>
        <w:t xml:space="preserve">data/raw/</w:t>
      </w:r>
      <w:r>
        <w:t xml:space="preserve"> </w:t>
      </w:r>
      <w:r>
        <w:t xml:space="preserve">with Freddie's native names (</w:t>
      </w:r>
      <w:r>
        <w:rPr>
          <w:rStyle w:val="VerbatimChar"/>
        </w:rPr>
        <w:t xml:space="preserve">historical_data_YYYYQn.txt</w:t>
      </w:r>
      <w:r>
        <w:t xml:space="preserve"> </w:t>
      </w:r>
      <w:r>
        <w:t xml:space="preserve">and</w:t>
      </w:r>
      <w:r>
        <w:t xml:space="preserve"> </w:t>
      </w:r>
      <w:r>
        <w:rPr>
          <w:rStyle w:val="VerbatimChar"/>
        </w:rPr>
        <w:t xml:space="preserve">historical_data_time_YYYYQn.txt</w:t>
      </w:r>
      <w:r>
        <w:t xml:space="preserve">), which match the two glob constants at the top of</w:t>
      </w:r>
      <w:r>
        <w:t xml:space="preserve"> </w:t>
      </w:r>
      <w:r>
        <w:rPr>
          <w:rStyle w:val="VerbatimChar"/>
        </w:rPr>
        <w:t xml:space="preserve">data.py</w:t>
      </w:r>
      <w:r>
        <w:t xml:space="preserve">.</w:t>
      </w:r>
    </w:p>
    <w:p>
      <w:pPr>
        <w:pStyle w:val="Compact"/>
        <w:numPr>
          <w:ilvl w:val="0"/>
          <w:numId w:val="1008"/>
        </w:numPr>
      </w:pPr>
      <w:r>
        <w:t xml:space="preserve">Optionally supply macro series as CSV files in</w:t>
      </w:r>
      <w:r>
        <w:t xml:space="preserve"> </w:t>
      </w:r>
      <w:r>
        <w:rPr>
          <w:rStyle w:val="VerbatimChar"/>
        </w:rPr>
        <w:t xml:space="preserve">data/raw/macro/</w:t>
      </w:r>
      <w:r>
        <w:t xml:space="preserve"> </w:t>
      </w:r>
      <w:r>
        <w:t xml:space="preserve">with columns</w:t>
      </w:r>
      <w:r>
        <w:t xml:space="preserve"> </w:t>
      </w:r>
      <w:r>
        <w:rPr>
          <w:rStyle w:val="VerbatimChar"/>
        </w:rPr>
        <w:t xml:space="preserve">period</w:t>
      </w:r>
      <w:r>
        <w:t xml:space="preserve">,</w:t>
      </w:r>
      <w:r>
        <w:t xml:space="preserve"> </w:t>
      </w:r>
      <w:r>
        <w:rPr>
          <w:rStyle w:val="VerbatimChar"/>
        </w:rPr>
        <w:t xml:space="preserve">state</w:t>
      </w:r>
      <w:r>
        <w:t xml:space="preserve">,</w:t>
      </w:r>
      <w:r>
        <w:t xml:space="preserve"> </w:t>
      </w:r>
      <w:r>
        <w:rPr>
          <w:rStyle w:val="VerbatimChar"/>
        </w:rPr>
        <w:t xml:space="preserve">mkt_rate</w:t>
      </w:r>
      <w:r>
        <w:t xml:space="preserve">,</w:t>
      </w:r>
      <w:r>
        <w:t xml:space="preserve"> </w:t>
      </w:r>
      <w:r>
        <w:rPr>
          <w:rStyle w:val="VerbatimChar"/>
        </w:rPr>
        <w:t xml:space="preserve">hpi</w:t>
      </w:r>
      <w:r>
        <w:t xml:space="preserve">,</w:t>
      </w:r>
      <w:r>
        <w:t xml:space="preserve"> </w:t>
      </w:r>
      <w:r>
        <w:rPr>
          <w:rStyle w:val="VerbatimChar"/>
        </w:rPr>
        <w:t xml:space="preserve">unemp</w:t>
      </w:r>
      <w:r>
        <w:t xml:space="preserve">. Without them the loader logs a warning and uses the synthetic macro, which is wrong for real loans.</w:t>
      </w:r>
    </w:p>
    <w:p>
      <w:pPr>
        <w:pStyle w:val="Compact"/>
        <w:numPr>
          <w:ilvl w:val="0"/>
          <w:numId w:val="1008"/>
        </w:numPr>
      </w:pPr>
      <w:r>
        <w:t xml:space="preserve">Run the CLI.</w:t>
      </w:r>
      <w:r>
        <w:t xml:space="preserve"> </w:t>
      </w:r>
      <w:r>
        <w:rPr>
          <w:rStyle w:val="VerbatimChar"/>
        </w:rPr>
        <w:t xml:space="preserve">data.get_panel</w:t>
      </w:r>
      <w:r>
        <w:t xml:space="preserve"> </w:t>
      </w:r>
      <w:r>
        <w:t xml:space="preserve">selects real data automatically when both globs match, and everything downstream runs unchanged.</w:t>
      </w:r>
    </w:p>
    <w:p>
      <w:pPr>
        <w:pStyle w:val="Compact"/>
        <w:numPr>
          <w:ilvl w:val="0"/>
          <w:numId w:val="1008"/>
        </w:numPr>
      </w:pPr>
      <w:r>
        <w:t xml:space="preserve">Ignore the model-versus-truth outputs on real data: the truth projection evaluates the simulator's own formulas and is meaningless for real loans. Interpret the "DGP alignment" file the same way.</w:t>
      </w:r>
    </w:p>
    <w:p>
      <w:pPr>
        <w:pStyle w:val="FirstParagraph"/>
      </w:pPr>
      <w:r>
        <w:t xml:space="preserve">The Freddie path has been exercised only on a small fixture in the unit tests (</w:t>
      </w:r>
      <w:r>
        <w:rPr>
          <w:rStyle w:val="VerbatimChar"/>
        </w:rPr>
        <w:t xml:space="preserve">python/tests/fixtures</w:t>
      </w:r>
      <w:r>
        <w:t xml:space="preserve">).</w:t>
      </w:r>
    </w:p>
    <w:bookmarkEnd w:id="140"/>
    <w:bookmarkEnd w:id="141"/>
    <w:bookmarkStart w:id="142" w:name="glossary"/>
    <w:p>
      <w:pPr>
        <w:pStyle w:val="Heading1"/>
      </w:pPr>
      <w:r>
        <w:rPr>
          <w:rStyle w:val="SectionNumber"/>
        </w:rPr>
        <w:t xml:space="preserve">14</w:t>
      </w:r>
      <w:r>
        <w:tab/>
      </w:r>
      <w:r>
        <w:t xml:space="preserve">Glossary</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jc w:val="left"/>
            </w:pPr>
            <w:r>
              <w:rPr>
                <w:sz w:val="17"/>
              </w:rPr>
              <w:t xml:space="preserve">Term</w:t>
            </w:r>
          </w:p>
        </w:tc>
        <w:tc>
          <w:tcPr/>
          <w:p>
            <w:pPr>
              <w:pStyle w:val="Compact"/>
              <w:jc w:val="left"/>
            </w:pPr>
            <w:r>
              <w:rPr>
                <w:sz w:val="17"/>
              </w:rPr>
              <w:t xml:space="preserve">Meaning</w:t>
            </w:r>
          </w:p>
        </w:tc>
      </w:tr>
      <w:tr>
        <w:tc>
          <w:tcPr/>
          <w:p>
            <w:pPr>
              <w:pStyle w:val="Compact"/>
              <w:jc w:val="left"/>
            </w:pPr>
            <w:r>
              <w:rPr>
                <w:sz w:val="17"/>
              </w:rPr>
              <w:t xml:space="preserve">AUC</w:t>
            </w:r>
          </w:p>
        </w:tc>
        <w:tc>
          <w:tcPr/>
          <w:p>
            <w:pPr>
              <w:pStyle w:val="Compact"/>
              <w:jc w:val="left"/>
            </w:pPr>
            <w:r>
              <w:rPr>
                <w:sz w:val="17"/>
              </w:rPr>
              <w:t xml:space="preserve">area under the ROC curve; probability a random default is scored above a random non-default</w:t>
            </w:r>
          </w:p>
        </w:tc>
      </w:tr>
      <w:tr>
        <w:tc>
          <w:tcPr/>
          <w:p>
            <w:pPr>
              <w:pStyle w:val="Compact"/>
              <w:jc w:val="left"/>
            </w:pPr>
            <w:r>
              <w:rPr>
                <w:sz w:val="17"/>
              </w:rPr>
              <w:t xml:space="preserve">Brier score</w:t>
            </w:r>
          </w:p>
        </w:tc>
        <w:tc>
          <w:tcPr/>
          <w:p>
            <w:pPr>
              <w:pStyle w:val="Compact"/>
              <w:jc w:val="left"/>
            </w:pPr>
            <w:r>
              <w:rPr>
                <w:sz w:val="17"/>
              </w:rPr>
              <w:t xml:space="preserve">mean squared error of predicted probabilities</w:t>
            </w:r>
          </w:p>
        </w:tc>
      </w:tr>
      <w:tr>
        <w:tc>
          <w:tcPr/>
          <w:p>
            <w:pPr>
              <w:pStyle w:val="Compact"/>
              <w:jc w:val="left"/>
            </w:pPr>
            <w:r>
              <w:rPr>
                <w:sz w:val="17"/>
              </w:rPr>
              <w:t xml:space="preserve">Burnout</w:t>
            </w:r>
          </w:p>
        </w:tc>
        <w:tc>
          <w:tcPr/>
          <w:p>
            <w:pPr>
              <w:pStyle w:val="Compact"/>
              <w:jc w:val="left"/>
            </w:pPr>
            <w:r>
              <w:rPr>
                <w:sz w:val="17"/>
              </w:rPr>
              <w:t xml:space="preserve">reduced prepayment responsiveness of a pool after its most rate-sensitive borrowers have already refinanced</w:t>
            </w:r>
          </w:p>
        </w:tc>
      </w:tr>
      <w:tr>
        <w:tc>
          <w:tcPr/>
          <w:p>
            <w:pPr>
              <w:pStyle w:val="Compact"/>
              <w:jc w:val="left"/>
            </w:pPr>
            <w:r>
              <w:rPr>
                <w:sz w:val="17"/>
              </w:rPr>
              <w:t xml:space="preserve">CDR</w:t>
            </w:r>
          </w:p>
        </w:tc>
        <w:tc>
          <w:tcPr/>
          <w:p>
            <w:pPr>
              <w:pStyle w:val="Compact"/>
              <w:jc w:val="left"/>
            </w:pPr>
            <w:r>
              <w:rPr>
                <w:sz w:val="17"/>
              </w:rPr>
              <w:t xml:space="preserve">conditional default rate, annualized default rate on the surviving balance</w:t>
            </w:r>
          </w:p>
        </w:tc>
      </w:tr>
      <w:tr>
        <w:tc>
          <w:tcPr/>
          <w:p>
            <w:pPr>
              <w:pStyle w:val="Compact"/>
              <w:jc w:val="left"/>
            </w:pPr>
            <w:r>
              <w:rPr>
                <w:sz w:val="17"/>
              </w:rPr>
              <w:t xml:space="preserve">Competing risks</w:t>
            </w:r>
          </w:p>
        </w:tc>
        <w:tc>
          <w:tcPr/>
          <w:p>
            <w:pPr>
              <w:pStyle w:val="Compact"/>
              <w:jc w:val="left"/>
            </w:pPr>
            <w:r>
              <w:rPr>
                <w:sz w:val="17"/>
              </w:rPr>
              <w:t xml:space="preserve">outcomes that exclude one another, here prepay and default</w:t>
            </w:r>
          </w:p>
        </w:tc>
      </w:tr>
      <w:tr>
        <w:tc>
          <w:tcPr/>
          <w:p>
            <w:pPr>
              <w:pStyle w:val="Compact"/>
              <w:jc w:val="left"/>
            </w:pPr>
            <w:r>
              <w:rPr>
                <w:sz w:val="17"/>
              </w:rPr>
              <w:t xml:space="preserve">CPR</w:t>
            </w:r>
          </w:p>
        </w:tc>
        <w:tc>
          <w:tcPr/>
          <w:p>
            <w:pPr>
              <w:pStyle w:val="Compact"/>
              <w:jc w:val="left"/>
            </w:pPr>
            <w:r>
              <w:rPr>
                <w:sz w:val="17"/>
              </w:rPr>
              <w:t xml:space="preserve">conditional prepayment rate, annualized</w:t>
            </w:r>
          </w:p>
        </w:tc>
      </w:tr>
      <w:tr>
        <w:tc>
          <w:tcPr/>
          <w:p>
            <w:pPr>
              <w:pStyle w:val="Compact"/>
              <w:jc w:val="left"/>
            </w:pPr>
            <w:r>
              <w:rPr>
                <w:sz w:val="17"/>
              </w:rPr>
              <w:t xml:space="preserve">CSI</w:t>
            </w:r>
          </w:p>
        </w:tc>
        <w:tc>
          <w:tcPr/>
          <w:p>
            <w:pPr>
              <w:pStyle w:val="Compact"/>
              <w:jc w:val="left"/>
            </w:pPr>
            <w:r>
              <w:rPr>
                <w:sz w:val="17"/>
              </w:rPr>
              <w:t xml:space="preserve">characteristic stability index; PSI applied to one input feature</w:t>
            </w:r>
          </w:p>
        </w:tc>
      </w:tr>
      <w:tr>
        <w:tc>
          <w:tcPr/>
          <w:p>
            <w:pPr>
              <w:pStyle w:val="Compact"/>
              <w:jc w:val="left"/>
            </w:pPr>
            <w:r>
              <w:rPr>
                <w:sz w:val="17"/>
              </w:rPr>
              <w:t xml:space="preserve">DGP</w:t>
            </w:r>
          </w:p>
        </w:tc>
        <w:tc>
          <w:tcPr/>
          <w:p>
            <w:pPr>
              <w:pStyle w:val="Compact"/>
              <w:jc w:val="left"/>
            </w:pPr>
            <w:r>
              <w:rPr>
                <w:sz w:val="17"/>
              </w:rPr>
              <w:t xml:space="preserve">data generating process; the formulas that created the synthetic data</w:t>
            </w:r>
          </w:p>
        </w:tc>
      </w:tr>
      <w:tr>
        <w:tc>
          <w:tcPr/>
          <w:p>
            <w:pPr>
              <w:pStyle w:val="Compact"/>
              <w:jc w:val="left"/>
            </w:pPr>
            <w:r>
              <w:rPr>
                <w:sz w:val="17"/>
              </w:rPr>
              <w:t xml:space="preserve">DPD</w:t>
            </w:r>
          </w:p>
        </w:tc>
        <w:tc>
          <w:tcPr/>
          <w:p>
            <w:pPr>
              <w:pStyle w:val="Compact"/>
              <w:jc w:val="left"/>
            </w:pPr>
            <w:r>
              <w:rPr>
                <w:sz w:val="17"/>
              </w:rPr>
              <w:t xml:space="preserve">days past due</w:t>
            </w:r>
          </w:p>
        </w:tc>
      </w:tr>
      <w:tr>
        <w:tc>
          <w:tcPr/>
          <w:p>
            <w:pPr>
              <w:pStyle w:val="Compact"/>
              <w:jc w:val="left"/>
            </w:pPr>
            <w:r>
              <w:rPr>
                <w:sz w:val="17"/>
              </w:rPr>
              <w:t xml:space="preserve">DTI</w:t>
            </w:r>
          </w:p>
        </w:tc>
        <w:tc>
          <w:tcPr/>
          <w:p>
            <w:pPr>
              <w:pStyle w:val="Compact"/>
              <w:jc w:val="left"/>
            </w:pPr>
            <w:r>
              <w:rPr>
                <w:sz w:val="17"/>
              </w:rPr>
              <w:t xml:space="preserve">debt-to-income ratio</w:t>
            </w:r>
          </w:p>
        </w:tc>
      </w:tr>
      <w:tr>
        <w:tc>
          <w:tcPr/>
          <w:p>
            <w:pPr>
              <w:pStyle w:val="Compact"/>
              <w:jc w:val="left"/>
            </w:pPr>
            <w:r>
              <w:rPr>
                <w:sz w:val="17"/>
              </w:rPr>
              <w:t xml:space="preserve">Gini</w:t>
            </w:r>
          </w:p>
        </w:tc>
        <w:tc>
          <w:tcPr/>
          <w:p>
            <w:pPr>
              <w:pStyle w:val="Compact"/>
              <w:jc w:val="left"/>
            </w:pPr>
            <m:oMath>
              <m:r>
                <m:t>2</m:t>
              </m:r>
              <m:r>
                <m:t> </m:t>
              </m:r>
              <m:r>
                <m:rPr>
                  <m:nor/>
                  <m:sty m:val="p"/>
                </m:rPr>
                <m:t>AUC</m:t>
              </m:r>
              <m:r>
                <m:rPr>
                  <m:sty m:val="p"/>
                </m:rPr>
                <m:t>−</m:t>
              </m:r>
              <m:r>
                <m:t>1</m:t>
              </m:r>
            </m:oMath>
          </w:p>
        </w:tc>
      </w:tr>
      <w:tr>
        <w:tc>
          <w:tcPr/>
          <w:p>
            <w:pPr>
              <w:pStyle w:val="Compact"/>
              <w:jc w:val="left"/>
            </w:pPr>
            <w:r>
              <w:rPr>
                <w:sz w:val="17"/>
              </w:rPr>
              <w:t xml:space="preserve">Hosmer-Lemeshow</w:t>
            </w:r>
          </w:p>
        </w:tc>
        <w:tc>
          <w:tcPr/>
          <w:p>
            <w:pPr>
              <w:pStyle w:val="Compact"/>
              <w:jc w:val="left"/>
            </w:pPr>
            <w:r>
              <w:rPr>
                <w:sz w:val="17"/>
              </w:rPr>
              <w:t xml:space="preserve">chi-square test comparing expected and observed events across bins</w:t>
            </w:r>
          </w:p>
        </w:tc>
      </w:tr>
      <w:tr>
        <w:tc>
          <w:tcPr/>
          <w:p>
            <w:pPr>
              <w:pStyle w:val="Compact"/>
              <w:jc w:val="left"/>
            </w:pPr>
            <w:r>
              <w:rPr>
                <w:sz w:val="17"/>
              </w:rPr>
              <w:t xml:space="preserve">Incentive</w:t>
            </w:r>
          </w:p>
        </w:tc>
        <w:tc>
          <w:tcPr/>
          <w:p>
            <w:pPr>
              <w:pStyle w:val="Compact"/>
              <w:jc w:val="left"/>
            </w:pPr>
            <w:r>
              <w:rPr>
                <w:sz w:val="17"/>
              </w:rPr>
              <w:t xml:space="preserve">note rate minus market mortgage rate</w:t>
            </w:r>
          </w:p>
        </w:tc>
      </w:tr>
      <w:tr>
        <w:tc>
          <w:tcPr/>
          <w:p>
            <w:pPr>
              <w:pStyle w:val="Compact"/>
              <w:jc w:val="left"/>
            </w:pPr>
            <w:r>
              <w:rPr>
                <w:sz w:val="17"/>
              </w:rPr>
              <w:t xml:space="preserve">IV</w:t>
            </w:r>
          </w:p>
        </w:tc>
        <w:tc>
          <w:tcPr/>
          <w:p>
            <w:pPr>
              <w:pStyle w:val="Compact"/>
              <w:jc w:val="left"/>
            </w:pPr>
            <w:r>
              <w:rPr>
                <w:sz w:val="17"/>
              </w:rPr>
              <w:t xml:space="preserve">information value of a binned variable</w:t>
            </w:r>
          </w:p>
        </w:tc>
      </w:tr>
      <w:tr>
        <w:tc>
          <w:tcPr/>
          <w:p>
            <w:pPr>
              <w:pStyle w:val="Compact"/>
              <w:jc w:val="left"/>
            </w:pPr>
            <w:r>
              <w:rPr>
                <w:sz w:val="17"/>
              </w:rPr>
              <w:t xml:space="preserve">KS</w:t>
            </w:r>
          </w:p>
        </w:tc>
        <w:tc>
          <w:tcPr/>
          <w:p>
            <w:pPr>
              <w:pStyle w:val="Compact"/>
              <w:jc w:val="left"/>
            </w:pPr>
            <w:r>
              <w:rPr>
                <w:sz w:val="17"/>
              </w:rPr>
              <w:t xml:space="preserve">Kolmogorov-Smirnov statistic; maximum gap between cumulative score distributions of bad and good</w:t>
            </w:r>
          </w:p>
        </w:tc>
      </w:tr>
      <w:tr>
        <w:tc>
          <w:tcPr/>
          <w:p>
            <w:pPr>
              <w:pStyle w:val="Compact"/>
              <w:jc w:val="left"/>
            </w:pPr>
            <w:r>
              <w:rPr>
                <w:sz w:val="17"/>
              </w:rPr>
              <w:t xml:space="preserve">LGD</w:t>
            </w:r>
          </w:p>
        </w:tc>
        <w:tc>
          <w:tcPr/>
          <w:p>
            <w:pPr>
              <w:pStyle w:val="Compact"/>
              <w:jc w:val="left"/>
            </w:pPr>
            <w:r>
              <w:rPr>
                <w:sz w:val="17"/>
              </w:rPr>
              <w:t xml:space="preserve">loss given default</w:t>
            </w:r>
          </w:p>
        </w:tc>
      </w:tr>
      <w:tr>
        <w:tc>
          <w:tcPr/>
          <w:p>
            <w:pPr>
              <w:pStyle w:val="Compact"/>
              <w:jc w:val="left"/>
            </w:pPr>
            <w:r>
              <w:rPr>
                <w:sz w:val="17"/>
              </w:rPr>
              <w:t xml:space="preserve">LTV</w:t>
            </w:r>
          </w:p>
        </w:tc>
        <w:tc>
          <w:tcPr/>
          <w:p>
            <w:pPr>
              <w:pStyle w:val="Compact"/>
              <w:jc w:val="left"/>
            </w:pPr>
            <w:r>
              <w:rPr>
                <w:sz w:val="17"/>
              </w:rPr>
              <w:t xml:space="preserve">loan-to-value ratio</w:t>
            </w:r>
          </w:p>
        </w:tc>
      </w:tr>
      <w:tr>
        <w:tc>
          <w:tcPr/>
          <w:p>
            <w:pPr>
              <w:pStyle w:val="Compact"/>
              <w:jc w:val="left"/>
            </w:pPr>
            <w:r>
              <w:rPr>
                <w:sz w:val="17"/>
              </w:rPr>
              <w:t xml:space="preserve">MDR</w:t>
            </w:r>
          </w:p>
        </w:tc>
        <w:tc>
          <w:tcPr/>
          <w:p>
            <w:pPr>
              <w:pStyle w:val="Compact"/>
              <w:jc w:val="left"/>
            </w:pPr>
            <w:r>
              <w:rPr>
                <w:sz w:val="17"/>
              </w:rPr>
              <w:t xml:space="preserve">monthly default rate</w:t>
            </w:r>
          </w:p>
        </w:tc>
      </w:tr>
      <w:tr>
        <w:tc>
          <w:tcPr/>
          <w:p>
            <w:pPr>
              <w:pStyle w:val="Compact"/>
              <w:jc w:val="left"/>
            </w:pPr>
            <w:r>
              <w:rPr>
                <w:sz w:val="17"/>
              </w:rPr>
              <w:t xml:space="preserve">Moneyness</w:t>
            </w:r>
          </w:p>
        </w:tc>
        <w:tc>
          <w:tcPr/>
          <w:p>
            <w:pPr>
              <w:pStyle w:val="Compact"/>
              <w:jc w:val="left"/>
            </w:pPr>
            <w:r>
              <w:rPr>
                <w:sz w:val="17"/>
              </w:rPr>
              <w:t xml:space="preserve">whether a borrower would save money by refinancing (in the money) or not (out of the money)</w:t>
            </w:r>
          </w:p>
        </w:tc>
      </w:tr>
      <w:tr>
        <w:tc>
          <w:tcPr/>
          <w:p>
            <w:pPr>
              <w:pStyle w:val="Compact"/>
              <w:jc w:val="left"/>
            </w:pPr>
            <w:r>
              <w:rPr>
                <w:sz w:val="17"/>
              </w:rPr>
              <w:t xml:space="preserve">Monotone constraint</w:t>
            </w:r>
          </w:p>
        </w:tc>
        <w:tc>
          <w:tcPr/>
          <w:p>
            <w:pPr>
              <w:pStyle w:val="Compact"/>
              <w:jc w:val="left"/>
            </w:pPr>
            <w:r>
              <w:rPr>
                <w:sz w:val="17"/>
              </w:rPr>
              <w:t xml:space="preserve">restriction that a model's output moves in one direction with a feature</w:t>
            </w:r>
          </w:p>
        </w:tc>
      </w:tr>
      <w:tr>
        <w:tc>
          <w:tcPr/>
          <w:p>
            <w:pPr>
              <w:pStyle w:val="Compact"/>
              <w:jc w:val="left"/>
            </w:pPr>
            <w:r>
              <w:rPr>
                <w:sz w:val="17"/>
              </w:rPr>
              <w:t xml:space="preserve">MTM LTV</w:t>
            </w:r>
          </w:p>
        </w:tc>
        <w:tc>
          <w:tcPr/>
          <w:p>
            <w:pPr>
              <w:pStyle w:val="Compact"/>
              <w:jc w:val="left"/>
            </w:pPr>
            <w:r>
              <w:rPr>
                <w:sz w:val="17"/>
              </w:rPr>
              <w:t xml:space="preserve">mark-to-market LTV, current balance over index-adjusted house value</w:t>
            </w:r>
          </w:p>
        </w:tc>
      </w:tr>
      <w:tr>
        <w:tc>
          <w:tcPr/>
          <w:p>
            <w:pPr>
              <w:pStyle w:val="Compact"/>
              <w:jc w:val="left"/>
            </w:pPr>
            <w:r>
              <w:rPr>
                <w:sz w:val="17"/>
              </w:rPr>
              <w:t xml:space="preserve">OOT</w:t>
            </w:r>
          </w:p>
        </w:tc>
        <w:tc>
          <w:tcPr/>
          <w:p>
            <w:pPr>
              <w:pStyle w:val="Compact"/>
              <w:jc w:val="left"/>
            </w:pPr>
            <w:r>
              <w:rPr>
                <w:sz w:val="17"/>
              </w:rPr>
              <w:t xml:space="preserve">out-of-time; data after the development period</w:t>
            </w:r>
          </w:p>
        </w:tc>
      </w:tr>
      <w:tr>
        <w:tc>
          <w:tcPr/>
          <w:p>
            <w:pPr>
              <w:pStyle w:val="Compact"/>
              <w:jc w:val="left"/>
            </w:pPr>
            <w:r>
              <w:rPr>
                <w:sz w:val="17"/>
              </w:rPr>
              <w:t xml:space="preserve">PDO</w:t>
            </w:r>
          </w:p>
        </w:tc>
        <w:tc>
          <w:tcPr/>
          <w:p>
            <w:pPr>
              <w:pStyle w:val="Compact"/>
              <w:jc w:val="left"/>
            </w:pPr>
            <w:r>
              <w:rPr>
                <w:sz w:val="17"/>
              </w:rPr>
              <w:t xml:space="preserve">points to double the odds in a scorecard</w:t>
            </w:r>
          </w:p>
        </w:tc>
      </w:tr>
      <w:tr>
        <w:tc>
          <w:tcPr/>
          <w:p>
            <w:pPr>
              <w:pStyle w:val="Compact"/>
              <w:jc w:val="left"/>
            </w:pPr>
            <w:r>
              <w:rPr>
                <w:sz w:val="17"/>
              </w:rPr>
              <w:t xml:space="preserve">PSI</w:t>
            </w:r>
          </w:p>
        </w:tc>
        <w:tc>
          <w:tcPr/>
          <w:p>
            <w:pPr>
              <w:pStyle w:val="Compact"/>
              <w:jc w:val="left"/>
            </w:pPr>
            <w:r>
              <w:rPr>
                <w:sz w:val="17"/>
              </w:rPr>
              <w:t xml:space="preserve">population stability index</w:t>
            </w:r>
          </w:p>
        </w:tc>
      </w:tr>
      <w:tr>
        <w:tc>
          <w:tcPr/>
          <w:p>
            <w:pPr>
              <w:pStyle w:val="Compact"/>
              <w:jc w:val="left"/>
            </w:pPr>
            <w:r>
              <w:rPr>
                <w:sz w:val="17"/>
              </w:rPr>
              <w:t xml:space="preserve">Platt scaling</w:t>
            </w:r>
          </w:p>
        </w:tc>
        <w:tc>
          <w:tcPr/>
          <w:p>
            <w:pPr>
              <w:pStyle w:val="Compact"/>
              <w:jc w:val="left"/>
            </w:pPr>
            <w:r>
              <w:rPr>
                <w:sz w:val="17"/>
              </w:rPr>
              <w:t xml:space="preserve">logistic recalibration of a model's margin</w:t>
            </w:r>
          </w:p>
        </w:tc>
      </w:tr>
      <w:tr>
        <w:tc>
          <w:tcPr/>
          <w:p>
            <w:pPr>
              <w:pStyle w:val="Compact"/>
              <w:jc w:val="left"/>
            </w:pPr>
            <w:r>
              <w:rPr>
                <w:sz w:val="17"/>
              </w:rPr>
              <w:t xml:space="preserve">SHAP</w:t>
            </w:r>
          </w:p>
        </w:tc>
        <w:tc>
          <w:tcPr/>
          <w:p>
            <w:pPr>
              <w:pStyle w:val="Compact"/>
              <w:jc w:val="left"/>
            </w:pPr>
            <w:r>
              <w:rPr>
                <w:sz w:val="17"/>
              </w:rPr>
              <w:t xml:space="preserve">Shapley additive explanations; per-feature contributions to a prediction</w:t>
            </w:r>
          </w:p>
        </w:tc>
      </w:tr>
      <w:tr>
        <w:tc>
          <w:tcPr/>
          <w:p>
            <w:pPr>
              <w:pStyle w:val="Compact"/>
              <w:jc w:val="left"/>
            </w:pPr>
            <w:r>
              <w:rPr>
                <w:sz w:val="17"/>
              </w:rPr>
              <w:t xml:space="preserve">SMM</w:t>
            </w:r>
          </w:p>
        </w:tc>
        <w:tc>
          <w:tcPr/>
          <w:p>
            <w:pPr>
              <w:pStyle w:val="Compact"/>
              <w:jc w:val="left"/>
            </w:pPr>
            <w:r>
              <w:rPr>
                <w:sz w:val="17"/>
              </w:rPr>
              <w:t xml:space="preserve">single monthly mortality; monthly prepayment rate</w:t>
            </w:r>
          </w:p>
        </w:tc>
      </w:tr>
      <w:tr>
        <w:tc>
          <w:tcPr/>
          <w:p>
            <w:pPr>
              <w:pStyle w:val="Compact"/>
              <w:jc w:val="left"/>
            </w:pPr>
            <w:r>
              <w:rPr>
                <w:sz w:val="17"/>
              </w:rPr>
              <w:t xml:space="preserve">UPB</w:t>
            </w:r>
          </w:p>
        </w:tc>
        <w:tc>
          <w:tcPr/>
          <w:p>
            <w:pPr>
              <w:pStyle w:val="Compact"/>
              <w:jc w:val="left"/>
            </w:pPr>
            <w:r>
              <w:rPr>
                <w:sz w:val="17"/>
              </w:rPr>
              <w:t xml:space="preserve">unpaid principal balance</w:t>
            </w:r>
          </w:p>
        </w:tc>
      </w:tr>
      <w:tr>
        <w:tc>
          <w:tcPr/>
          <w:p>
            <w:pPr>
              <w:pStyle w:val="Compact"/>
              <w:jc w:val="left"/>
            </w:pPr>
            <w:r>
              <w:rPr>
                <w:sz w:val="17"/>
              </w:rPr>
              <w:t xml:space="preserve">WoE</w:t>
            </w:r>
          </w:p>
        </w:tc>
        <w:tc>
          <w:tcPr/>
          <w:p>
            <w:pPr>
              <w:pStyle w:val="Compact"/>
              <w:jc w:val="left"/>
            </w:pPr>
            <w:r>
              <w:rPr>
                <w:sz w:val="17"/>
              </w:rPr>
              <w:t xml:space="preserve">weight of evidence of a bin</w:t>
            </w:r>
          </w:p>
        </w:tc>
      </w:tr>
    </w:tbl>
    <w:bookmarkEnd w:id="142"/>
    <w:bookmarkStart w:id="143" w:name="references"/>
    <w:p>
      <w:pPr>
        <w:pStyle w:val="Heading1"/>
      </w:pPr>
      <w:r>
        <w:rPr>
          <w:rStyle w:val="SectionNumber"/>
        </w:rPr>
        <w:t xml:space="preserve">15</w:t>
      </w:r>
      <w:r>
        <w:tab/>
      </w:r>
      <w:r>
        <w:t xml:space="preserve">References</w:t>
      </w:r>
    </w:p>
    <w:p>
      <w:pPr>
        <w:pStyle w:val="Compact"/>
        <w:numPr>
          <w:ilvl w:val="0"/>
          <w:numId w:val="1009"/>
        </w:numPr>
      </w:pPr>
      <w:r>
        <w:t xml:space="preserve">Board of Governors of the Federal Reserve System and Office of the Comptroller of the Currency (2011).</w:t>
      </w:r>
      <w:r>
        <w:t xml:space="preserve"> </w:t>
      </w:r>
      <w:r>
        <w:rPr>
          <w:i/>
          <w:iCs/>
        </w:rPr>
        <w:t xml:space="preserve">Supervisory Guidance on Model Risk Management</w:t>
      </w:r>
      <w:r>
        <w:t xml:space="preserve">, SR Letter 11-7 and OCC Bulletin 2011-12.</w:t>
      </w:r>
    </w:p>
    <w:p>
      <w:pPr>
        <w:pStyle w:val="Compact"/>
        <w:numPr>
          <w:ilvl w:val="0"/>
          <w:numId w:val="1009"/>
        </w:numPr>
      </w:pPr>
      <w:r>
        <w:t xml:space="preserve">Chen, T. and Guestrin, C. (2016). XGBoost: A Scalable Tree Boosting System.</w:t>
      </w:r>
      <w:r>
        <w:t xml:space="preserve"> </w:t>
      </w:r>
      <w:r>
        <w:rPr>
          <w:i/>
          <w:iCs/>
        </w:rPr>
        <w:t xml:space="preserve">Proceedings of the 22nd ACM SIGKDD International Conference on Knowledge Discovery and Data Mining</w:t>
      </w:r>
      <w:r>
        <w:t xml:space="preserve">.</w:t>
      </w:r>
    </w:p>
    <w:p>
      <w:pPr>
        <w:pStyle w:val="Compact"/>
        <w:numPr>
          <w:ilvl w:val="0"/>
          <w:numId w:val="1009"/>
        </w:numPr>
      </w:pPr>
      <w:r>
        <w:t xml:space="preserve">DeLong, E. R., DeLong, D. M. and Clarke-Pearson, D. L. (1988). Comparing the areas under two or more correlated receiver operating characteristic curves: a nonparametric approach.</w:t>
      </w:r>
      <w:r>
        <w:t xml:space="preserve"> </w:t>
      </w:r>
      <w:r>
        <w:rPr>
          <w:i/>
          <w:iCs/>
        </w:rPr>
        <w:t xml:space="preserve">Biometrics</w:t>
      </w:r>
      <w:r>
        <w:t xml:space="preserve">, 44(3), 837-845.</w:t>
      </w:r>
    </w:p>
    <w:p>
      <w:pPr>
        <w:pStyle w:val="Compact"/>
        <w:numPr>
          <w:ilvl w:val="0"/>
          <w:numId w:val="1009"/>
        </w:numPr>
      </w:pPr>
      <w:r>
        <w:t xml:space="preserve">Freddie Mac.</w:t>
      </w:r>
      <w:r>
        <w:t xml:space="preserve"> </w:t>
      </w:r>
      <w:r>
        <w:rPr>
          <w:i/>
          <w:iCs/>
        </w:rPr>
        <w:t xml:space="preserve">Single Family Loan-Level Dataset General User Guide</w:t>
      </w:r>
      <w:r>
        <w:t xml:space="preserve">.</w:t>
      </w:r>
    </w:p>
    <w:p>
      <w:pPr>
        <w:pStyle w:val="Compact"/>
        <w:numPr>
          <w:ilvl w:val="0"/>
          <w:numId w:val="1009"/>
        </w:numPr>
      </w:pPr>
      <w:r>
        <w:t xml:space="preserve">Ke, G., Meng, Q., Finley, T., Wang, T., Chen, W., Ma, W., Ye, Q. and Liu, T.-Y. (2017). LightGBM: A Highly Efficient Gradient Boosting Decision Tree.</w:t>
      </w:r>
      <w:r>
        <w:t xml:space="preserve"> </w:t>
      </w:r>
      <w:r>
        <w:rPr>
          <w:i/>
          <w:iCs/>
        </w:rPr>
        <w:t xml:space="preserve">Advances in Neural Information Processing Systems 30</w:t>
      </w:r>
      <w:r>
        <w:t xml:space="preserve">.</w:t>
      </w:r>
    </w:p>
    <w:p>
      <w:pPr>
        <w:pStyle w:val="Compact"/>
        <w:numPr>
          <w:ilvl w:val="0"/>
          <w:numId w:val="1009"/>
        </w:numPr>
      </w:pPr>
      <w:r>
        <w:t xml:space="preserve">Lundberg, S. M. and Lee, S.-I. (2017). A Unified Approach to Interpreting Model Predictions.</w:t>
      </w:r>
      <w:r>
        <w:t xml:space="preserve"> </w:t>
      </w:r>
      <w:r>
        <w:rPr>
          <w:i/>
          <w:iCs/>
        </w:rPr>
        <w:t xml:space="preserve">Advances in Neural Information Processing Systems 30</w:t>
      </w:r>
      <w:r>
        <w:t xml:space="preserve">.</w:t>
      </w:r>
    </w:p>
    <w:p>
      <w:pPr>
        <w:pStyle w:val="Compact"/>
        <w:numPr>
          <w:ilvl w:val="0"/>
          <w:numId w:val="1009"/>
        </w:numPr>
      </w:pPr>
      <w:r>
        <w:t xml:space="preserve">Siddiqi, N. (2006).</w:t>
      </w:r>
      <w:r>
        <w:t xml:space="preserve"> </w:t>
      </w:r>
      <w:r>
        <w:rPr>
          <w:i/>
          <w:iCs/>
        </w:rPr>
        <w:t xml:space="preserve">Credit Risk Scorecards: Developing and Implementing Intelligent Credit Scoring</w:t>
      </w:r>
      <w:r>
        <w:t xml:space="preserve">. Wiley.</w:t>
      </w:r>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rPr>
  </w:style>
  <w:style w:customStyle="1" w:styleId="Heading8Char" w:type="character">
    <w:name w:val="Heading 8 Char"/>
    <w:basedOn w:val="DefaultParagraphFont"/>
    <w:link w:val="Heading8"/>
    <w:uiPriority w:val="9"/>
    <w:semiHidden/>
    <w:rsid w:val="00A10FD9"/>
    <w:rPr>
      <w:rFonts w:cstheme="majorBidi" w:eastAsiaTheme="majorEastAsia"/>
      <w:i/>
      <w:iCs/>
    </w:rPr>
  </w:style>
  <w:style w:customStyle="1" w:styleId="Heading9Char" w:type="character">
    <w:name w:val="Heading 9 Char"/>
    <w:basedOn w:val="DefaultParagraphFont"/>
    <w:link w:val="Heading9"/>
    <w:uiPriority w:val="9"/>
    <w:semiHidden/>
    <w:rsid w:val="00A10FD9"/>
    <w:rPr>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2" Type="http://schemas.openxmlformats.org/officeDocument/2006/relationships/image" Target="media/rId62.png"/><Relationship Id="rId80" Type="http://schemas.openxmlformats.org/officeDocument/2006/relationships/image" Target="media/rId80.png"/><Relationship Id="rId58" Type="http://schemas.openxmlformats.org/officeDocument/2006/relationships/image" Target="media/rId58.png"/><Relationship Id="rId117" Type="http://schemas.openxmlformats.org/officeDocument/2006/relationships/image" Target="media/rId117.png"/><Relationship Id="rId74" Type="http://schemas.openxmlformats.org/officeDocument/2006/relationships/image" Target="media/rId74.png"/><Relationship Id="rId70" Type="http://schemas.openxmlformats.org/officeDocument/2006/relationships/image" Target="media/rId70.png"/><Relationship Id="rId54" Type="http://schemas.openxmlformats.org/officeDocument/2006/relationships/image" Target="media/rId54.png"/><Relationship Id="rId77" Type="http://schemas.openxmlformats.org/officeDocument/2006/relationships/image" Target="media/rId77.png"/><Relationship Id="rId113" Type="http://schemas.openxmlformats.org/officeDocument/2006/relationships/image" Target="media/rId113.png"/><Relationship Id="rId85" Type="http://schemas.openxmlformats.org/officeDocument/2006/relationships/image" Target="media/rId85.png"/><Relationship Id="rId91" Type="http://schemas.openxmlformats.org/officeDocument/2006/relationships/image" Target="media/rId91.png"/><Relationship Id="rId88" Type="http://schemas.openxmlformats.org/officeDocument/2006/relationships/image" Target="media/rId88.png"/><Relationship Id="rId96" Type="http://schemas.openxmlformats.org/officeDocument/2006/relationships/image" Target="media/rId96.png"/><Relationship Id="rId102" Type="http://schemas.openxmlformats.org/officeDocument/2006/relationships/image" Target="media/rId102.png"/><Relationship Id="rId99" Type="http://schemas.openxmlformats.org/officeDocument/2006/relationships/image" Target="media/rId99.png"/><Relationship Id="rId105" Type="http://schemas.openxmlformats.org/officeDocument/2006/relationships/image" Target="media/rId105.png"/><Relationship Id="rId66" Type="http://schemas.openxmlformats.org/officeDocument/2006/relationships/image" Target="media/rId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Mortgage Delinquency and Prepayment Risk Model: Technical Documentation</dc:title>
  <dc:creator>Deepak Chaudhary</dc:creator>
  <cp:keywords/>
  <dcterms:created xsi:type="dcterms:W3CDTF">2026-10-02T03:34:01Z</dcterms:created>
  <dcterms:modified xsi:type="dcterms:W3CDTF">2026-10-02T03:34:01Z</dcterms:modified>
  <cp:lastModifiedBy>Deepak Chaudhary</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01 October 2026</vt:lpwstr>
  </property>
</Properties>
</file>