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SIMM-Style Initial Margin, xVA VaR and Backtesting Model: Methodology, Implementation and Results</w:t>
      </w:r>
    </w:p>
    <w:p>
      <w:pPr>
        <w:pStyle w:val="Author"/>
      </w:pPr>
      <w:r>
        <w:t xml:space="preserve">Deepak Chaudhary</w:t>
      </w:r>
    </w:p>
    <w:p>
      <w:pPr>
        <w:pStyle w:val="Date"/>
      </w:pPr>
      <w:r>
        <w:t xml:space="preserve">2026-10-02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Status and disclaimers (read first).</w:t>
      </w:r>
      <w:r>
        <w:t xml:space="preserve"> </w:t>
      </w:r>
      <w:r>
        <w:t xml:space="preserve">All market data, trades and counterparty data in this project are SYNTHETIC; no market data were used. The engine is a SIMM-style educational model. It is NOT licensed by ISDA, NOT certified or validated against ISDA's calculator, and makes NO compliance claim: no number in this document is a margin call or a regulatory result. ISDA SIMM is a trademark and the ISDA documents are copyright; this repository stores only numeric parameters with citations and reproduces no ISDA text. Verification status is stated exactly in Section 19: Kupiec (1995) and Christoffersen (1998) originals not obtained; EU consolidated text, 12 CFR 237.8 and 349.8, CFTC 23.154 and the ISDA credit, equity and commodity tables not checked.</w:t>
      </w:r>
    </w:p>
    <w:bookmarkStart w:id="9" w:name="executive-summary"/>
    <w:p>
      <w:pPr>
        <w:pStyle w:val="Heading1"/>
      </w:pPr>
      <w:r>
        <w:rPr>
          <w:rStyle w:val="SectionNumber"/>
        </w:rPr>
        <w:t xml:space="preserve">1</w:t>
      </w:r>
      <w:r>
        <w:tab/>
      </w:r>
      <w:r>
        <w:t xml:space="preserve">Executive summary</w:t>
      </w:r>
    </w:p>
    <w:p>
      <w:pPr>
        <w:pStyle w:val="FirstParagraph"/>
      </w:pPr>
      <w:r>
        <w:t xml:space="preserve">This project builds, from scratch and in Python and Excel, a small but complete initial margin (IM) toolchain for a netting set of uncleared Rates and FX derivatives, and then does what a model validation or margin operations team would do with it. It computes a SIMM-style IM from first principles, compares it with the standardised schedule IM, builds a historical-simulation (HS) VaR IM as a competing model, backtests all of them with the statistical tests regulators and ISDA expect, backtests an xVA VaR model for CVA, runs a margin dispute investigation, attributes IM changes to their causes, and runs user acceptance testing (UAT) for a new product. Every step is documented here so that the author can explain it in an interview and a reviewer can reproduce it.</w:t>
      </w:r>
    </w:p>
    <w:p>
      <w:pPr>
        <w:pStyle w:val="BodyText"/>
      </w:pPr>
      <w:r>
        <w:t xml:space="preserve">The sample book is one netting set (NS_A against CPTY_B) with 20 synthetic trades: 9 interest rate swaps, 3 European swaptions, 4 FX forwards and 4 FX European options in five currencies (USD, EUR, GBP, JPY, MXN). The synthetic history has 2,088 business days from 1 Oct 2018 to 30 Sep 2026 with a two-state calm and stress regime and a forced 250-day stress window.</w:t>
      </w:r>
    </w:p>
    <w:p>
      <w:pPr>
        <w:pStyle w:val="BodyText"/>
      </w:pPr>
      <w:r>
        <w:rPr>
          <w:b/>
          <w:bCs/>
        </w:rPr>
        <w:t xml:space="preserve">Headline results</w:t>
      </w:r>
      <w:r>
        <w:t xml:space="preserve"> </w:t>
      </w:r>
      <w:r>
        <w:t xml:space="preserve">(valuation date 30 Sep 2026, run mode full):</w:t>
      </w:r>
    </w:p>
    <w:p>
      <w:pPr>
        <w:pStyle w:val="Compact"/>
        <w:numPr>
          <w:ilvl w:val="0"/>
          <w:numId w:val="1001"/>
        </w:numPr>
      </w:pPr>
      <w:r>
        <w:t xml:space="preserve">The SIMM-style IM under parameter set v2.8+2512 is USD 5,465,781 (USD 5.47 mm), of which the FX risk class contributes USD 4,583,373 and the IR risk class USD 2,368,655 before the IR-FX correlation. Under the previous version v2.8+2506 the IM is USD 5,216,561, so the version change is worth USD 249,220 (4.8%).</w:t>
      </w:r>
    </w:p>
    <w:p>
      <w:pPr>
        <w:pStyle w:val="Compact"/>
        <w:numPr>
          <w:ilvl w:val="0"/>
          <w:numId w:val="1001"/>
        </w:numPr>
      </w:pPr>
      <w:r>
        <w:t xml:space="preserve">The standardised schedule IM (gross USD 22,577,637, net-to-gross ratio 0.743, net USD 19,099,501) is far larger than SIMM: the SIMM-style IM is 28.6% of the net schedule amount.</w:t>
      </w:r>
    </w:p>
    <w:p>
      <w:pPr>
        <w:pStyle w:val="Compact"/>
        <w:numPr>
          <w:ilvl w:val="0"/>
          <w:numId w:val="1001"/>
        </w:numPr>
      </w:pPr>
      <w:r>
        <w:t xml:space="preserve">The champion HS IM (1-day, 99%) has 18 exceptions in 1,327 days against 13.3 expected. Kupiec passes (p = 0.216) but Christoffersen conditional coverage is amber (p = 0.034) and the maximum rolling 250-day count is 12, which is in the red zone of BCBS 22. The overall light is amber.</w:t>
      </w:r>
    </w:p>
    <w:p>
      <w:pPr>
        <w:pStyle w:val="Compact"/>
        <w:numPr>
          <w:ilvl w:val="0"/>
          <w:numId w:val="1001"/>
        </w:numPr>
      </w:pPr>
      <w:r>
        <w:t xml:space="preserve">Every mis-calibrated challenger is worse (EWMA red, plain 250-day red, champion scaled by 0.7 red at 1 day), so the tests have power.</w:t>
      </w:r>
    </w:p>
    <w:p>
      <w:pPr>
        <w:pStyle w:val="Compact"/>
        <w:numPr>
          <w:ilvl w:val="0"/>
          <w:numId w:val="1001"/>
        </w:numPr>
      </w:pPr>
      <w:r>
        <w:t xml:space="preserve">On overlapping 10-day windows every HS model is red, because overlapping windows share nine days and cluster exceptions; this is a known test-design problem (Section 8). On non-overlapping windows the champion's overall light is pass (2 exceptions in 132) and the SIMM-style series' is pass (1 exceptions), but on overlapping windows the SIMM-style series fails Christoffersen independence (p = 4.0e-23) although its Kupiec p-value is 0.822.</w:t>
      </w:r>
    </w:p>
    <w:p>
      <w:pPr>
        <w:pStyle w:val="Compact"/>
        <w:numPr>
          <w:ilvl w:val="0"/>
          <w:numId w:val="1001"/>
        </w:numPr>
      </w:pPr>
      <w:r>
        <w:t xml:space="preserve">The dispute simulator ranked the seeded cause first in all eight single-cause scenarios and within the top three in the combined scenario (9 of 9 accepted).</w:t>
      </w:r>
    </w:p>
    <w:p>
      <w:pPr>
        <w:pStyle w:val="Compact"/>
        <w:numPr>
          <w:ilvl w:val="0"/>
          <w:numId w:val="1001"/>
        </w:numPr>
      </w:pPr>
      <w:r>
        <w:t xml:space="preserve">The Shapley attribution of the USD 4,040,470 IM change on COB 10 Jul 2026 is exact (zero residual); the one-at-a-time method misses USD 274,134.</w:t>
      </w:r>
    </w:p>
    <w:p>
      <w:pPr>
        <w:pStyle w:val="Compact"/>
        <w:numPr>
          <w:ilvl w:val="0"/>
          <w:numId w:val="1001"/>
        </w:numPr>
      </w:pPr>
      <w:r>
        <w:t xml:space="preserve">UAT of the new EUR/USD cross-currency swap: 17 passed, 0 failed, 0 skipped of 17 tests.</w:t>
      </w:r>
    </w:p>
    <w:p>
      <w:pPr>
        <w:pStyle w:val="Compact"/>
        <w:numPr>
          <w:ilvl w:val="0"/>
          <w:numId w:val="1001"/>
        </w:numPr>
      </w:pPr>
      <w:r>
        <w:t xml:space="preserve">The findings log has 17 items: 2 High, 10 Medium and 5 Low.</w:t>
      </w:r>
    </w:p>
    <w:p>
      <w:pPr>
        <w:pStyle w:val="FirstParagraph"/>
      </w:pPr>
      <w:r>
        <w:rPr>
          <w:b/>
          <w:bCs/>
        </w:rPr>
        <w:t xml:space="preserve">What this project does not show.</w:t>
      </w:r>
      <w:r>
        <w:t xml:space="preserve"> </w:t>
      </w:r>
      <w:r>
        <w:t xml:space="preserve">The data are synthetic; the sample is a single netting set; there is one curve per currency; there are no credit, equity or commodity risk classes; the backtest P&amp;L is hypothetical on a frozen portfolio; CVA is computed for linear trades only; and the engine has not been compared with ISDA's calculator. Section 16 lists every limitation found.</w:t>
      </w:r>
    </w:p>
    <w:bookmarkEnd w:id="9"/>
    <w:bookmarkStart w:id="14" w:name="business-context"/>
    <w:p>
      <w:pPr>
        <w:pStyle w:val="Heading1"/>
      </w:pPr>
      <w:r>
        <w:rPr>
          <w:rStyle w:val="SectionNumber"/>
        </w:rPr>
        <w:t xml:space="preserve">2</w:t>
      </w:r>
      <w:r>
        <w:tab/>
      </w:r>
      <w:r>
        <w:t xml:space="preserve">Business context</w:t>
      </w:r>
    </w:p>
    <w:bookmarkStart w:id="10" w:name="why-uncleared-margin-exists"/>
    <w:p>
      <w:pPr>
        <w:pStyle w:val="Heading2"/>
      </w:pPr>
      <w:r>
        <w:rPr>
          <w:rStyle w:val="SectionNumber"/>
        </w:rPr>
        <w:t xml:space="preserve">2.1</w:t>
      </w:r>
      <w:r>
        <w:tab/>
      </w:r>
      <w:r>
        <w:t xml:space="preserve">Why uncleared margin exists</w:t>
      </w:r>
    </w:p>
    <w:p>
      <w:pPr>
        <w:pStyle w:val="FirstParagraph"/>
      </w:pPr>
      <w:r>
        <w:t xml:space="preserve">Before 2008 most over-the-counter (OTC) derivatives were bilateral and many were collateralised only by variation margin (VM), the daily transfer that settles the current mark-to-market. VM does not cover the cost of closing out a defaulted counterparty's portfolio over the days it takes to do so, because prices keep moving in those days. Initial margin (IM) is a buffer posted in addition to VM that is meant to cover that move with high confidence. Central counterparties (CCPs) have always collected IM; the post-crisis reforms extended the idea to trades that are not centrally cleared.</w:t>
      </w:r>
    </w:p>
    <w:p>
      <w:pPr>
        <w:pStyle w:val="BodyText"/>
      </w:pPr>
      <w:r>
        <w:t xml:space="preserve">The international standard is the BCBS-IOSCO framework for margin requirements for non-centrally cleared derivatives. Its central quantitative requirement is that IM should reflect an extreme but plausible increase in the value of the portfolio, consistent with a one-tailed 99 per cent confidence interval over a 10-day horizon, calibrated to historical data that include a period of significant financial stress (BCBS-IOSCO April 2020, Requirement 3.1). Two routes are allowed: a quantitative portfolio margin model, or a standardised schedule of margin rates by asset class and maturity. The schedule is simple but conservative and does not recognise hedging between trades except through the net-to-gross ratio; models such as SIMM recognise offsets, which is why firms use them.</w:t>
      </w:r>
    </w:p>
    <w:bookmarkEnd w:id="10"/>
    <w:bookmarkStart w:id="11" w:name="Xdd58695d24f2a841e7c9b39f2c5a60570668f5c"/>
    <w:p>
      <w:pPr>
        <w:pStyle w:val="Heading2"/>
      </w:pPr>
      <w:r>
        <w:rPr>
          <w:rStyle w:val="SectionNumber"/>
        </w:rPr>
        <w:t xml:space="preserve">2.2</w:t>
      </w:r>
      <w:r>
        <w:tab/>
      </w:r>
      <w:r>
        <w:t xml:space="preserve">The rules in the United States and the European Union</w:t>
      </w:r>
    </w:p>
    <w:p>
      <w:pPr>
        <w:pStyle w:val="FirstParagraph"/>
      </w:pPr>
      <w:r>
        <w:t xml:space="preserve">In the United States the prudential regulators implement the framework in rules such as 12 CFR Part 45 for the OCC. The model route requires a 99 percent one-tailed estimate of the increase in value over the shorter of ten business days or the maturity, calibration data that are equally weighted, cover at least one and at most five years and include a period of significant financial stress, and validation that includes backtesting (12 CFR 45.8(d) and (f)(2)). The parallel rules of other agencies (12 CFR 237.8, 349.8, CFTC 23.154) were not fetched in this project.</w:t>
      </w:r>
    </w:p>
    <w:p>
      <w:pPr>
        <w:pStyle w:val="BodyText"/>
      </w:pPr>
      <w:r>
        <w:t xml:space="preserve">In the European Union the technical standards are in Commission Delegated Regulation (EU) 2016/2251. It requires a 99 percent one-tailed confidence interval over a margin period of risk of at least 10 days (Article 15), calibration on 3 to 5 years of data of which at least 25 percent must come from a stressed period, with the oldest data replaced by stress data until that share is met and equal weights throughout (Article 16), and ongoing model monitoring including backtesting at least every three months (Article 14(3)). This project's champion model follows the Article 16 pattern, labelled "EU 1+3 style" in the code. The consolidated text with later amendments was not checked.</w:t>
      </w:r>
    </w:p>
    <w:bookmarkEnd w:id="11"/>
    <w:bookmarkStart w:id="12" w:name="Xc31e5c21a0928df04238a8e334ff829a9234400"/>
    <w:p>
      <w:pPr>
        <w:pStyle w:val="Heading2"/>
      </w:pPr>
      <w:r>
        <w:rPr>
          <w:rStyle w:val="SectionNumber"/>
        </w:rPr>
        <w:t xml:space="preserve">2.3</w:t>
      </w:r>
      <w:r>
        <w:tab/>
      </w:r>
      <w:r>
        <w:t xml:space="preserve">Why SIMM exists and why IM models are backtested</w:t>
      </w:r>
    </w:p>
    <w:p>
      <w:pPr>
        <w:pStyle w:val="FirstParagraph"/>
      </w:pPr>
      <w:r>
        <w:t xml:space="preserve">If every pair of counterparties used its own model, the two sides would compute different IM for the same portfolio and every margin call would be disputed. The ISDA Standard Initial Margin Model (SIMM) is an industry-wide, sensitivity-based methodology: both sides compute the same sensitivities, apply the same risk weights and correlations, and so should reach (nearly) the same IM. ISDA recalibrates the parameters periodically, and its governance framework sets the calibration standard (99 percent, 10-day, including stress), the dispute escalation steps, a SIMM shortfall amount where SIMM is found to under-margin, and backtesting with the Basel traffic-light approach (ISDA SIMM Governance Framework 18 Sep 2026).</w:t>
      </w:r>
    </w:p>
    <w:p>
      <w:pPr>
        <w:pStyle w:val="BodyText"/>
      </w:pPr>
      <w:r>
        <w:t xml:space="preserve">A margin model that is wrong in one direction leaves a hole in the protection; wrong in the other direction it locks up collateral for nothing. Regulators and model risk policy therefore require outcomes analysis. The US supervisory guidance on model risk management lists three core elements of validation: evaluation of conceptual soundness, ongoing monitoring including benchmarking, and outcomes analysis including back-testing (SR 11-7). This project covers all three for a toy but realistic model: conceptual documentation (this document), benchmarking against the schedule and an HS model, and backtests.</w:t>
      </w:r>
    </w:p>
    <w:bookmarkEnd w:id="12"/>
    <w:bookmarkStart w:id="13" w:name="the-jobs-this-project-exercises"/>
    <w:p>
      <w:pPr>
        <w:pStyle w:val="Heading2"/>
      </w:pPr>
      <w:r>
        <w:rPr>
          <w:rStyle w:val="SectionNumber"/>
        </w:rPr>
        <w:t xml:space="preserve">2.4</w:t>
      </w:r>
      <w:r>
        <w:tab/>
      </w:r>
      <w:r>
        <w:t xml:space="preserve">The jobs this project exercises</w:t>
      </w:r>
    </w:p>
    <w:p>
      <w:pPr>
        <w:pStyle w:val="FirstParagraph"/>
      </w:pPr>
      <w:r>
        <w:t xml:space="preserve">A margin or CCR analyst typically does four things: run and reconcile the IM calculation; investigate disputes with counterparties; explain why IM moved from yesterday to today; and onboard new products. A validator additionally backtests the model and writes findings. Sections 11 to 14 map one-to-one onto these tasks.</w:t>
      </w:r>
    </w:p>
    <w:bookmarkEnd w:id="13"/>
    <w:bookmarkEnd w:id="14"/>
    <w:bookmarkStart w:id="20" w:name="data-and-the-sample-portfolio"/>
    <w:p>
      <w:pPr>
        <w:pStyle w:val="Heading1"/>
      </w:pPr>
      <w:r>
        <w:rPr>
          <w:rStyle w:val="SectionNumber"/>
        </w:rPr>
        <w:t xml:space="preserve">3</w:t>
      </w:r>
      <w:r>
        <w:tab/>
      </w:r>
      <w:r>
        <w:t xml:space="preserve">Data and the sample portfolio</w:t>
      </w:r>
    </w:p>
    <w:bookmarkStart w:id="18" w:name="the-synthetic-market-history"/>
    <w:p>
      <w:pPr>
        <w:pStyle w:val="Heading2"/>
      </w:pPr>
      <w:r>
        <w:rPr>
          <w:rStyle w:val="SectionNumber"/>
        </w:rPr>
        <w:t xml:space="preserve">3.1</w:t>
      </w:r>
      <w:r>
        <w:tab/>
      </w:r>
      <w:r>
        <w:t xml:space="preserve">The synthetic market history</w:t>
      </w:r>
    </w:p>
    <w:p>
      <w:pPr>
        <w:pStyle w:val="FirstParagraph"/>
      </w:pPr>
      <w:r>
        <w:t xml:space="preserve">Because no real market data are used, the history is simulated by</w:t>
      </w:r>
      <w:r>
        <w:t xml:space="preserve"> </w:t>
      </w:r>
      <w:r>
        <w:rPr>
          <w:rStyle w:val="VerbatimChar"/>
        </w:rPr>
        <w:t xml:space="preserve">market_history.generate_history</w:t>
      </w:r>
      <w:r>
        <w:t xml:space="preserve">. The design goal is not realism for trading but a history that has the features the backtests need: fat tails, volatility clustering, regimes and a stress episode.</w:t>
      </w:r>
    </w:p>
    <w:p>
      <w:pPr>
        <w:pStyle w:val="Compact"/>
        <w:numPr>
          <w:ilvl w:val="0"/>
          <w:numId w:val="1002"/>
        </w:numPr>
      </w:pPr>
      <w:r>
        <w:rPr>
          <w:b/>
          <w:bCs/>
        </w:rPr>
        <w:t xml:space="preserve">Regimes.</w:t>
      </w:r>
      <w:r>
        <w:t xml:space="preserve"> </w:t>
      </w:r>
      <w:r>
        <w:t xml:space="preserve">A two-state Markov chain (calm and stress) with persistence parameters in</w:t>
      </w:r>
      <w:r>
        <w:t xml:space="preserve"> </w:t>
      </w:r>
      <w:r>
        <w:rPr>
          <w:rStyle w:val="VerbatimChar"/>
        </w:rPr>
        <w:t xml:space="preserve">config.REGIME_PERSISTENCE</w:t>
      </w:r>
      <w:r>
        <w:t xml:space="preserve"> </w:t>
      </w:r>
      <w:r>
        <w:t xml:space="preserve">(calm 0.99, stress 0.97) drives the scale of all shocks. The stress state multiplies shock volatility by</w:t>
      </w:r>
      <w:r>
        <w:t xml:space="preserve"> </w:t>
      </w:r>
      <w:r>
        <w:rPr>
          <w:rStyle w:val="VerbatimChar"/>
        </w:rPr>
        <w:t xml:space="preserve">config.STRESS_VOL_MULT</w:t>
      </w:r>
      <w:r>
        <w:t xml:space="preserve"> </w:t>
      </w:r>
      <w:r>
        <w:t xml:space="preserve">= 2.8. In this history 817 days (39.1%) are in the stress state and 1271 are calm.</w:t>
      </w:r>
    </w:p>
    <w:p>
      <w:pPr>
        <w:pStyle w:val="Compact"/>
        <w:numPr>
          <w:ilvl w:val="0"/>
          <w:numId w:val="1002"/>
        </w:numPr>
      </w:pPr>
      <w:r>
        <w:rPr>
          <w:b/>
          <w:bCs/>
        </w:rPr>
        <w:t xml:space="preserve">Fat tails.</w:t>
      </w:r>
      <w:r>
        <w:t xml:space="preserve"> </w:t>
      </w:r>
      <w:r>
        <w:t xml:space="preserve">Shocks are multivariate Student-t with 5 degrees of freedom, built with one common chi-square mixing draw per day.</w:t>
      </w:r>
    </w:p>
    <w:p>
      <w:pPr>
        <w:pStyle w:val="Compact"/>
        <w:numPr>
          <w:ilvl w:val="0"/>
          <w:numId w:val="1002"/>
        </w:numPr>
      </w:pPr>
      <w:r>
        <w:rPr>
          <w:b/>
          <w:bCs/>
        </w:rPr>
        <w:t xml:space="preserve">Rates.</w:t>
      </w:r>
      <w:r>
        <w:t xml:space="preserve"> </w:t>
      </w:r>
      <w:r>
        <w:t xml:space="preserve">Each currency has three PCA-style factors (level, slope, curvature) that mean-revert, with loadings on the 12 SIMM tenors, a cross-currency correlation through a global factor, and a stress drift in the level factor.</w:t>
      </w:r>
    </w:p>
    <w:p>
      <w:pPr>
        <w:pStyle w:val="Compact"/>
        <w:numPr>
          <w:ilvl w:val="0"/>
          <w:numId w:val="1002"/>
        </w:numPr>
      </w:pPr>
      <w:r>
        <w:rPr>
          <w:b/>
          <w:bCs/>
        </w:rPr>
        <w:t xml:space="preserve">FX.</w:t>
      </w:r>
      <w:r>
        <w:t xml:space="preserve"> </w:t>
      </w:r>
      <w:r>
        <w:t xml:space="preserve">Log returns for EUR/USD, GBP/USD, USD/JPY and USD/MXN with a common USD factor and mean reversion.</w:t>
      </w:r>
    </w:p>
    <w:p>
      <w:pPr>
        <w:pStyle w:val="Compact"/>
        <w:numPr>
          <w:ilvl w:val="0"/>
          <w:numId w:val="1002"/>
        </w:numPr>
      </w:pPr>
      <w:r>
        <w:rPr>
          <w:b/>
          <w:bCs/>
        </w:rPr>
        <w:t xml:space="preserve">Volatilities.</w:t>
      </w:r>
      <w:r>
        <w:t xml:space="preserve"> </w:t>
      </w:r>
      <w:r>
        <w:t xml:space="preserve">Normal volatilities for swaptions and lognormal volatilities for FX options follow log AR(1) processes pushed up in stress.</w:t>
      </w:r>
    </w:p>
    <w:p>
      <w:pPr>
        <w:pStyle w:val="Compact"/>
        <w:numPr>
          <w:ilvl w:val="0"/>
          <w:numId w:val="1002"/>
        </w:numPr>
      </w:pPr>
      <w:r>
        <w:rPr>
          <w:b/>
          <w:bCs/>
        </w:rPr>
        <w:t xml:space="preserve">Credit.</w:t>
      </w:r>
      <w:r>
        <w:t xml:space="preserve"> </w:t>
      </w:r>
      <w:r>
        <w:t xml:space="preserve">Five CDS spreads (1, 3, 5, 7, 10 years) with jumps on entry to stress; these feed the CVA in Section 10.</w:t>
      </w:r>
    </w:p>
    <w:p>
      <w:pPr>
        <w:pStyle w:val="Compact"/>
        <w:numPr>
          <w:ilvl w:val="0"/>
          <w:numId w:val="1002"/>
        </w:numPr>
      </w:pPr>
      <w:r>
        <w:rPr>
          <w:b/>
          <w:bCs/>
        </w:rPr>
        <w:t xml:space="preserve">Forced stress window.</w:t>
      </w:r>
      <w:r>
        <w:t xml:space="preserve"> </w:t>
      </w:r>
      <w:r>
        <w:t xml:space="preserve">A 250-day window from 1 Mar 2019 to 13 Feb 2020 is forced into the stress state. It plays the role of the "financial stress period" the regulations require in the calibration data. It is placed early in the history so that every later date can use it without look-ahead.</w:t>
      </w:r>
    </w:p>
    <w:p>
      <w:pPr>
        <w:pStyle w:val="CaptionedFigure"/>
      </w:pPr>
      <w:r>
        <w:drawing>
          <wp:inline>
            <wp:extent cx="5334000" cy="2400300"/>
            <wp:effectExtent b="0" l="0" r="0" t="0"/>
            <wp:docPr descr="Synthetic regime path and the daily SIMM-style IM of the sample book. Grey bands are the stress regime; the hatched band is the forced stress window." title="" id="16" name="Picture"/>
            <a:graphic>
              <a:graphicData uri="http://schemas.openxmlformats.org/drawingml/2006/picture">
                <pic:pic>
                  <pic:nvPicPr>
                    <pic:cNvPr descr="../python/outputs/charts/regime_path.png" id="17" name="Picture"/>
                    <pic:cNvPicPr>
                      <a:picLocks noChangeArrowheads="1" noChangeAspect="1"/>
                    </pic:cNvPicPr>
                  </pic:nvPicPr>
                  <pic:blipFill>
                    <a:blip r:embed="rId15"/>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Synthetic regime path and the daily SIMM-style IM of the sample book. Grey bands are the stress regime; the hatched band is the forced stress window.</w:t>
      </w:r>
    </w:p>
    <w:p>
      <w:pPr>
        <w:pStyle w:val="BodyText"/>
      </w:pPr>
      <w:r>
        <w:t xml:space="preserve">Synthetic data have a consequence that should be said plainly: the backtest statistics measure how well the model's assumptions fit a simulated world whose generator we wrote, not how well a margin model fits real markets. The value of the exercise is in the methodology and in seeing the tests behave correctly, including rejecting deliberately wrong models.</w:t>
      </w:r>
    </w:p>
    <w:bookmarkEnd w:id="18"/>
    <w:bookmarkStart w:id="19" w:name="the-sample-portfolio"/>
    <w:p>
      <w:pPr>
        <w:pStyle w:val="Heading2"/>
      </w:pPr>
      <w:r>
        <w:rPr>
          <w:rStyle w:val="SectionNumber"/>
        </w:rPr>
        <w:t xml:space="preserve">3.2</w:t>
      </w:r>
      <w:r>
        <w:tab/>
      </w:r>
      <w:r>
        <w:t xml:space="preserve">The sample portfolio</w:t>
      </w:r>
    </w:p>
    <w:p>
      <w:pPr>
        <w:pStyle w:val="FirstParagraph"/>
      </w:pPr>
      <w:r>
        <w:t xml:space="preserve">The portfolio is one legally enforceable netting set, NS_A, with counterparty CPTY_B. The trade table below gives the terms that matter for risk. Swaption and option expiries and all maturities are year fractions from the valuation date; the portfolio is frozen with constant time to maturity (no ageing), which is explained in Section 8.</w:t>
      </w:r>
    </w:p>
    <w:p>
      <w:pPr>
        <w:pStyle w:val="TableCaption"/>
      </w:pPr>
      <w:r>
        <w:t xml:space="preserve">The sample portfolio at the valuation date. Directions: pay fixed or receive fixed for swaps; long or short for options; buy or sell the base currency for forwards. Notionals are in millions of the first currency (JPY and MXN notionals are therefore large numbers).</w:t>
      </w:r>
    </w:p>
    <w:tbl>
      <w:tblPr>
        <w:tblStyle w:val="Table"/>
        <w:tblW w:type="pct" w:w="5000"/>
        <w:tblLayout w:type="fixed"/>
        <w:tblLook w:firstRow="1" w:lastRow="0" w:firstColumn="0" w:lastColumn="0" w:noHBand="0" w:noVBand="0" w:val="0020"/>
        <w:tblCaption w:val="The sample portfolio at the valuation date. Directions: pay fixed or receive fixed for swaps; long or short for options; buy or sell the base currency for forwards. Notionals are in millions of the first currency (JPY and MXN notionals are therefore large numb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on"/>
        </w:trPr>
        <w:tc>
          <w:tcPr/>
          <w:p>
            <w:pPr>
              <w:pStyle w:val="Compact"/>
              <w:jc w:val="left"/>
            </w:pPr>
            <w:r>
              <w:rPr>
                <w:sz w:val="17"/>
              </w:rPr>
              <w:t xml:space="preserve">Trade</w:t>
            </w:r>
          </w:p>
        </w:tc>
        <w:tc>
          <w:tcPr/>
          <w:p>
            <w:pPr>
              <w:pStyle w:val="Compact"/>
              <w:jc w:val="left"/>
            </w:pPr>
            <w:r>
              <w:rPr>
                <w:sz w:val="17"/>
              </w:rPr>
              <w:t xml:space="preserve">Product</w:t>
            </w:r>
          </w:p>
        </w:tc>
        <w:tc>
          <w:tcPr/>
          <w:p>
            <w:pPr>
              <w:pStyle w:val="Compact"/>
              <w:jc w:val="left"/>
            </w:pPr>
            <w:r>
              <w:rPr>
                <w:sz w:val="17"/>
              </w:rPr>
              <w:t xml:space="preserve">Currency</w:t>
            </w:r>
          </w:p>
        </w:tc>
        <w:tc>
          <w:tcPr/>
          <w:p>
            <w:pPr>
              <w:pStyle w:val="Compact"/>
              <w:jc w:val="left"/>
            </w:pPr>
            <w:r>
              <w:rPr>
                <w:sz w:val="17"/>
              </w:rPr>
              <w:t xml:space="preserve">Terms</w:t>
            </w:r>
          </w:p>
        </w:tc>
        <w:tc>
          <w:tcPr/>
          <w:p>
            <w:pPr>
              <w:pStyle w:val="Compact"/>
              <w:jc w:val="right"/>
            </w:pPr>
            <w:r>
              <w:rPr>
                <w:sz w:val="17"/>
              </w:rPr>
              <w:t xml:space="preserve">Notional (mm, first ccy)</w:t>
            </w:r>
          </w:p>
        </w:tc>
        <w:tc>
          <w:tcPr/>
          <w:p>
            <w:pPr>
              <w:pStyle w:val="Compact"/>
              <w:jc w:val="left"/>
            </w:pPr>
            <w:r>
              <w:rPr>
                <w:sz w:val="17"/>
              </w:rPr>
              <w:t xml:space="preserve">Direction</w:t>
            </w:r>
          </w:p>
        </w:tc>
        <w:tc>
          <w:tcPr/>
          <w:p>
            <w:pPr>
              <w:pStyle w:val="Compact"/>
              <w:jc w:val="right"/>
            </w:pPr>
            <w:r>
              <w:rPr>
                <w:sz w:val="17"/>
              </w:rPr>
              <w:t xml:space="preserve">PV (USD)</w:t>
            </w:r>
          </w:p>
        </w:tc>
      </w:tr>
      <w:tr>
        <w:tc>
          <w:tcPr/>
          <w:p>
            <w:pPr>
              <w:pStyle w:val="Compact"/>
              <w:jc w:val="left"/>
            </w:pPr>
            <w:r>
              <w:rPr>
                <w:sz w:val="17"/>
              </w:rPr>
              <w:t xml:space="preserve">IRS_USD_2Y</w:t>
            </w:r>
          </w:p>
        </w:tc>
        <w:tc>
          <w:tcPr/>
          <w:p>
            <w:pPr>
              <w:pStyle w:val="Compact"/>
              <w:jc w:val="left"/>
            </w:pPr>
            <w:r>
              <w:rPr>
                <w:sz w:val="17"/>
              </w:rPr>
              <w:t xml:space="preserve">IRS</w:t>
            </w:r>
          </w:p>
        </w:tc>
        <w:tc>
          <w:tcPr/>
          <w:p>
            <w:pPr>
              <w:pStyle w:val="Compact"/>
              <w:jc w:val="left"/>
            </w:pPr>
            <w:r>
              <w:rPr>
                <w:sz w:val="17"/>
              </w:rPr>
              <w:t xml:space="preserve">USD</w:t>
            </w:r>
          </w:p>
        </w:tc>
        <w:tc>
          <w:tcPr/>
          <w:p>
            <w:pPr>
              <w:pStyle w:val="Compact"/>
              <w:jc w:val="left"/>
            </w:pPr>
            <w:r>
              <w:rPr>
                <w:sz w:val="17"/>
              </w:rPr>
              <w:t xml:space="preserve">2y</w:t>
            </w:r>
          </w:p>
        </w:tc>
        <w:tc>
          <w:tcPr/>
          <w:p>
            <w:pPr>
              <w:pStyle w:val="Compact"/>
              <w:jc w:val="right"/>
            </w:pPr>
            <w:r>
              <w:rPr>
                <w:sz w:val="17"/>
              </w:rPr>
              <w:t xml:space="preserve">60</w:t>
            </w:r>
          </w:p>
        </w:tc>
        <w:tc>
          <w:tcPr/>
          <w:p>
            <w:pPr>
              <w:pStyle w:val="Compact"/>
              <w:jc w:val="left"/>
            </w:pPr>
            <w:r>
              <w:rPr>
                <w:sz w:val="17"/>
              </w:rPr>
              <w:t xml:space="preserve">pay fixed</w:t>
            </w:r>
          </w:p>
        </w:tc>
        <w:tc>
          <w:tcPr/>
          <w:p>
            <w:pPr>
              <w:pStyle w:val="Compact"/>
              <w:jc w:val="right"/>
            </w:pPr>
            <w:r>
              <w:rPr>
                <w:sz w:val="17"/>
              </w:rPr>
              <w:t xml:space="preserve">475,771</w:t>
            </w:r>
          </w:p>
        </w:tc>
      </w:tr>
      <w:tr>
        <w:tc>
          <w:tcPr/>
          <w:p>
            <w:pPr>
              <w:pStyle w:val="Compact"/>
              <w:jc w:val="left"/>
            </w:pPr>
            <w:r>
              <w:rPr>
                <w:sz w:val="17"/>
              </w:rPr>
              <w:t xml:space="preserve">IRS_USD_5Y</w:t>
            </w:r>
          </w:p>
        </w:tc>
        <w:tc>
          <w:tcPr/>
          <w:p>
            <w:pPr>
              <w:pStyle w:val="Compact"/>
              <w:jc w:val="left"/>
            </w:pPr>
            <w:r>
              <w:rPr>
                <w:sz w:val="17"/>
              </w:rPr>
              <w:t xml:space="preserve">IRS</w:t>
            </w:r>
          </w:p>
        </w:tc>
        <w:tc>
          <w:tcPr/>
          <w:p>
            <w:pPr>
              <w:pStyle w:val="Compact"/>
              <w:jc w:val="left"/>
            </w:pPr>
            <w:r>
              <w:rPr>
                <w:sz w:val="17"/>
              </w:rPr>
              <w:t xml:space="preserve">USD</w:t>
            </w:r>
          </w:p>
        </w:tc>
        <w:tc>
          <w:tcPr/>
          <w:p>
            <w:pPr>
              <w:pStyle w:val="Compact"/>
              <w:jc w:val="left"/>
            </w:pPr>
            <w:r>
              <w:rPr>
                <w:sz w:val="17"/>
              </w:rPr>
              <w:t xml:space="preserve">5y</w:t>
            </w:r>
          </w:p>
        </w:tc>
        <w:tc>
          <w:tcPr/>
          <w:p>
            <w:pPr>
              <w:pStyle w:val="Compact"/>
              <w:jc w:val="right"/>
            </w:pPr>
            <w:r>
              <w:rPr>
                <w:sz w:val="17"/>
              </w:rPr>
              <w:t xml:space="preserve">40</w:t>
            </w:r>
          </w:p>
        </w:tc>
        <w:tc>
          <w:tcPr/>
          <w:p>
            <w:pPr>
              <w:pStyle w:val="Compact"/>
              <w:jc w:val="left"/>
            </w:pPr>
            <w:r>
              <w:rPr>
                <w:sz w:val="17"/>
              </w:rPr>
              <w:t xml:space="preserve">receive fixed</w:t>
            </w:r>
          </w:p>
        </w:tc>
        <w:tc>
          <w:tcPr/>
          <w:p>
            <w:pPr>
              <w:pStyle w:val="Compact"/>
              <w:jc w:val="right"/>
            </w:pPr>
            <w:r>
              <w:rPr>
                <w:sz w:val="17"/>
              </w:rPr>
              <w:t xml:space="preserve">-1,042,408</w:t>
            </w:r>
          </w:p>
        </w:tc>
      </w:tr>
      <w:tr>
        <w:tc>
          <w:tcPr/>
          <w:p>
            <w:pPr>
              <w:pStyle w:val="Compact"/>
              <w:jc w:val="left"/>
            </w:pPr>
            <w:r>
              <w:rPr>
                <w:sz w:val="17"/>
              </w:rPr>
              <w:t xml:space="preserve">IRS_USD_10Y</w:t>
            </w:r>
          </w:p>
        </w:tc>
        <w:tc>
          <w:tcPr/>
          <w:p>
            <w:pPr>
              <w:pStyle w:val="Compact"/>
              <w:jc w:val="left"/>
            </w:pPr>
            <w:r>
              <w:rPr>
                <w:sz w:val="17"/>
              </w:rPr>
              <w:t xml:space="preserve">IRS</w:t>
            </w:r>
          </w:p>
        </w:tc>
        <w:tc>
          <w:tcPr/>
          <w:p>
            <w:pPr>
              <w:pStyle w:val="Compact"/>
              <w:jc w:val="left"/>
            </w:pPr>
            <w:r>
              <w:rPr>
                <w:sz w:val="17"/>
              </w:rPr>
              <w:t xml:space="preserve">USD</w:t>
            </w:r>
          </w:p>
        </w:tc>
        <w:tc>
          <w:tcPr/>
          <w:p>
            <w:pPr>
              <w:pStyle w:val="Compact"/>
              <w:jc w:val="left"/>
            </w:pPr>
            <w:r>
              <w:rPr>
                <w:sz w:val="17"/>
              </w:rPr>
              <w:t xml:space="preserve">10y</w:t>
            </w:r>
          </w:p>
        </w:tc>
        <w:tc>
          <w:tcPr/>
          <w:p>
            <w:pPr>
              <w:pStyle w:val="Compact"/>
              <w:jc w:val="right"/>
            </w:pPr>
            <w:r>
              <w:rPr>
                <w:sz w:val="17"/>
              </w:rPr>
              <w:t xml:space="preserve">25</w:t>
            </w:r>
          </w:p>
        </w:tc>
        <w:tc>
          <w:tcPr/>
          <w:p>
            <w:pPr>
              <w:pStyle w:val="Compact"/>
              <w:jc w:val="left"/>
            </w:pPr>
            <w:r>
              <w:rPr>
                <w:sz w:val="17"/>
              </w:rPr>
              <w:t xml:space="preserve">pay fixed</w:t>
            </w:r>
          </w:p>
        </w:tc>
        <w:tc>
          <w:tcPr/>
          <w:p>
            <w:pPr>
              <w:pStyle w:val="Compact"/>
              <w:jc w:val="right"/>
            </w:pPr>
            <w:r>
              <w:rPr>
                <w:sz w:val="17"/>
              </w:rPr>
              <w:t xml:space="preserve">904,651</w:t>
            </w:r>
          </w:p>
        </w:tc>
      </w:tr>
      <w:tr>
        <w:tc>
          <w:tcPr/>
          <w:p>
            <w:pPr>
              <w:pStyle w:val="Compact"/>
              <w:jc w:val="left"/>
            </w:pPr>
            <w:r>
              <w:rPr>
                <w:sz w:val="17"/>
              </w:rPr>
              <w:t xml:space="preserve">IRS_USD_30Y</w:t>
            </w:r>
          </w:p>
        </w:tc>
        <w:tc>
          <w:tcPr/>
          <w:p>
            <w:pPr>
              <w:pStyle w:val="Compact"/>
              <w:jc w:val="left"/>
            </w:pPr>
            <w:r>
              <w:rPr>
                <w:sz w:val="17"/>
              </w:rPr>
              <w:t xml:space="preserve">IRS</w:t>
            </w:r>
          </w:p>
        </w:tc>
        <w:tc>
          <w:tcPr/>
          <w:p>
            <w:pPr>
              <w:pStyle w:val="Compact"/>
              <w:jc w:val="left"/>
            </w:pPr>
            <w:r>
              <w:rPr>
                <w:sz w:val="17"/>
              </w:rPr>
              <w:t xml:space="preserve">USD</w:t>
            </w:r>
          </w:p>
        </w:tc>
        <w:tc>
          <w:tcPr/>
          <w:p>
            <w:pPr>
              <w:pStyle w:val="Compact"/>
              <w:jc w:val="left"/>
            </w:pPr>
            <w:r>
              <w:rPr>
                <w:sz w:val="17"/>
              </w:rPr>
              <w:t xml:space="preserve">30y</w:t>
            </w:r>
          </w:p>
        </w:tc>
        <w:tc>
          <w:tcPr/>
          <w:p>
            <w:pPr>
              <w:pStyle w:val="Compact"/>
              <w:jc w:val="right"/>
            </w:pPr>
            <w:r>
              <w:rPr>
                <w:sz w:val="17"/>
              </w:rPr>
              <w:t xml:space="preserve">10</w:t>
            </w:r>
          </w:p>
        </w:tc>
        <w:tc>
          <w:tcPr/>
          <w:p>
            <w:pPr>
              <w:pStyle w:val="Compact"/>
              <w:jc w:val="left"/>
            </w:pPr>
            <w:r>
              <w:rPr>
                <w:sz w:val="17"/>
              </w:rPr>
              <w:t xml:space="preserve">receive fixed</w:t>
            </w:r>
          </w:p>
        </w:tc>
        <w:tc>
          <w:tcPr/>
          <w:p>
            <w:pPr>
              <w:pStyle w:val="Compact"/>
              <w:jc w:val="right"/>
            </w:pPr>
            <w:r>
              <w:rPr>
                <w:sz w:val="17"/>
              </w:rPr>
              <w:t xml:space="preserve">-539,620</w:t>
            </w:r>
          </w:p>
        </w:tc>
      </w:tr>
      <w:tr>
        <w:tc>
          <w:tcPr/>
          <w:p>
            <w:pPr>
              <w:pStyle w:val="Compact"/>
              <w:jc w:val="left"/>
            </w:pPr>
            <w:r>
              <w:rPr>
                <w:sz w:val="17"/>
              </w:rPr>
              <w:t xml:space="preserve">IRS_EUR_5Y</w:t>
            </w:r>
          </w:p>
        </w:tc>
        <w:tc>
          <w:tcPr/>
          <w:p>
            <w:pPr>
              <w:pStyle w:val="Compact"/>
              <w:jc w:val="left"/>
            </w:pPr>
            <w:r>
              <w:rPr>
                <w:sz w:val="17"/>
              </w:rPr>
              <w:t xml:space="preserve">IRS</w:t>
            </w:r>
          </w:p>
        </w:tc>
        <w:tc>
          <w:tcPr/>
          <w:p>
            <w:pPr>
              <w:pStyle w:val="Compact"/>
              <w:jc w:val="left"/>
            </w:pPr>
            <w:r>
              <w:rPr>
                <w:sz w:val="17"/>
              </w:rPr>
              <w:t xml:space="preserve">EUR</w:t>
            </w:r>
          </w:p>
        </w:tc>
        <w:tc>
          <w:tcPr/>
          <w:p>
            <w:pPr>
              <w:pStyle w:val="Compact"/>
              <w:jc w:val="left"/>
            </w:pPr>
            <w:r>
              <w:rPr>
                <w:sz w:val="17"/>
              </w:rPr>
              <w:t xml:space="preserve">5y</w:t>
            </w:r>
          </w:p>
        </w:tc>
        <w:tc>
          <w:tcPr/>
          <w:p>
            <w:pPr>
              <w:pStyle w:val="Compact"/>
              <w:jc w:val="right"/>
            </w:pPr>
            <w:r>
              <w:rPr>
                <w:sz w:val="17"/>
              </w:rPr>
              <w:t xml:space="preserve">30</w:t>
            </w:r>
          </w:p>
        </w:tc>
        <w:tc>
          <w:tcPr/>
          <w:p>
            <w:pPr>
              <w:pStyle w:val="Compact"/>
              <w:jc w:val="left"/>
            </w:pPr>
            <w:r>
              <w:rPr>
                <w:sz w:val="17"/>
              </w:rPr>
              <w:t xml:space="preserve">pay fixed</w:t>
            </w:r>
          </w:p>
        </w:tc>
        <w:tc>
          <w:tcPr/>
          <w:p>
            <w:pPr>
              <w:pStyle w:val="Compact"/>
              <w:jc w:val="right"/>
            </w:pPr>
            <w:r>
              <w:rPr>
                <w:sz w:val="17"/>
              </w:rPr>
              <w:t xml:space="preserve">362,788</w:t>
            </w:r>
          </w:p>
        </w:tc>
      </w:tr>
      <w:tr>
        <w:tc>
          <w:tcPr/>
          <w:p>
            <w:pPr>
              <w:pStyle w:val="Compact"/>
              <w:jc w:val="left"/>
            </w:pPr>
            <w:r>
              <w:rPr>
                <w:sz w:val="17"/>
              </w:rPr>
              <w:t xml:space="preserve">IRS_EUR_10Y</w:t>
            </w:r>
          </w:p>
        </w:tc>
        <w:tc>
          <w:tcPr/>
          <w:p>
            <w:pPr>
              <w:pStyle w:val="Compact"/>
              <w:jc w:val="left"/>
            </w:pPr>
            <w:r>
              <w:rPr>
                <w:sz w:val="17"/>
              </w:rPr>
              <w:t xml:space="preserve">IRS</w:t>
            </w:r>
          </w:p>
        </w:tc>
        <w:tc>
          <w:tcPr/>
          <w:p>
            <w:pPr>
              <w:pStyle w:val="Compact"/>
              <w:jc w:val="left"/>
            </w:pPr>
            <w:r>
              <w:rPr>
                <w:sz w:val="17"/>
              </w:rPr>
              <w:t xml:space="preserve">EUR</w:t>
            </w:r>
          </w:p>
        </w:tc>
        <w:tc>
          <w:tcPr/>
          <w:p>
            <w:pPr>
              <w:pStyle w:val="Compact"/>
              <w:jc w:val="left"/>
            </w:pPr>
            <w:r>
              <w:rPr>
                <w:sz w:val="17"/>
              </w:rPr>
              <w:t xml:space="preserve">10y</w:t>
            </w:r>
          </w:p>
        </w:tc>
        <w:tc>
          <w:tcPr/>
          <w:p>
            <w:pPr>
              <w:pStyle w:val="Compact"/>
              <w:jc w:val="right"/>
            </w:pPr>
            <w:r>
              <w:rPr>
                <w:sz w:val="17"/>
              </w:rPr>
              <w:t xml:space="preserve">20</w:t>
            </w:r>
          </w:p>
        </w:tc>
        <w:tc>
          <w:tcPr/>
          <w:p>
            <w:pPr>
              <w:pStyle w:val="Compact"/>
              <w:jc w:val="left"/>
            </w:pPr>
            <w:r>
              <w:rPr>
                <w:sz w:val="17"/>
              </w:rPr>
              <w:t xml:space="preserve">receive fixed</w:t>
            </w:r>
          </w:p>
        </w:tc>
        <w:tc>
          <w:tcPr/>
          <w:p>
            <w:pPr>
              <w:pStyle w:val="Compact"/>
              <w:jc w:val="right"/>
            </w:pPr>
            <w:r>
              <w:rPr>
                <w:sz w:val="17"/>
              </w:rPr>
              <w:t xml:space="preserve">179,763</w:t>
            </w:r>
          </w:p>
        </w:tc>
      </w:tr>
      <w:tr>
        <w:tc>
          <w:tcPr/>
          <w:p>
            <w:pPr>
              <w:pStyle w:val="Compact"/>
              <w:jc w:val="left"/>
            </w:pPr>
            <w:r>
              <w:rPr>
                <w:sz w:val="17"/>
              </w:rPr>
              <w:t xml:space="preserve">IRS_GBP_7Y</w:t>
            </w:r>
          </w:p>
        </w:tc>
        <w:tc>
          <w:tcPr/>
          <w:p>
            <w:pPr>
              <w:pStyle w:val="Compact"/>
              <w:jc w:val="left"/>
            </w:pPr>
            <w:r>
              <w:rPr>
                <w:sz w:val="17"/>
              </w:rPr>
              <w:t xml:space="preserve">IRS</w:t>
            </w:r>
          </w:p>
        </w:tc>
        <w:tc>
          <w:tcPr/>
          <w:p>
            <w:pPr>
              <w:pStyle w:val="Compact"/>
              <w:jc w:val="left"/>
            </w:pPr>
            <w:r>
              <w:rPr>
                <w:sz w:val="17"/>
              </w:rPr>
              <w:t xml:space="preserve">GBP</w:t>
            </w:r>
          </w:p>
        </w:tc>
        <w:tc>
          <w:tcPr/>
          <w:p>
            <w:pPr>
              <w:pStyle w:val="Compact"/>
              <w:jc w:val="left"/>
            </w:pPr>
            <w:r>
              <w:rPr>
                <w:sz w:val="17"/>
              </w:rPr>
              <w:t xml:space="preserve">7y</w:t>
            </w:r>
          </w:p>
        </w:tc>
        <w:tc>
          <w:tcPr/>
          <w:p>
            <w:pPr>
              <w:pStyle w:val="Compact"/>
              <w:jc w:val="right"/>
            </w:pPr>
            <w:r>
              <w:rPr>
                <w:sz w:val="17"/>
              </w:rPr>
              <w:t xml:space="preserve">25</w:t>
            </w:r>
          </w:p>
        </w:tc>
        <w:tc>
          <w:tcPr/>
          <w:p>
            <w:pPr>
              <w:pStyle w:val="Compact"/>
              <w:jc w:val="left"/>
            </w:pPr>
            <w:r>
              <w:rPr>
                <w:sz w:val="17"/>
              </w:rPr>
              <w:t xml:space="preserve">pay fixed</w:t>
            </w:r>
          </w:p>
        </w:tc>
        <w:tc>
          <w:tcPr/>
          <w:p>
            <w:pPr>
              <w:pStyle w:val="Compact"/>
              <w:jc w:val="right"/>
            </w:pPr>
            <w:r>
              <w:rPr>
                <w:sz w:val="17"/>
              </w:rPr>
              <w:t xml:space="preserve">152,324</w:t>
            </w:r>
          </w:p>
        </w:tc>
      </w:tr>
      <w:tr>
        <w:tc>
          <w:tcPr/>
          <w:p>
            <w:pPr>
              <w:pStyle w:val="Compact"/>
              <w:jc w:val="left"/>
            </w:pPr>
            <w:r>
              <w:rPr>
                <w:sz w:val="17"/>
              </w:rPr>
              <w:t xml:space="preserve">IRS_JPY_10Y</w:t>
            </w:r>
          </w:p>
        </w:tc>
        <w:tc>
          <w:tcPr/>
          <w:p>
            <w:pPr>
              <w:pStyle w:val="Compact"/>
              <w:jc w:val="left"/>
            </w:pPr>
            <w:r>
              <w:rPr>
                <w:sz w:val="17"/>
              </w:rPr>
              <w:t xml:space="preserve">IRS</w:t>
            </w:r>
          </w:p>
        </w:tc>
        <w:tc>
          <w:tcPr/>
          <w:p>
            <w:pPr>
              <w:pStyle w:val="Compact"/>
              <w:jc w:val="left"/>
            </w:pPr>
            <w:r>
              <w:rPr>
                <w:sz w:val="17"/>
              </w:rPr>
              <w:t xml:space="preserve">JPY</w:t>
            </w:r>
          </w:p>
        </w:tc>
        <w:tc>
          <w:tcPr/>
          <w:p>
            <w:pPr>
              <w:pStyle w:val="Compact"/>
              <w:jc w:val="left"/>
            </w:pPr>
            <w:r>
              <w:rPr>
                <w:sz w:val="17"/>
              </w:rPr>
              <w:t xml:space="preserve">10y</w:t>
            </w:r>
          </w:p>
        </w:tc>
        <w:tc>
          <w:tcPr/>
          <w:p>
            <w:pPr>
              <w:pStyle w:val="Compact"/>
              <w:jc w:val="right"/>
            </w:pPr>
            <w:r>
              <w:rPr>
                <w:sz w:val="17"/>
              </w:rPr>
              <w:t xml:space="preserve">4,000</w:t>
            </w:r>
          </w:p>
        </w:tc>
        <w:tc>
          <w:tcPr/>
          <w:p>
            <w:pPr>
              <w:pStyle w:val="Compact"/>
              <w:jc w:val="left"/>
            </w:pPr>
            <w:r>
              <w:rPr>
                <w:sz w:val="17"/>
              </w:rPr>
              <w:t xml:space="preserve">receive fixed</w:t>
            </w:r>
          </w:p>
        </w:tc>
        <w:tc>
          <w:tcPr/>
          <w:p>
            <w:pPr>
              <w:pStyle w:val="Compact"/>
              <w:jc w:val="right"/>
            </w:pPr>
            <w:r>
              <w:rPr>
                <w:sz w:val="17"/>
              </w:rPr>
              <w:t xml:space="preserve">-865,234</w:t>
            </w:r>
          </w:p>
        </w:tc>
      </w:tr>
      <w:tr>
        <w:tc>
          <w:tcPr/>
          <w:p>
            <w:pPr>
              <w:pStyle w:val="Compact"/>
              <w:jc w:val="left"/>
            </w:pPr>
            <w:r>
              <w:rPr>
                <w:sz w:val="17"/>
              </w:rPr>
              <w:t xml:space="preserve">IRS_MXN_3Y</w:t>
            </w:r>
          </w:p>
        </w:tc>
        <w:tc>
          <w:tcPr/>
          <w:p>
            <w:pPr>
              <w:pStyle w:val="Compact"/>
              <w:jc w:val="left"/>
            </w:pPr>
            <w:r>
              <w:rPr>
                <w:sz w:val="17"/>
              </w:rPr>
              <w:t xml:space="preserve">IRS</w:t>
            </w:r>
          </w:p>
        </w:tc>
        <w:tc>
          <w:tcPr/>
          <w:p>
            <w:pPr>
              <w:pStyle w:val="Compact"/>
              <w:jc w:val="left"/>
            </w:pPr>
            <w:r>
              <w:rPr>
                <w:sz w:val="17"/>
              </w:rPr>
              <w:t xml:space="preserve">MXN</w:t>
            </w:r>
          </w:p>
        </w:tc>
        <w:tc>
          <w:tcPr/>
          <w:p>
            <w:pPr>
              <w:pStyle w:val="Compact"/>
              <w:jc w:val="left"/>
            </w:pPr>
            <w:r>
              <w:rPr>
                <w:sz w:val="17"/>
              </w:rPr>
              <w:t xml:space="preserve">3y</w:t>
            </w:r>
          </w:p>
        </w:tc>
        <w:tc>
          <w:tcPr/>
          <w:p>
            <w:pPr>
              <w:pStyle w:val="Compact"/>
              <w:jc w:val="right"/>
            </w:pPr>
            <w:r>
              <w:rPr>
                <w:sz w:val="17"/>
              </w:rPr>
              <w:t xml:space="preserve">500</w:t>
            </w:r>
          </w:p>
        </w:tc>
        <w:tc>
          <w:tcPr/>
          <w:p>
            <w:pPr>
              <w:pStyle w:val="Compact"/>
              <w:jc w:val="left"/>
            </w:pPr>
            <w:r>
              <w:rPr>
                <w:sz w:val="17"/>
              </w:rPr>
              <w:t xml:space="preserve">pay fixed</w:t>
            </w:r>
          </w:p>
        </w:tc>
        <w:tc>
          <w:tcPr/>
          <w:p>
            <w:pPr>
              <w:pStyle w:val="Compact"/>
              <w:jc w:val="right"/>
            </w:pPr>
            <w:r>
              <w:rPr>
                <w:sz w:val="17"/>
              </w:rPr>
              <w:t xml:space="preserve">1,891,311</w:t>
            </w:r>
          </w:p>
        </w:tc>
      </w:tr>
      <w:tr>
        <w:tc>
          <w:tcPr/>
          <w:p>
            <w:pPr>
              <w:pStyle w:val="Compact"/>
              <w:jc w:val="left"/>
            </w:pPr>
            <w:r>
              <w:rPr>
                <w:sz w:val="17"/>
              </w:rPr>
              <w:t xml:space="preserve">SWPT_USD_1Yx5Y</w:t>
            </w:r>
          </w:p>
        </w:tc>
        <w:tc>
          <w:tcPr/>
          <w:p>
            <w:pPr>
              <w:pStyle w:val="Compact"/>
              <w:jc w:val="left"/>
            </w:pPr>
            <w:r>
              <w:rPr>
                <w:sz w:val="17"/>
              </w:rPr>
              <w:t xml:space="preserve">SWAPTION</w:t>
            </w:r>
          </w:p>
        </w:tc>
        <w:tc>
          <w:tcPr/>
          <w:p>
            <w:pPr>
              <w:pStyle w:val="Compact"/>
              <w:jc w:val="left"/>
            </w:pPr>
            <w:r>
              <w:rPr>
                <w:sz w:val="17"/>
              </w:rPr>
              <w:t xml:space="preserve">USD</w:t>
            </w:r>
          </w:p>
        </w:tc>
        <w:tc>
          <w:tcPr/>
          <w:p>
            <w:pPr>
              <w:pStyle w:val="Compact"/>
              <w:jc w:val="left"/>
            </w:pPr>
            <w:r>
              <w:rPr>
                <w:sz w:val="17"/>
              </w:rPr>
              <w:t xml:space="preserve">payer 1y x 5y</w:t>
            </w:r>
          </w:p>
        </w:tc>
        <w:tc>
          <w:tcPr/>
          <w:p>
            <w:pPr>
              <w:pStyle w:val="Compact"/>
              <w:jc w:val="right"/>
            </w:pPr>
            <w:r>
              <w:rPr>
                <w:sz w:val="17"/>
              </w:rPr>
              <w:t xml:space="preserve">50</w:t>
            </w:r>
          </w:p>
        </w:tc>
        <w:tc>
          <w:tcPr/>
          <w:p>
            <w:pPr>
              <w:pStyle w:val="Compact"/>
              <w:jc w:val="left"/>
            </w:pPr>
            <w:r>
              <w:rPr>
                <w:sz w:val="17"/>
              </w:rPr>
              <w:t xml:space="preserve">long</w:t>
            </w:r>
          </w:p>
        </w:tc>
        <w:tc>
          <w:tcPr/>
          <w:p>
            <w:pPr>
              <w:pStyle w:val="Compact"/>
              <w:jc w:val="right"/>
            </w:pPr>
            <w:r>
              <w:rPr>
                <w:sz w:val="17"/>
              </w:rPr>
              <w:t xml:space="preserve">1,213,662</w:t>
            </w:r>
          </w:p>
        </w:tc>
      </w:tr>
      <w:tr>
        <w:tc>
          <w:tcPr/>
          <w:p>
            <w:pPr>
              <w:pStyle w:val="Compact"/>
              <w:jc w:val="left"/>
            </w:pPr>
            <w:r>
              <w:rPr>
                <w:sz w:val="17"/>
              </w:rPr>
              <w:t xml:space="preserve">SWPT_EUR_4Yx10Y</w:t>
            </w:r>
          </w:p>
        </w:tc>
        <w:tc>
          <w:tcPr/>
          <w:p>
            <w:pPr>
              <w:pStyle w:val="Compact"/>
              <w:jc w:val="left"/>
            </w:pPr>
            <w:r>
              <w:rPr>
                <w:sz w:val="17"/>
              </w:rPr>
              <w:t xml:space="preserve">SWAPTION</w:t>
            </w:r>
          </w:p>
        </w:tc>
        <w:tc>
          <w:tcPr/>
          <w:p>
            <w:pPr>
              <w:pStyle w:val="Compact"/>
              <w:jc w:val="left"/>
            </w:pPr>
            <w:r>
              <w:rPr>
                <w:sz w:val="17"/>
              </w:rPr>
              <w:t xml:space="preserve">EUR</w:t>
            </w:r>
          </w:p>
        </w:tc>
        <w:tc>
          <w:tcPr/>
          <w:p>
            <w:pPr>
              <w:pStyle w:val="Compact"/>
              <w:jc w:val="left"/>
            </w:pPr>
            <w:r>
              <w:rPr>
                <w:sz w:val="17"/>
              </w:rPr>
              <w:t xml:space="preserve">receiver 4y x 10y</w:t>
            </w:r>
          </w:p>
        </w:tc>
        <w:tc>
          <w:tcPr/>
          <w:p>
            <w:pPr>
              <w:pStyle w:val="Compact"/>
              <w:jc w:val="right"/>
            </w:pPr>
            <w:r>
              <w:rPr>
                <w:sz w:val="17"/>
              </w:rPr>
              <w:t xml:space="preserve">30</w:t>
            </w:r>
          </w:p>
        </w:tc>
        <w:tc>
          <w:tcPr/>
          <w:p>
            <w:pPr>
              <w:pStyle w:val="Compact"/>
              <w:jc w:val="left"/>
            </w:pPr>
            <w:r>
              <w:rPr>
                <w:sz w:val="17"/>
              </w:rPr>
              <w:t xml:space="preserve">long</w:t>
            </w:r>
          </w:p>
        </w:tc>
        <w:tc>
          <w:tcPr/>
          <w:p>
            <w:pPr>
              <w:pStyle w:val="Compact"/>
              <w:jc w:val="right"/>
            </w:pPr>
            <w:r>
              <w:rPr>
                <w:sz w:val="17"/>
              </w:rPr>
              <w:t xml:space="preserve">2,062,560</w:t>
            </w:r>
          </w:p>
        </w:tc>
      </w:tr>
      <w:tr>
        <w:tc>
          <w:tcPr/>
          <w:p>
            <w:pPr>
              <w:pStyle w:val="Compact"/>
              <w:jc w:val="left"/>
            </w:pPr>
            <w:r>
              <w:rPr>
                <w:sz w:val="17"/>
              </w:rPr>
              <w:t xml:space="preserve">SWPT_GBP_5Yx5Y</w:t>
            </w:r>
          </w:p>
        </w:tc>
        <w:tc>
          <w:tcPr/>
          <w:p>
            <w:pPr>
              <w:pStyle w:val="Compact"/>
              <w:jc w:val="left"/>
            </w:pPr>
            <w:r>
              <w:rPr>
                <w:sz w:val="17"/>
              </w:rPr>
              <w:t xml:space="preserve">SWAPTION</w:t>
            </w:r>
          </w:p>
        </w:tc>
        <w:tc>
          <w:tcPr/>
          <w:p>
            <w:pPr>
              <w:pStyle w:val="Compact"/>
              <w:jc w:val="left"/>
            </w:pPr>
            <w:r>
              <w:rPr>
                <w:sz w:val="17"/>
              </w:rPr>
              <w:t xml:space="preserve">GBP</w:t>
            </w:r>
          </w:p>
        </w:tc>
        <w:tc>
          <w:tcPr/>
          <w:p>
            <w:pPr>
              <w:pStyle w:val="Compact"/>
              <w:jc w:val="left"/>
            </w:pPr>
            <w:r>
              <w:rPr>
                <w:sz w:val="17"/>
              </w:rPr>
              <w:t xml:space="preserve">payer 5y x 5y</w:t>
            </w:r>
          </w:p>
        </w:tc>
        <w:tc>
          <w:tcPr/>
          <w:p>
            <w:pPr>
              <w:pStyle w:val="Compact"/>
              <w:jc w:val="right"/>
            </w:pPr>
            <w:r>
              <w:rPr>
                <w:sz w:val="17"/>
              </w:rPr>
              <w:t xml:space="preserve">25</w:t>
            </w:r>
          </w:p>
        </w:tc>
        <w:tc>
          <w:tcPr/>
          <w:p>
            <w:pPr>
              <w:pStyle w:val="Compact"/>
              <w:jc w:val="left"/>
            </w:pPr>
            <w:r>
              <w:rPr>
                <w:sz w:val="17"/>
              </w:rPr>
              <w:t xml:space="preserve">short</w:t>
            </w:r>
          </w:p>
        </w:tc>
        <w:tc>
          <w:tcPr/>
          <w:p>
            <w:pPr>
              <w:pStyle w:val="Compact"/>
              <w:jc w:val="right"/>
            </w:pPr>
            <w:r>
              <w:rPr>
                <w:sz w:val="17"/>
              </w:rPr>
              <w:t xml:space="preserve">-1,037,840</w:t>
            </w:r>
          </w:p>
        </w:tc>
      </w:tr>
      <w:tr>
        <w:tc>
          <w:tcPr/>
          <w:p>
            <w:pPr>
              <w:pStyle w:val="Compact"/>
              <w:jc w:val="left"/>
            </w:pPr>
            <w:r>
              <w:rPr>
                <w:sz w:val="17"/>
              </w:rPr>
              <w:t xml:space="preserve">FXF_EURUSD_6M</w:t>
            </w:r>
          </w:p>
        </w:tc>
        <w:tc>
          <w:tcPr/>
          <w:p>
            <w:pPr>
              <w:pStyle w:val="Compact"/>
              <w:jc w:val="left"/>
            </w:pPr>
            <w:r>
              <w:rPr>
                <w:sz w:val="17"/>
              </w:rPr>
              <w:t xml:space="preserve">FXFWD</w:t>
            </w:r>
          </w:p>
        </w:tc>
        <w:tc>
          <w:tcPr/>
          <w:p>
            <w:pPr>
              <w:pStyle w:val="Compact"/>
              <w:jc w:val="left"/>
            </w:pPr>
            <w:r>
              <w:rPr>
                <w:sz w:val="17"/>
              </w:rPr>
              <w:t xml:space="preserve">EUR/USD</w:t>
            </w:r>
          </w:p>
        </w:tc>
        <w:tc>
          <w:tcPr/>
          <w:p>
            <w:pPr>
              <w:pStyle w:val="Compact"/>
              <w:jc w:val="left"/>
            </w:pPr>
            <w:r>
              <w:rPr>
                <w:sz w:val="17"/>
              </w:rPr>
              <w:t xml:space="preserve">0.5y</w:t>
            </w:r>
          </w:p>
        </w:tc>
        <w:tc>
          <w:tcPr/>
          <w:p>
            <w:pPr>
              <w:pStyle w:val="Compact"/>
              <w:jc w:val="right"/>
            </w:pPr>
            <w:r>
              <w:rPr>
                <w:sz w:val="17"/>
              </w:rPr>
              <w:t xml:space="preserve">25</w:t>
            </w:r>
          </w:p>
        </w:tc>
        <w:tc>
          <w:tcPr/>
          <w:p>
            <w:pPr>
              <w:pStyle w:val="Compact"/>
              <w:jc w:val="left"/>
            </w:pPr>
            <w:r>
              <w:rPr>
                <w:sz w:val="17"/>
              </w:rPr>
              <w:t xml:space="preserve">buy base</w:t>
            </w:r>
          </w:p>
        </w:tc>
        <w:tc>
          <w:tcPr/>
          <w:p>
            <w:pPr>
              <w:pStyle w:val="Compact"/>
              <w:jc w:val="right"/>
            </w:pPr>
            <w:r>
              <w:rPr>
                <w:sz w:val="17"/>
              </w:rPr>
              <w:t xml:space="preserve">3,371,587</w:t>
            </w:r>
          </w:p>
        </w:tc>
      </w:tr>
      <w:tr>
        <w:tc>
          <w:tcPr/>
          <w:p>
            <w:pPr>
              <w:pStyle w:val="Compact"/>
              <w:jc w:val="left"/>
            </w:pPr>
            <w:r>
              <w:rPr>
                <w:sz w:val="17"/>
              </w:rPr>
              <w:t xml:space="preserve">FXF_GBPUSD_1Y</w:t>
            </w:r>
          </w:p>
        </w:tc>
        <w:tc>
          <w:tcPr/>
          <w:p>
            <w:pPr>
              <w:pStyle w:val="Compact"/>
              <w:jc w:val="left"/>
            </w:pPr>
            <w:r>
              <w:rPr>
                <w:sz w:val="17"/>
              </w:rPr>
              <w:t xml:space="preserve">FXFWD</w:t>
            </w:r>
          </w:p>
        </w:tc>
        <w:tc>
          <w:tcPr/>
          <w:p>
            <w:pPr>
              <w:pStyle w:val="Compact"/>
              <w:jc w:val="left"/>
            </w:pPr>
            <w:r>
              <w:rPr>
                <w:sz w:val="17"/>
              </w:rPr>
              <w:t xml:space="preserve">GBP/USD</w:t>
            </w:r>
          </w:p>
        </w:tc>
        <w:tc>
          <w:tcPr/>
          <w:p>
            <w:pPr>
              <w:pStyle w:val="Compact"/>
              <w:jc w:val="left"/>
            </w:pPr>
            <w:r>
              <w:rPr>
                <w:sz w:val="17"/>
              </w:rPr>
              <w:t xml:space="preserve">1y</w:t>
            </w:r>
          </w:p>
        </w:tc>
        <w:tc>
          <w:tcPr/>
          <w:p>
            <w:pPr>
              <w:pStyle w:val="Compact"/>
              <w:jc w:val="right"/>
            </w:pPr>
            <w:r>
              <w:rPr>
                <w:sz w:val="17"/>
              </w:rPr>
              <w:t xml:space="preserve">15</w:t>
            </w:r>
          </w:p>
        </w:tc>
        <w:tc>
          <w:tcPr/>
          <w:p>
            <w:pPr>
              <w:pStyle w:val="Compact"/>
              <w:jc w:val="left"/>
            </w:pPr>
            <w:r>
              <w:rPr>
                <w:sz w:val="17"/>
              </w:rPr>
              <w:t xml:space="preserve">sell base</w:t>
            </w:r>
          </w:p>
        </w:tc>
        <w:tc>
          <w:tcPr/>
          <w:p>
            <w:pPr>
              <w:pStyle w:val="Compact"/>
              <w:jc w:val="right"/>
            </w:pPr>
            <w:r>
              <w:rPr>
                <w:sz w:val="17"/>
              </w:rPr>
              <w:t xml:space="preserve">-299,975</w:t>
            </w:r>
          </w:p>
        </w:tc>
      </w:tr>
      <w:tr>
        <w:tc>
          <w:tcPr/>
          <w:p>
            <w:pPr>
              <w:pStyle w:val="Compact"/>
              <w:jc w:val="left"/>
            </w:pPr>
            <w:r>
              <w:rPr>
                <w:sz w:val="17"/>
              </w:rPr>
              <w:t xml:space="preserve">FXF_USDJPY_3M</w:t>
            </w:r>
          </w:p>
        </w:tc>
        <w:tc>
          <w:tcPr/>
          <w:p>
            <w:pPr>
              <w:pStyle w:val="Compact"/>
              <w:jc w:val="left"/>
            </w:pPr>
            <w:r>
              <w:rPr>
                <w:sz w:val="17"/>
              </w:rPr>
              <w:t xml:space="preserve">FXFWD</w:t>
            </w:r>
          </w:p>
        </w:tc>
        <w:tc>
          <w:tcPr/>
          <w:p>
            <w:pPr>
              <w:pStyle w:val="Compact"/>
              <w:jc w:val="left"/>
            </w:pPr>
            <w:r>
              <w:rPr>
                <w:sz w:val="17"/>
              </w:rPr>
              <w:t xml:space="preserve">USD/JPY</w:t>
            </w:r>
          </w:p>
        </w:tc>
        <w:tc>
          <w:tcPr/>
          <w:p>
            <w:pPr>
              <w:pStyle w:val="Compact"/>
              <w:jc w:val="left"/>
            </w:pPr>
            <w:r>
              <w:rPr>
                <w:sz w:val="17"/>
              </w:rPr>
              <w:t xml:space="preserve">0.25y</w:t>
            </w:r>
          </w:p>
        </w:tc>
        <w:tc>
          <w:tcPr/>
          <w:p>
            <w:pPr>
              <w:pStyle w:val="Compact"/>
              <w:jc w:val="right"/>
            </w:pPr>
            <w:r>
              <w:rPr>
                <w:sz w:val="17"/>
              </w:rPr>
              <w:t xml:space="preserve">20</w:t>
            </w:r>
          </w:p>
        </w:tc>
        <w:tc>
          <w:tcPr/>
          <w:p>
            <w:pPr>
              <w:pStyle w:val="Compact"/>
              <w:jc w:val="left"/>
            </w:pPr>
            <w:r>
              <w:rPr>
                <w:sz w:val="17"/>
              </w:rPr>
              <w:t xml:space="preserve">buy base</w:t>
            </w:r>
          </w:p>
        </w:tc>
        <w:tc>
          <w:tcPr/>
          <w:p>
            <w:pPr>
              <w:pStyle w:val="Compact"/>
              <w:jc w:val="right"/>
            </w:pPr>
            <w:r>
              <w:rPr>
                <w:sz w:val="17"/>
              </w:rPr>
              <w:t xml:space="preserve">-250,225</w:t>
            </w:r>
          </w:p>
        </w:tc>
      </w:tr>
      <w:tr>
        <w:tc>
          <w:tcPr/>
          <w:p>
            <w:pPr>
              <w:pStyle w:val="Compact"/>
              <w:jc w:val="left"/>
            </w:pPr>
            <w:r>
              <w:rPr>
                <w:sz w:val="17"/>
              </w:rPr>
              <w:t xml:space="preserve">FXF_USDMXN_6M</w:t>
            </w:r>
          </w:p>
        </w:tc>
        <w:tc>
          <w:tcPr/>
          <w:p>
            <w:pPr>
              <w:pStyle w:val="Compact"/>
              <w:jc w:val="left"/>
            </w:pPr>
            <w:r>
              <w:rPr>
                <w:sz w:val="17"/>
              </w:rPr>
              <w:t xml:space="preserve">FXFWD</w:t>
            </w:r>
          </w:p>
        </w:tc>
        <w:tc>
          <w:tcPr/>
          <w:p>
            <w:pPr>
              <w:pStyle w:val="Compact"/>
              <w:jc w:val="left"/>
            </w:pPr>
            <w:r>
              <w:rPr>
                <w:sz w:val="17"/>
              </w:rPr>
              <w:t xml:space="preserve">USD/MXN</w:t>
            </w:r>
          </w:p>
        </w:tc>
        <w:tc>
          <w:tcPr/>
          <w:p>
            <w:pPr>
              <w:pStyle w:val="Compact"/>
              <w:jc w:val="left"/>
            </w:pPr>
            <w:r>
              <w:rPr>
                <w:sz w:val="17"/>
              </w:rPr>
              <w:t xml:space="preserve">0.5y</w:t>
            </w:r>
          </w:p>
        </w:tc>
        <w:tc>
          <w:tcPr/>
          <w:p>
            <w:pPr>
              <w:pStyle w:val="Compact"/>
              <w:jc w:val="right"/>
            </w:pPr>
            <w:r>
              <w:rPr>
                <w:sz w:val="17"/>
              </w:rPr>
              <w:t xml:space="preserve">10</w:t>
            </w:r>
          </w:p>
        </w:tc>
        <w:tc>
          <w:tcPr/>
          <w:p>
            <w:pPr>
              <w:pStyle w:val="Compact"/>
              <w:jc w:val="left"/>
            </w:pPr>
            <w:r>
              <w:rPr>
                <w:sz w:val="17"/>
              </w:rPr>
              <w:t xml:space="preserve">sell base</w:t>
            </w:r>
          </w:p>
        </w:tc>
        <w:tc>
          <w:tcPr/>
          <w:p>
            <w:pPr>
              <w:pStyle w:val="Compact"/>
              <w:jc w:val="right"/>
            </w:pPr>
            <w:r>
              <w:rPr>
                <w:sz w:val="17"/>
              </w:rPr>
              <w:t xml:space="preserve">918,421</w:t>
            </w:r>
          </w:p>
        </w:tc>
      </w:tr>
      <w:tr>
        <w:tc>
          <w:tcPr/>
          <w:p>
            <w:pPr>
              <w:pStyle w:val="Compact"/>
              <w:jc w:val="left"/>
            </w:pPr>
            <w:r>
              <w:rPr>
                <w:sz w:val="17"/>
              </w:rPr>
              <w:t xml:space="preserve">FXO_EURUSD_C3M</w:t>
            </w:r>
          </w:p>
        </w:tc>
        <w:tc>
          <w:tcPr/>
          <w:p>
            <w:pPr>
              <w:pStyle w:val="Compact"/>
              <w:jc w:val="left"/>
            </w:pPr>
            <w:r>
              <w:rPr>
                <w:sz w:val="17"/>
              </w:rPr>
              <w:t xml:space="preserve">FXOPT</w:t>
            </w:r>
          </w:p>
        </w:tc>
        <w:tc>
          <w:tcPr/>
          <w:p>
            <w:pPr>
              <w:pStyle w:val="Compact"/>
              <w:jc w:val="left"/>
            </w:pPr>
            <w:r>
              <w:rPr>
                <w:sz w:val="17"/>
              </w:rPr>
              <w:t xml:space="preserve">EUR/USD</w:t>
            </w:r>
          </w:p>
        </w:tc>
        <w:tc>
          <w:tcPr/>
          <w:p>
            <w:pPr>
              <w:pStyle w:val="Compact"/>
              <w:jc w:val="left"/>
            </w:pPr>
            <w:r>
              <w:rPr>
                <w:sz w:val="17"/>
              </w:rPr>
              <w:t xml:space="preserve">call 0.25y</w:t>
            </w:r>
          </w:p>
        </w:tc>
        <w:tc>
          <w:tcPr/>
          <w:p>
            <w:pPr>
              <w:pStyle w:val="Compact"/>
              <w:jc w:val="right"/>
            </w:pPr>
            <w:r>
              <w:rPr>
                <w:sz w:val="17"/>
              </w:rPr>
              <w:t xml:space="preserve">20</w:t>
            </w:r>
          </w:p>
        </w:tc>
        <w:tc>
          <w:tcPr/>
          <w:p>
            <w:pPr>
              <w:pStyle w:val="Compact"/>
              <w:jc w:val="left"/>
            </w:pPr>
            <w:r>
              <w:rPr>
                <w:sz w:val="17"/>
              </w:rPr>
              <w:t xml:space="preserve">long</w:t>
            </w:r>
          </w:p>
        </w:tc>
        <w:tc>
          <w:tcPr/>
          <w:p>
            <w:pPr>
              <w:pStyle w:val="Compact"/>
              <w:jc w:val="right"/>
            </w:pPr>
            <w:r>
              <w:rPr>
                <w:sz w:val="17"/>
              </w:rPr>
              <w:t xml:space="preserve">2,572,584</w:t>
            </w:r>
          </w:p>
        </w:tc>
      </w:tr>
      <w:tr>
        <w:tc>
          <w:tcPr/>
          <w:p>
            <w:pPr>
              <w:pStyle w:val="Compact"/>
              <w:jc w:val="left"/>
            </w:pPr>
            <w:r>
              <w:rPr>
                <w:sz w:val="17"/>
              </w:rPr>
              <w:t xml:space="preserve">FXO_USDMXN_C1Y</w:t>
            </w:r>
          </w:p>
        </w:tc>
        <w:tc>
          <w:tcPr/>
          <w:p>
            <w:pPr>
              <w:pStyle w:val="Compact"/>
              <w:jc w:val="left"/>
            </w:pPr>
            <w:r>
              <w:rPr>
                <w:sz w:val="17"/>
              </w:rPr>
              <w:t xml:space="preserve">FXOPT</w:t>
            </w:r>
          </w:p>
        </w:tc>
        <w:tc>
          <w:tcPr/>
          <w:p>
            <w:pPr>
              <w:pStyle w:val="Compact"/>
              <w:jc w:val="left"/>
            </w:pPr>
            <w:r>
              <w:rPr>
                <w:sz w:val="17"/>
              </w:rPr>
              <w:t xml:space="preserve">USD/MXN</w:t>
            </w:r>
          </w:p>
        </w:tc>
        <w:tc>
          <w:tcPr/>
          <w:p>
            <w:pPr>
              <w:pStyle w:val="Compact"/>
              <w:jc w:val="left"/>
            </w:pPr>
            <w:r>
              <w:rPr>
                <w:sz w:val="17"/>
              </w:rPr>
              <w:t xml:space="preserve">call 1y</w:t>
            </w:r>
          </w:p>
        </w:tc>
        <w:tc>
          <w:tcPr/>
          <w:p>
            <w:pPr>
              <w:pStyle w:val="Compact"/>
              <w:jc w:val="right"/>
            </w:pPr>
            <w:r>
              <w:rPr>
                <w:sz w:val="17"/>
              </w:rPr>
              <w:t xml:space="preserve">10</w:t>
            </w:r>
          </w:p>
        </w:tc>
        <w:tc>
          <w:tcPr/>
          <w:p>
            <w:pPr>
              <w:pStyle w:val="Compact"/>
              <w:jc w:val="left"/>
            </w:pPr>
            <w:r>
              <w:rPr>
                <w:sz w:val="17"/>
              </w:rPr>
              <w:t xml:space="preserve">long</w:t>
            </w:r>
          </w:p>
        </w:tc>
        <w:tc>
          <w:tcPr/>
          <w:p>
            <w:pPr>
              <w:pStyle w:val="Compact"/>
              <w:jc w:val="right"/>
            </w:pPr>
            <w:r>
              <w:rPr>
                <w:sz w:val="17"/>
              </w:rPr>
              <w:t xml:space="preserve">187,279</w:t>
            </w:r>
          </w:p>
        </w:tc>
      </w:tr>
      <w:tr>
        <w:tc>
          <w:tcPr/>
          <w:p>
            <w:pPr>
              <w:pStyle w:val="Compact"/>
              <w:jc w:val="left"/>
            </w:pPr>
            <w:r>
              <w:rPr>
                <w:sz w:val="17"/>
              </w:rPr>
              <w:t xml:space="preserve">FXO_GBPUSD_STRADDLE_C</w:t>
            </w:r>
          </w:p>
        </w:tc>
        <w:tc>
          <w:tcPr/>
          <w:p>
            <w:pPr>
              <w:pStyle w:val="Compact"/>
              <w:jc w:val="left"/>
            </w:pPr>
            <w:r>
              <w:rPr>
                <w:sz w:val="17"/>
              </w:rPr>
              <w:t xml:space="preserve">FXOPT</w:t>
            </w:r>
          </w:p>
        </w:tc>
        <w:tc>
          <w:tcPr/>
          <w:p>
            <w:pPr>
              <w:pStyle w:val="Compact"/>
              <w:jc w:val="left"/>
            </w:pPr>
            <w:r>
              <w:rPr>
                <w:sz w:val="17"/>
              </w:rPr>
              <w:t xml:space="preserve">GBP/USD</w:t>
            </w:r>
          </w:p>
        </w:tc>
        <w:tc>
          <w:tcPr/>
          <w:p>
            <w:pPr>
              <w:pStyle w:val="Compact"/>
              <w:jc w:val="left"/>
            </w:pPr>
            <w:r>
              <w:rPr>
                <w:sz w:val="17"/>
              </w:rPr>
              <w:t xml:space="preserve">call 0.5y</w:t>
            </w:r>
          </w:p>
        </w:tc>
        <w:tc>
          <w:tcPr/>
          <w:p>
            <w:pPr>
              <w:pStyle w:val="Compact"/>
              <w:jc w:val="right"/>
            </w:pPr>
            <w:r>
              <w:rPr>
                <w:sz w:val="17"/>
              </w:rPr>
              <w:t xml:space="preserve">15</w:t>
            </w:r>
          </w:p>
        </w:tc>
        <w:tc>
          <w:tcPr/>
          <w:p>
            <w:pPr>
              <w:pStyle w:val="Compact"/>
              <w:jc w:val="left"/>
            </w:pPr>
            <w:r>
              <w:rPr>
                <w:sz w:val="17"/>
              </w:rPr>
              <w:t xml:space="preserve">long</w:t>
            </w:r>
          </w:p>
        </w:tc>
        <w:tc>
          <w:tcPr/>
          <w:p>
            <w:pPr>
              <w:pStyle w:val="Compact"/>
              <w:jc w:val="right"/>
            </w:pPr>
            <w:r>
              <w:rPr>
                <w:sz w:val="17"/>
              </w:rPr>
              <w:t xml:space="preserve">796,644</w:t>
            </w:r>
          </w:p>
        </w:tc>
      </w:tr>
      <w:tr>
        <w:tc>
          <w:tcPr/>
          <w:p>
            <w:pPr>
              <w:pStyle w:val="Compact"/>
              <w:jc w:val="left"/>
            </w:pPr>
            <w:r>
              <w:rPr>
                <w:sz w:val="17"/>
              </w:rPr>
              <w:t xml:space="preserve">FXO_GBPUSD_STRADDLE_P</w:t>
            </w:r>
          </w:p>
        </w:tc>
        <w:tc>
          <w:tcPr/>
          <w:p>
            <w:pPr>
              <w:pStyle w:val="Compact"/>
              <w:jc w:val="left"/>
            </w:pPr>
            <w:r>
              <w:rPr>
                <w:sz w:val="17"/>
              </w:rPr>
              <w:t xml:space="preserve">FXOPT</w:t>
            </w:r>
          </w:p>
        </w:tc>
        <w:tc>
          <w:tcPr/>
          <w:p>
            <w:pPr>
              <w:pStyle w:val="Compact"/>
              <w:jc w:val="left"/>
            </w:pPr>
            <w:r>
              <w:rPr>
                <w:sz w:val="17"/>
              </w:rPr>
              <w:t xml:space="preserve">GBP/USD</w:t>
            </w:r>
          </w:p>
        </w:tc>
        <w:tc>
          <w:tcPr/>
          <w:p>
            <w:pPr>
              <w:pStyle w:val="Compact"/>
              <w:jc w:val="left"/>
            </w:pPr>
            <w:r>
              <w:rPr>
                <w:sz w:val="17"/>
              </w:rPr>
              <w:t xml:space="preserve">put 0.5y</w:t>
            </w:r>
          </w:p>
        </w:tc>
        <w:tc>
          <w:tcPr/>
          <w:p>
            <w:pPr>
              <w:pStyle w:val="Compact"/>
              <w:jc w:val="right"/>
            </w:pPr>
            <w:r>
              <w:rPr>
                <w:sz w:val="17"/>
              </w:rPr>
              <w:t xml:space="preserve">15</w:t>
            </w:r>
          </w:p>
        </w:tc>
        <w:tc>
          <w:tcPr/>
          <w:p>
            <w:pPr>
              <w:pStyle w:val="Compact"/>
              <w:jc w:val="left"/>
            </w:pPr>
            <w:r>
              <w:rPr>
                <w:sz w:val="17"/>
              </w:rPr>
              <w:t xml:space="preserve">long</w:t>
            </w:r>
          </w:p>
        </w:tc>
        <w:tc>
          <w:tcPr/>
          <w:p>
            <w:pPr>
              <w:pStyle w:val="Compact"/>
              <w:jc w:val="right"/>
            </w:pPr>
            <w:r>
              <w:rPr>
                <w:sz w:val="17"/>
              </w:rPr>
              <w:t xml:space="preserve">627,284</w:t>
            </w:r>
          </w:p>
        </w:tc>
      </w:tr>
    </w:tbl>
    <w:p>
      <w:pPr>
        <w:pStyle w:val="BodyText"/>
      </w:pPr>
      <w:r>
        <w:t xml:space="preserve">The total PV of the book is USD 11.68 mm (positive PVs sum to USD 15.72 mm and negative PVs to USD -4.04 mm). These two numbers matter later because the schedule IM uses the net-to-gross ratio of replacement costs.</w:t>
      </w:r>
    </w:p>
    <w:p>
      <w:pPr>
        <w:pStyle w:val="BodyText"/>
      </w:pPr>
      <w:r>
        <w:t xml:space="preserve">The new product used in UAT (Section 13) is a 5-year EUR/USD cross-currency basis swap on EUR 50 million, booked separately from the book above.</w:t>
      </w:r>
    </w:p>
    <w:bookmarkEnd w:id="19"/>
    <w:bookmarkEnd w:id="20"/>
    <w:bookmarkStart w:id="25" w:name="pricing-and-sensitivities"/>
    <w:p>
      <w:pPr>
        <w:pStyle w:val="Heading1"/>
      </w:pPr>
      <w:r>
        <w:rPr>
          <w:rStyle w:val="SectionNumber"/>
        </w:rPr>
        <w:t xml:space="preserve">4</w:t>
      </w:r>
      <w:r>
        <w:tab/>
      </w:r>
      <w:r>
        <w:t xml:space="preserve">Pricing and sensitivities</w:t>
      </w:r>
    </w:p>
    <w:bookmarkStart w:id="21" w:name="curves"/>
    <w:p>
      <w:pPr>
        <w:pStyle w:val="Heading2"/>
      </w:pPr>
      <w:r>
        <w:rPr>
          <w:rStyle w:val="SectionNumber"/>
        </w:rPr>
        <w:t xml:space="preserve">4.1</w:t>
      </w:r>
      <w:r>
        <w:tab/>
      </w:r>
      <w:r>
        <w:t xml:space="preserve">Curves</w:t>
      </w:r>
    </w:p>
    <w:p>
      <w:pPr>
        <w:pStyle w:val="FirstParagraph"/>
      </w:pPr>
      <w:r>
        <w:t xml:space="preserve">Each currency has one OIS-style curve, built by</w:t>
      </w:r>
      <w:r>
        <w:t xml:space="preserve"> </w:t>
      </w:r>
      <w:r>
        <w:rPr>
          <w:rStyle w:val="VerbatimChar"/>
        </w:rPr>
        <w:t xml:space="preserve">curves.bootstrap_curve</w:t>
      </w:r>
      <w:r>
        <w:t xml:space="preserve"> </w:t>
      </w:r>
      <w:r>
        <w:t xml:space="preserve">from par quotes at the 12 SIMM tenor vertices: 2 weeks, 1, 3 and 6 months (simple cash rates) and 1, 2, 3, 5, 10, 15, 20 and 30 years (annual-pay par swap rates). Bootstrapping means solving, vertex by vertex, for the zero rate that makes the instrument price exactly at par given the zero rates already found. Zero rates are continuously compounded and linear in time between vertices with flat extrapolation, so the discount factor is</w:t>
      </w:r>
      <w:r>
        <w:t xml:space="preserve"> </w:t>
      </w:r>
      <m:oMath>
        <m:r>
          <m:t>D</m:t>
        </m:r>
        <m:r>
          <m:t>F</m:t>
        </m:r>
        <m:r>
          <m:rPr>
            <m:sty m:val="p"/>
          </m:rPr>
          <m:t>(</m:t>
        </m:r>
        <m:r>
          <m:t>t</m:t>
        </m:r>
        <m:r>
          <m:rPr>
            <m:sty m:val="p"/>
          </m:rPr>
          <m:t>)</m:t>
        </m:r>
        <m:r>
          <m:rPr>
            <m:sty m:val="p"/>
          </m:rPr>
          <m:t>=</m:t>
        </m:r>
        <m:r>
          <m:rPr>
            <m:sty m:val="p"/>
          </m:rPr>
          <m:t>exp</m:t>
        </m:r>
        <m:r>
          <m:rPr>
            <m:sty m:val="p"/>
          </m:rPr>
          <m:t>(</m:t>
        </m:r>
        <m:r>
          <m:rPr>
            <m:sty m:val="p"/>
          </m:rPr>
          <m:t>−</m:t>
        </m:r>
        <m:r>
          <m:t>z</m:t>
        </m:r>
        <m:r>
          <m:rPr>
            <m:sty m:val="p"/>
          </m:rPr>
          <m:t>(</m:t>
        </m:r>
        <m:r>
          <m:t>t</m:t>
        </m:r>
        <m:r>
          <m:rPr>
            <m:sty m:val="p"/>
          </m:rPr>
          <m:t>)</m:t>
        </m:r>
        <m:r>
          <m:t> </m:t>
        </m:r>
        <m:r>
          <m:t>t</m:t>
        </m:r>
        <m:r>
          <m:rPr>
            <m:sty m:val="p"/>
          </m:rPr>
          <m:t>)</m:t>
        </m:r>
      </m:oMath>
      <w:r>
        <w:t xml:space="preserve">. The annuity of a swap with accrual periods</w:t>
      </w:r>
      <w:r>
        <w:t xml:space="preserve"> </w:t>
      </w:r>
      <m:oMath>
        <m:sSub>
          <m:e>
            <m:r>
              <m:t>τ</m:t>
            </m:r>
          </m:e>
          <m:sub>
            <m:r>
              <m:t>i</m:t>
            </m:r>
          </m:sub>
        </m:sSub>
      </m:oMath>
      <w:r>
        <w:t xml:space="preserve"> </w:t>
      </w:r>
      <w:r>
        <w:t xml:space="preserve">and payment times</w:t>
      </w:r>
      <w:r>
        <w:t xml:space="preserve"> </w:t>
      </w:r>
      <m:oMath>
        <m:sSub>
          <m:e>
            <m:r>
              <m:t>t</m:t>
            </m:r>
          </m:e>
          <m:sub>
            <m:r>
              <m:t>i</m:t>
            </m:r>
          </m:sub>
        </m:sSub>
      </m:oMath>
      <w:r>
        <w:t xml:space="preserve"> </w:t>
      </w:r>
      <w:r>
        <w:t xml:space="preserve">is</w:t>
      </w:r>
      <w:r>
        <w:t xml:space="preserve"> </w:t>
      </w:r>
      <m:oMath>
        <m:r>
          <m:t>A</m:t>
        </m:r>
        <m:r>
          <m:rPr>
            <m:sty m:val="p"/>
          </m:rPr>
          <m:t>=</m:t>
        </m:r>
        <m:nary>
          <m:naryPr>
            <m:chr m:val="∑"/>
            <m:limLoc m:val="undOvr"/>
            <m:subHide m:val="off"/>
            <m:supHide m:val="on"/>
          </m:naryPr>
          <m:sub>
            <m:r>
              <m:t>i</m:t>
            </m:r>
          </m:sub>
          <m:sup>
            <m:r>
              <m:t>​</m:t>
            </m:r>
          </m:sup>
          <m:e>
            <m:sSub>
              <m:e>
                <m:r>
                  <m:t>τ</m:t>
                </m:r>
              </m:e>
              <m:sub>
                <m:r>
                  <m:t>i</m:t>
                </m:r>
              </m:sub>
            </m:sSub>
          </m:e>
        </m:nary>
        <m:r>
          <m:t>D</m:t>
        </m:r>
        <m:r>
          <m:t>F</m:t>
        </m:r>
        <m:r>
          <m:rPr>
            <m:sty m:val="p"/>
          </m:rPr>
          <m:t>(</m:t>
        </m:r>
        <m:sSub>
          <m:e>
            <m:r>
              <m:t>t</m:t>
            </m:r>
          </m:e>
          <m:sub>
            <m:r>
              <m:t>i</m:t>
            </m:r>
          </m:sub>
        </m:sSub>
        <m:r>
          <m:rPr>
            <m:sty m:val="p"/>
          </m:rPr>
          <m:t>)</m:t>
        </m:r>
      </m:oMath>
      <w:r>
        <w:t xml:space="preserve">, and the par swap rate is</w:t>
      </w:r>
      <w:r>
        <w:t xml:space="preserve"> </w:t>
      </w:r>
      <m:oMath>
        <m:r>
          <m:rPr>
            <m:sty m:val="p"/>
          </m:rPr>
          <m:t>(</m:t>
        </m:r>
        <m:r>
          <m:t>1</m:t>
        </m:r>
        <m:r>
          <m:rPr>
            <m:sty m:val="p"/>
          </m:rPr>
          <m:t>−</m:t>
        </m:r>
        <m:r>
          <m:t>D</m:t>
        </m:r>
        <m:r>
          <m:t>F</m:t>
        </m:r>
        <m:r>
          <m:rPr>
            <m:sty m:val="p"/>
          </m:rPr>
          <m:t>(</m:t>
        </m:r>
        <m:r>
          <m:t>T</m:t>
        </m:r>
        <m:r>
          <m:rPr>
            <m:sty m:val="p"/>
          </m:rPr>
          <m:t>)</m:t>
        </m:r>
        <m:r>
          <m:rPr>
            <m:sty m:val="p"/>
          </m:rPr>
          <m:t>)</m:t>
        </m:r>
        <m:r>
          <m:rPr>
            <m:sty m:val="p"/>
          </m:rPr>
          <m:t>/</m:t>
        </m:r>
        <m:r>
          <m:t>A</m:t>
        </m:r>
      </m:oMath>
      <w:r>
        <w:t xml:space="preserve">. Because a single curve discounts and projects, floating legs are worth</w:t>
      </w:r>
      <w:r>
        <w:t xml:space="preserve"> </w:t>
      </w:r>
      <m:oMath>
        <m:r>
          <m:t>D</m:t>
        </m:r>
        <m:r>
          <m:t>F</m:t>
        </m:r>
        <m:r>
          <m:rPr>
            <m:sty m:val="p"/>
          </m:rPr>
          <m:t>(</m:t>
        </m:r>
        <m:sSub>
          <m:e>
            <m:r>
              <m:t>t</m:t>
            </m:r>
          </m:e>
          <m:sub>
            <m:r>
              <m:t>0</m:t>
            </m:r>
          </m:sub>
        </m:sSub>
        <m:r>
          <m:rPr>
            <m:sty m:val="p"/>
          </m:rPr>
          <m:t>)</m:t>
        </m:r>
        <m:r>
          <m:rPr>
            <m:sty m:val="p"/>
          </m:rPr>
          <m:t>−</m:t>
        </m:r>
        <m:r>
          <m:t>D</m:t>
        </m:r>
        <m:r>
          <m:t>F</m:t>
        </m:r>
        <m:r>
          <m:rPr>
            <m:sty m:val="p"/>
          </m:rPr>
          <m:t>(</m:t>
        </m:r>
        <m:sSub>
          <m:e>
            <m:r>
              <m:t>t</m:t>
            </m:r>
          </m:e>
          <m:sub>
            <m:r>
              <m:t>1</m:t>
            </m:r>
          </m:sub>
        </m:sSub>
        <m:r>
          <m:rPr>
            <m:sty m:val="p"/>
          </m:rPr>
          <m:t>)</m:t>
        </m:r>
      </m:oMath>
      <w:r>
        <w:t xml:space="preserve">.</w:t>
      </w:r>
    </w:p>
    <w:p>
      <w:pPr>
        <w:pStyle w:val="BodyText"/>
      </w:pPr>
      <w:r>
        <w:t xml:space="preserve">The bootstrap also gives the par-to-zero Jacobian</w:t>
      </w:r>
      <w:r>
        <w:t xml:space="preserve"> </w:t>
      </w:r>
      <m:oMath>
        <m:sSub>
          <m:e>
            <m:r>
              <m:t>J</m:t>
            </m:r>
          </m:e>
          <m:sub>
            <m:r>
              <m:t>i</m:t>
            </m:r>
            <m:r>
              <m:t>j</m:t>
            </m:r>
          </m:sub>
        </m:sSub>
        <m:r>
          <m:rPr>
            <m:sty m:val="p"/>
          </m:rPr>
          <m:t>=</m:t>
        </m:r>
        <m:r>
          <m:rPr>
            <m:sty m:val="p"/>
          </m:rPr>
          <m:t>∂</m:t>
        </m:r>
        <m:sSub>
          <m:e>
            <m:r>
              <m:t>z</m:t>
            </m:r>
          </m:e>
          <m:sub>
            <m:r>
              <m:t>i</m:t>
            </m:r>
          </m:sub>
        </m:sSub>
        <m:r>
          <m:rPr>
            <m:sty m:val="p"/>
          </m:rPr>
          <m:t>/</m:t>
        </m:r>
        <m:r>
          <m:rPr>
            <m:sty m:val="p"/>
          </m:rPr>
          <m:t>∂</m:t>
        </m:r>
        <m:sSub>
          <m:e>
            <m:r>
              <m:t>s</m:t>
            </m:r>
          </m:e>
          <m:sub>
            <m:r>
              <m:t>j</m:t>
            </m:r>
          </m:sub>
        </m:sSub>
      </m:oMath>
      <w:r>
        <w:t xml:space="preserve"> </w:t>
      </w:r>
      <w:r>
        <w:t xml:space="preserve">by twelve re-bootstraps (</w:t>
      </w:r>
      <w:r>
        <w:rPr>
          <w:rStyle w:val="VerbatimChar"/>
        </w:rPr>
        <w:t xml:space="preserve">par_to_zero_jacobian</w:t>
      </w:r>
      <w:r>
        <w:t xml:space="preserve">). SIMM interest rate delta is defined per basis point of the par instrument quote, so a sensitivity to zero rates must be converted with this Jacobian. The test suite checks the shortcut against a full re-bootstrap for every bump.</w:t>
      </w:r>
    </w:p>
    <w:bookmarkEnd w:id="21"/>
    <w:bookmarkStart w:id="22" w:name="instrument-pricing"/>
    <w:p>
      <w:pPr>
        <w:pStyle w:val="Heading2"/>
      </w:pPr>
      <w:r>
        <w:rPr>
          <w:rStyle w:val="SectionNumber"/>
        </w:rPr>
        <w:t xml:space="preserve">4.2</w:t>
      </w:r>
      <w:r>
        <w:tab/>
      </w:r>
      <w:r>
        <w:t xml:space="preserve">Instrument pricing</w:t>
      </w:r>
    </w:p>
    <w:p>
      <w:pPr>
        <w:pStyle w:val="FirstParagraph"/>
      </w:pPr>
      <w:r>
        <w:rPr>
          <w:rStyle w:val="VerbatimChar"/>
        </w:rPr>
        <w:t xml:space="preserve">pricing.price_portfolio</w:t>
      </w:r>
      <w:r>
        <w:t xml:space="preserve"> </w:t>
      </w:r>
      <w:r>
        <w:t xml:space="preserve">values all trades for many market states at once (vectorised), which is what makes the 2 million revaluations of the VaR backtest affordable.</w:t>
      </w:r>
    </w:p>
    <w:p>
      <w:pPr>
        <w:pStyle w:val="Compact"/>
        <w:numPr>
          <w:ilvl w:val="0"/>
          <w:numId w:val="1003"/>
        </w:numPr>
      </w:pPr>
      <w:r>
        <w:rPr>
          <w:b/>
          <w:bCs/>
        </w:rPr>
        <w:t xml:space="preserve">Interest rate swap.</w:t>
      </w:r>
      <w:r>
        <w:t xml:space="preserve"> </w:t>
      </w:r>
      <m:oMath>
        <m:r>
          <m:t>P</m:t>
        </m:r>
        <m:r>
          <m:t>V</m:t>
        </m:r>
        <m:r>
          <m:rPr>
            <m:sty m:val="p"/>
          </m:rPr>
          <m:t>=</m:t>
        </m:r>
        <m:r>
          <m:t>N</m:t>
        </m:r>
        <m:r>
          <m:t> </m:t>
        </m:r>
        <m:r>
          <m:t>ω</m:t>
        </m:r>
        <m:r>
          <m:t> </m:t>
        </m:r>
        <m:r>
          <m:rPr>
            <m:sty m:val="p"/>
          </m:rPr>
          <m:t>[</m:t>
        </m:r>
        <m:r>
          <m:rPr>
            <m:sty m:val="p"/>
          </m:rPr>
          <m:t>(</m:t>
        </m:r>
        <m:r>
          <m:t>D</m:t>
        </m:r>
        <m:r>
          <m:t>F</m:t>
        </m:r>
        <m:r>
          <m:rPr>
            <m:sty m:val="p"/>
          </m:rPr>
          <m:t>(</m:t>
        </m:r>
        <m:r>
          <m:t>0</m:t>
        </m:r>
        <m:r>
          <m:rPr>
            <m:sty m:val="p"/>
          </m:rPr>
          <m:t>)</m:t>
        </m:r>
        <m:r>
          <m:rPr>
            <m:sty m:val="p"/>
          </m:rPr>
          <m:t>−</m:t>
        </m:r>
        <m:r>
          <m:t>D</m:t>
        </m:r>
        <m:r>
          <m:t>F</m:t>
        </m:r>
        <m:r>
          <m:rPr>
            <m:sty m:val="p"/>
          </m:rPr>
          <m:t>(</m:t>
        </m:r>
        <m:r>
          <m:t>T</m:t>
        </m:r>
        <m:r>
          <m:rPr>
            <m:sty m:val="p"/>
          </m:rPr>
          <m:t>)</m:t>
        </m:r>
        <m:r>
          <m:rPr>
            <m:sty m:val="p"/>
          </m:rPr>
          <m:t>)</m:t>
        </m:r>
        <m:r>
          <m:rPr>
            <m:sty m:val="p"/>
          </m:rPr>
          <m:t>−</m:t>
        </m:r>
        <m:r>
          <m:t>K</m:t>
        </m:r>
        <m:r>
          <m:t> </m:t>
        </m:r>
        <m:r>
          <m:t>A</m:t>
        </m:r>
        <m:r>
          <m:rPr>
            <m:sty m:val="p"/>
          </m:rPr>
          <m:t>]</m:t>
        </m:r>
      </m:oMath>
      <w:r>
        <w:t xml:space="preserve"> </w:t>
      </w:r>
      <w:r>
        <w:t xml:space="preserve">with</w:t>
      </w:r>
      <w:r>
        <w:t xml:space="preserve"> </w:t>
      </w:r>
      <m:oMath>
        <m:r>
          <m:t>ω</m:t>
        </m:r>
        <m:r>
          <m:rPr>
            <m:sty m:val="p"/>
          </m:rPr>
          <m:t>=</m:t>
        </m:r>
        <m:r>
          <m:rPr>
            <m:sty m:val="p"/>
          </m:rPr>
          <m:t>+</m:t>
        </m:r>
        <m:r>
          <m:t>1</m:t>
        </m:r>
      </m:oMath>
      <w:r>
        <w:t xml:space="preserve"> </w:t>
      </w:r>
      <w:r>
        <w:t xml:space="preserve">for pay fixed, in USD after multiplying by the spot.</w:t>
      </w:r>
    </w:p>
    <w:p>
      <w:pPr>
        <w:pStyle w:val="Compact"/>
        <w:numPr>
          <w:ilvl w:val="0"/>
          <w:numId w:val="1003"/>
        </w:numPr>
      </w:pPr>
      <w:r>
        <w:rPr>
          <w:b/>
          <w:bCs/>
        </w:rPr>
        <w:t xml:space="preserve">Swaption (Bachelier).</w:t>
      </w:r>
      <w:r>
        <w:t xml:space="preserve"> </w:t>
      </w:r>
      <w:r>
        <w:t xml:space="preserve">Rates can be negative or near zero, so volatilities are quoted as normal (absolute) vols. With forward swap rate</w:t>
      </w:r>
      <w:r>
        <w:t xml:space="preserve"> </w:t>
      </w:r>
      <m:oMath>
        <m:r>
          <m:t>F</m:t>
        </m:r>
      </m:oMath>
      <w:r>
        <w:t xml:space="preserve">, strike</w:t>
      </w:r>
      <w:r>
        <w:t xml:space="preserve"> </w:t>
      </w:r>
      <m:oMath>
        <m:r>
          <m:t>K</m:t>
        </m:r>
      </m:oMath>
      <w:r>
        <w:t xml:space="preserve">, expiry</w:t>
      </w:r>
      <w:r>
        <w:t xml:space="preserve"> </w:t>
      </w:r>
      <m:oMath>
        <m:r>
          <m:t>T</m:t>
        </m:r>
      </m:oMath>
      <w:r>
        <w:t xml:space="preserve"> </w:t>
      </w:r>
      <w:r>
        <w:t xml:space="preserve">and normal volatility</w:t>
      </w:r>
      <w:r>
        <w:t xml:space="preserve"> </w:t>
      </w:r>
      <m:oMath>
        <m:r>
          <m:t>σ</m:t>
        </m:r>
      </m:oMath>
      <w:r>
        <w:t xml:space="preserve">, the payer price per unit annuity is</w:t>
      </w:r>
    </w:p>
    <w:p>
      <w:pPr>
        <w:pStyle w:val="Compact"/>
      </w:pPr>
      <m:oMathPara>
        <m:oMathParaPr>
          <m:jc m:val="center"/>
        </m:oMathParaPr>
        <m:oMath>
          <m:r>
            <m:rPr>
              <m:sty m:val="p"/>
            </m:rPr>
            <m:t>(</m:t>
          </m:r>
          <m:r>
            <m:t>F</m:t>
          </m:r>
          <m:r>
            <m:rPr>
              <m:sty m:val="p"/>
            </m:rPr>
            <m:t>−</m:t>
          </m:r>
          <m:r>
            <m:t>K</m:t>
          </m:r>
          <m:r>
            <m:rPr>
              <m:sty m:val="p"/>
            </m:rPr>
            <m:t>)</m:t>
          </m:r>
          <m:r>
            <m:t> </m:t>
          </m:r>
          <m:r>
            <m:rPr>
              <m:sty m:val="p"/>
            </m:rPr>
            <m:t>Φ</m:t>
          </m:r>
          <m:r>
            <m:rPr>
              <m:sty m:val="p"/>
            </m:rPr>
            <m:t>(</m:t>
          </m:r>
          <m:r>
            <m:t>d</m:t>
          </m:r>
          <m:r>
            <m:rPr>
              <m:sty m:val="p"/>
            </m:rPr>
            <m:t>)</m:t>
          </m:r>
          <m:r>
            <m:rPr>
              <m:sty m:val="p"/>
            </m:rPr>
            <m:t>+</m:t>
          </m:r>
          <m:r>
            <m:t>σ</m:t>
          </m:r>
          <m:rad>
            <m:radPr>
              <m:degHide m:val="on"/>
            </m:radPr>
            <m:deg/>
            <m:e>
              <m:r>
                <m:t>T</m:t>
              </m:r>
            </m:e>
          </m:rad>
          <m:r>
            <m:t> </m:t>
          </m:r>
          <m:r>
            <m:t>ϕ</m:t>
          </m:r>
          <m:r>
            <m:rPr>
              <m:sty m:val="p"/>
            </m:rPr>
            <m:t>(</m:t>
          </m:r>
          <m:r>
            <m:t>d</m:t>
          </m:r>
          <m:r>
            <m:rPr>
              <m:sty m:val="p"/>
            </m:rPr>
            <m:t>)</m:t>
          </m:r>
          <m:r>
            <m:rPr>
              <m:sty m:val="p"/>
            </m:rPr>
            <m:t>,</m:t>
          </m:r>
          <m:r>
            <m:t>  </m:t>
          </m:r>
          <m:r>
            <m:t>d</m:t>
          </m:r>
          <m:r>
            <m:rPr>
              <m:sty m:val="p"/>
            </m:rPr>
            <m:t>=</m:t>
          </m:r>
          <m:f>
            <m:fPr>
              <m:type m:val="bar"/>
            </m:fPr>
            <m:num>
              <m:r>
                <m:t>F</m:t>
              </m:r>
              <m:r>
                <m:rPr>
                  <m:sty m:val="p"/>
                </m:rPr>
                <m:t>−</m:t>
              </m:r>
              <m:r>
                <m:t>K</m:t>
              </m:r>
            </m:num>
            <m:den>
              <m:r>
                <m:t>σ</m:t>
              </m:r>
              <m:rad>
                <m:radPr>
                  <m:degHide m:val="on"/>
                </m:radPr>
                <m:deg/>
                <m:e>
                  <m:r>
                    <m:t>T</m:t>
                  </m:r>
                </m:e>
              </m:rad>
            </m:den>
          </m:f>
          <m:r>
            <m:rPr>
              <m:sty m:val="p"/>
            </m:rPr>
            <m:t>,</m:t>
          </m:r>
        </m:oMath>
      </m:oMathPara>
    </w:p>
    <w:p>
      <w:pPr>
        <w:pStyle w:val="Compact"/>
        <w:numPr>
          <w:ilvl w:val="0"/>
          <w:numId w:val="1000"/>
        </w:numPr>
      </w:pPr>
      <w:r>
        <w:t xml:space="preserve">and the value is notional times annuity times that price. The vega per unit of normal vol is</w:t>
      </w:r>
      <w:r>
        <w:t xml:space="preserve"> </w:t>
      </w:r>
      <m:oMath>
        <m:r>
          <m:t>A</m:t>
        </m:r>
        <m:rad>
          <m:radPr>
            <m:degHide m:val="on"/>
          </m:radPr>
          <m:deg/>
          <m:e>
            <m:r>
              <m:t>T</m:t>
            </m:r>
          </m:e>
        </m:rad>
        <m:r>
          <m:t> </m:t>
        </m:r>
        <m:r>
          <m:t>ϕ</m:t>
        </m:r>
        <m:r>
          <m:rPr>
            <m:sty m:val="p"/>
          </m:rPr>
          <m:t>(</m:t>
        </m:r>
        <m:r>
          <m:t>d</m:t>
        </m:r>
        <m:r>
          <m:rPr>
            <m:sty m:val="p"/>
          </m:rPr>
          <m:t>)</m:t>
        </m:r>
      </m:oMath>
      <w:r>
        <w:t xml:space="preserve">, which the tests check against a bump.</w:t>
      </w:r>
    </w:p>
    <w:p>
      <w:pPr>
        <w:pStyle w:val="Compact"/>
        <w:numPr>
          <w:ilvl w:val="0"/>
          <w:numId w:val="1003"/>
        </w:numPr>
      </w:pPr>
      <w:r>
        <w:rPr>
          <w:b/>
          <w:bCs/>
        </w:rPr>
        <w:t xml:space="preserve">FX forward.</w:t>
      </w:r>
      <w:r>
        <w:t xml:space="preserve"> </w:t>
      </w:r>
      <w:r>
        <w:t xml:space="preserve">By interest rate parity the forward is</w:t>
      </w:r>
      <w:r>
        <w:t xml:space="preserve"> </w:t>
      </w:r>
      <m:oMath>
        <m:r>
          <m:t>S</m:t>
        </m:r>
        <m:r>
          <m:t> </m:t>
        </m:r>
        <m:r>
          <m:t>D</m:t>
        </m:r>
        <m:sSub>
          <m:e>
            <m:r>
              <m:t>F</m:t>
            </m:r>
          </m:e>
          <m:sub>
            <m:r>
              <m:t>b</m:t>
            </m:r>
            <m:r>
              <m:t>a</m:t>
            </m:r>
            <m:r>
              <m:t>s</m:t>
            </m:r>
            <m:r>
              <m:t>e</m:t>
            </m:r>
          </m:sub>
        </m:sSub>
        <m:r>
          <m:rPr>
            <m:sty m:val="p"/>
          </m:rPr>
          <m:t>/</m:t>
        </m:r>
        <m:r>
          <m:t>D</m:t>
        </m:r>
        <m:sSub>
          <m:e>
            <m:r>
              <m:t>F</m:t>
            </m:r>
          </m:e>
          <m:sub>
            <m:r>
              <m:t>q</m:t>
            </m:r>
            <m:r>
              <m:t>u</m:t>
            </m:r>
            <m:r>
              <m:t>o</m:t>
            </m:r>
            <m:r>
              <m:t>t</m:t>
            </m:r>
            <m:r>
              <m:t>e</m:t>
            </m:r>
          </m:sub>
        </m:sSub>
      </m:oMath>
      <w:r>
        <w:t xml:space="preserve">, and the value is</w:t>
      </w:r>
      <w:r>
        <w:t xml:space="preserve"> </w:t>
      </w:r>
      <m:oMath>
        <m:r>
          <m:t>N</m:t>
        </m:r>
        <m:r>
          <m:t>ω</m:t>
        </m:r>
        <m:r>
          <m:t> </m:t>
        </m:r>
        <m:r>
          <m:rPr>
            <m:sty m:val="p"/>
          </m:rPr>
          <m:t>(</m:t>
        </m:r>
        <m:sSub>
          <m:e>
            <m:r>
              <m:t>S</m:t>
            </m:r>
          </m:e>
          <m:sub>
            <m:r>
              <m:t>b</m:t>
            </m:r>
          </m:sub>
        </m:sSub>
        <m:r>
          <m:t>D</m:t>
        </m:r>
        <m:sSub>
          <m:e>
            <m:r>
              <m:t>F</m:t>
            </m:r>
          </m:e>
          <m:sub>
            <m:r>
              <m:t>b</m:t>
            </m:r>
          </m:sub>
        </m:sSub>
        <m:r>
          <m:rPr>
            <m:sty m:val="p"/>
          </m:rPr>
          <m:t>−</m:t>
        </m:r>
        <m:r>
          <m:t>K</m:t>
        </m:r>
        <m:r>
          <m:t> </m:t>
        </m:r>
        <m:sSub>
          <m:e>
            <m:r>
              <m:t>S</m:t>
            </m:r>
          </m:e>
          <m:sub>
            <m:r>
              <m:t>q</m:t>
            </m:r>
          </m:sub>
        </m:sSub>
        <m:r>
          <m:t>D</m:t>
        </m:r>
        <m:sSub>
          <m:e>
            <m:r>
              <m:t>F</m:t>
            </m:r>
          </m:e>
          <m:sub>
            <m:r>
              <m:t>q</m:t>
            </m:r>
          </m:sub>
        </m:sSub>
        <m:r>
          <m:rPr>
            <m:sty m:val="p"/>
          </m:rPr>
          <m:t>)</m:t>
        </m:r>
      </m:oMath>
      <w:r>
        <w:t xml:space="preserve"> </w:t>
      </w:r>
      <w:r>
        <w:t xml:space="preserve">in USD.</w:t>
      </w:r>
    </w:p>
    <w:p>
      <w:pPr>
        <w:pStyle w:val="Compact"/>
        <w:numPr>
          <w:ilvl w:val="0"/>
          <w:numId w:val="1003"/>
        </w:numPr>
      </w:pPr>
      <w:r>
        <w:rPr>
          <w:b/>
          <w:bCs/>
        </w:rPr>
        <w:t xml:space="preserve">FX option (Garman-Kohlhagen).</w:t>
      </w:r>
      <w:r>
        <w:t xml:space="preserve"> </w:t>
      </w:r>
      <w:r>
        <w:t xml:space="preserve">The Black formula for a currency option with forward</w:t>
      </w:r>
      <w:r>
        <w:t xml:space="preserve"> </w:t>
      </w:r>
      <m:oMath>
        <m:r>
          <m:t>F</m:t>
        </m:r>
      </m:oMath>
      <w:r>
        <w:t xml:space="preserve">, strike</w:t>
      </w:r>
      <w:r>
        <w:t xml:space="preserve"> </w:t>
      </w:r>
      <m:oMath>
        <m:r>
          <m:t>K</m:t>
        </m:r>
      </m:oMath>
      <w:r>
        <w:t xml:space="preserve">, lognormal vol</w:t>
      </w:r>
      <w:r>
        <w:t xml:space="preserve"> </w:t>
      </w:r>
      <m:oMath>
        <m:r>
          <m:t>σ</m:t>
        </m:r>
      </m:oMath>
      <w:r>
        <w:t xml:space="preserve"> </w:t>
      </w:r>
      <w:r>
        <w:t xml:space="preserve">and quote-currency discount factor: call</w:t>
      </w:r>
      <w:r>
        <w:t xml:space="preserve"> </w:t>
      </w:r>
      <m:oMath>
        <m:r>
          <m:rPr>
            <m:sty m:val="p"/>
          </m:rPr>
          <m:t>=</m:t>
        </m:r>
        <m:r>
          <m:t>D</m:t>
        </m:r>
        <m:sSub>
          <m:e>
            <m:r>
              <m:t>F</m:t>
            </m:r>
          </m:e>
          <m:sub>
            <m:r>
              <m:t>q</m:t>
            </m:r>
          </m:sub>
        </m:sSub>
        <m:r>
          <m:t> </m:t>
        </m:r>
        <m:r>
          <m:rPr>
            <m:sty m:val="p"/>
          </m:rPr>
          <m:t>[</m:t>
        </m:r>
        <m:r>
          <m:t>F</m:t>
        </m:r>
        <m:r>
          <m:rPr>
            <m:sty m:val="p"/>
          </m:rPr>
          <m:t>Φ</m:t>
        </m:r>
        <m:r>
          <m:rPr>
            <m:sty m:val="p"/>
          </m:rPr>
          <m:t>(</m:t>
        </m:r>
        <m:sSub>
          <m:e>
            <m:r>
              <m:t>d</m:t>
            </m:r>
          </m:e>
          <m:sub>
            <m:r>
              <m:t>1</m:t>
            </m:r>
          </m:sub>
        </m:sSub>
        <m:r>
          <m:rPr>
            <m:sty m:val="p"/>
          </m:rPr>
          <m:t>)</m:t>
        </m:r>
        <m:r>
          <m:rPr>
            <m:sty m:val="p"/>
          </m:rPr>
          <m:t>−</m:t>
        </m:r>
        <m:r>
          <m:t>K</m:t>
        </m:r>
        <m:r>
          <m:rPr>
            <m:sty m:val="p"/>
          </m:rPr>
          <m:t>Φ</m:t>
        </m:r>
        <m:r>
          <m:rPr>
            <m:sty m:val="p"/>
          </m:rPr>
          <m:t>(</m:t>
        </m:r>
        <m:sSub>
          <m:e>
            <m:r>
              <m:t>d</m:t>
            </m:r>
          </m:e>
          <m:sub>
            <m:r>
              <m:t>2</m:t>
            </m:r>
          </m:sub>
        </m:sSub>
        <m:r>
          <m:rPr>
            <m:sty m:val="p"/>
          </m:rPr>
          <m:t>)</m:t>
        </m:r>
        <m:r>
          <m:rPr>
            <m:sty m:val="p"/>
          </m:rPr>
          <m:t>]</m:t>
        </m:r>
      </m:oMath>
      <w:r>
        <w:t xml:space="preserve"> </w:t>
      </w:r>
      <w:r>
        <w:t xml:space="preserve">with</w:t>
      </w:r>
      <w:r>
        <w:t xml:space="preserve"> </w:t>
      </w:r>
      <m:oMath>
        <m:sSub>
          <m:e>
            <m:r>
              <m:t>d</m:t>
            </m:r>
          </m:e>
          <m:sub>
            <m:r>
              <m:t>1</m:t>
            </m:r>
            <m:r>
              <m:rPr>
                <m:sty m:val="p"/>
              </m:rPr>
              <m:t>,</m:t>
            </m:r>
            <m:r>
              <m:t>2</m:t>
            </m:r>
          </m:sub>
        </m:sSub>
        <m:r>
          <m:rPr>
            <m:sty m:val="p"/>
          </m:rPr>
          <m:t>=</m:t>
        </m:r>
        <m:r>
          <m:rPr>
            <m:sty m:val="p"/>
          </m:rPr>
          <m:t>[</m:t>
        </m:r>
        <m:r>
          <m:rPr>
            <m:sty m:val="p"/>
          </m:rPr>
          <m:t>ln</m:t>
        </m:r>
        <m:r>
          <m:rPr>
            <m:sty m:val="p"/>
          </m:rPr>
          <m:t>(</m:t>
        </m:r>
        <m:r>
          <m:t>F</m:t>
        </m:r>
        <m:r>
          <m:rPr>
            <m:sty m:val="p"/>
          </m:rPr>
          <m:t>/</m:t>
        </m:r>
        <m:r>
          <m:t>K</m:t>
        </m:r>
        <m:r>
          <m:rPr>
            <m:sty m:val="p"/>
          </m:rPr>
          <m:t>)</m:t>
        </m:r>
        <m:r>
          <m:rPr>
            <m:sty m:val="p"/>
          </m:rPr>
          <m:t>±</m:t>
        </m:r>
        <m:f>
          <m:fPr>
            <m:type m:val="lin"/>
          </m:fPr>
          <m:num>
            <m:r>
              <m:t>1</m:t>
            </m:r>
          </m:num>
          <m:den>
            <m:r>
              <m:t>2</m:t>
            </m:r>
          </m:den>
        </m:f>
        <m:sSup>
          <m:e>
            <m:r>
              <m:t>σ</m:t>
            </m:r>
          </m:e>
          <m:sup>
            <m:r>
              <m:t>2</m:t>
            </m:r>
          </m:sup>
        </m:sSup>
        <m:r>
          <m:t>T</m:t>
        </m:r>
        <m:r>
          <m:rPr>
            <m:sty m:val="p"/>
          </m:rPr>
          <m:t>]</m:t>
        </m:r>
        <m:r>
          <m:rPr>
            <m:sty m:val="p"/>
          </m:rPr>
          <m:t>/</m:t>
        </m:r>
        <m:r>
          <m:rPr>
            <m:sty m:val="p"/>
          </m:rPr>
          <m:t>(</m:t>
        </m:r>
        <m:r>
          <m:t>σ</m:t>
        </m:r>
        <m:rad>
          <m:radPr>
            <m:degHide m:val="on"/>
          </m:radPr>
          <m:deg/>
          <m:e>
            <m:r>
              <m:t>T</m:t>
            </m:r>
          </m:e>
        </m:rad>
        <m:r>
          <m:rPr>
            <m:sty m:val="p"/>
          </m:rPr>
          <m:t>)</m:t>
        </m:r>
      </m:oMath>
      <w:r>
        <w:t xml:space="preserve">. Put-call parity is a test.</w:t>
      </w:r>
    </w:p>
    <w:p>
      <w:pPr>
        <w:pStyle w:val="Compact"/>
        <w:numPr>
          <w:ilvl w:val="0"/>
          <w:numId w:val="1003"/>
        </w:numPr>
      </w:pPr>
      <w:r>
        <w:rPr>
          <w:b/>
          <w:bCs/>
        </w:rPr>
        <w:t xml:space="preserve">Cross-currency swap.</w:t>
      </w:r>
      <w:r>
        <w:t xml:space="preserve"> </w:t>
      </w:r>
      <w:r>
        <w:t xml:space="preserve">Two floating legs, each on its own currency curve, plus</w:t>
      </w:r>
      <w:r>
        <w:t xml:space="preserve"> </w:t>
      </w:r>
      <m:oMath>
        <m:r>
          <m:rPr>
            <m:sty m:val="p"/>
          </m:rPr>
          <m:t>(</m:t>
        </m:r>
        <m:r>
          <m:rPr>
            <m:nor/>
            <m:sty m:val="p"/>
          </m:rPr>
          <m:t>contract basis</m:t>
        </m:r>
        <m:r>
          <m:rPr>
            <m:sty m:val="p"/>
          </m:rPr>
          <m:t>−</m:t>
        </m:r>
        <m:r>
          <m:rPr>
            <m:nor/>
            <m:sty m:val="p"/>
          </m:rPr>
          <m:t>market basis</m:t>
        </m:r>
        <m:r>
          <m:rPr>
            <m:sty m:val="p"/>
          </m:rPr>
          <m:t>)</m:t>
        </m:r>
        <m:r>
          <m:rPr>
            <m:sty m:val="p"/>
          </m:rPr>
          <m:t>×</m:t>
        </m:r>
      </m:oMath>
      <w:r>
        <w:t xml:space="preserve"> </w:t>
      </w:r>
      <w:r>
        <w:t xml:space="preserve">annuity. When</w:t>
      </w:r>
      <w:r>
        <w:t xml:space="preserve"> </w:t>
      </w:r>
      <w:r>
        <w:rPr>
          <w:rStyle w:val="VerbatimChar"/>
        </w:rPr>
        <w:t xml:space="preserve">settle_notional_exchange</w:t>
      </w:r>
      <w:r>
        <w:t xml:space="preserve"> </w:t>
      </w:r>
      <w:r>
        <w:t xml:space="preserve">is "eligible" the final principal exchange is excluded from the IM sensitivities, following the rule that models need not capture the fixed physically settled exchange of principal (BCBS-IOSCO April 2020, Requirement 1.2).</w:t>
      </w:r>
    </w:p>
    <w:bookmarkEnd w:id="22"/>
    <w:bookmarkStart w:id="23" w:name="sensitivity-conventions"/>
    <w:p>
      <w:pPr>
        <w:pStyle w:val="Heading2"/>
      </w:pPr>
      <w:r>
        <w:rPr>
          <w:rStyle w:val="SectionNumber"/>
        </w:rPr>
        <w:t xml:space="preserve">4.3</w:t>
      </w:r>
      <w:r>
        <w:tab/>
      </w:r>
      <w:r>
        <w:t xml:space="preserve">Sensitivity conventions</w:t>
      </w:r>
    </w:p>
    <w:p>
      <w:pPr>
        <w:pStyle w:val="FirstParagraph"/>
      </w:pPr>
      <w:r>
        <w:t xml:space="preserve">SIMM works on sensitivities, so the quality of the sensitivities caps the quality of the IM. The conventions used in</w:t>
      </w:r>
      <w:r>
        <w:t xml:space="preserve"> </w:t>
      </w:r>
      <w:r>
        <w:rPr>
          <w:rStyle w:val="VerbatimChar"/>
        </w:rPr>
        <w:t xml:space="preserve">sensitivities.py</w:t>
      </w:r>
      <w:r>
        <w:t xml:space="preserve"> </w:t>
      </w:r>
      <w:r>
        <w:t xml:space="preserve">follow the ISDA Risk Data Standards, which define the CRIF (Common Risk Interchange Format) exchange file (ISDA Risk Data Standards v1.36).</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Risk</w:t>
            </w:r>
          </w:p>
        </w:tc>
        <w:tc>
          <w:tcPr/>
          <w:p>
            <w:pPr>
              <w:pStyle w:val="Compact"/>
              <w:jc w:val="left"/>
            </w:pPr>
            <w:r>
              <w:rPr>
                <w:sz w:val="17"/>
              </w:rPr>
              <w:t xml:space="preserve">Bump</w:t>
            </w:r>
          </w:p>
        </w:tc>
        <w:tc>
          <w:tcPr/>
          <w:p>
            <w:pPr>
              <w:pStyle w:val="Compact"/>
              <w:jc w:val="right"/>
            </w:pPr>
            <w:r>
              <w:rPr>
                <w:sz w:val="17"/>
              </w:rPr>
              <w:t xml:space="preserve">Output</w:t>
            </w:r>
          </w:p>
        </w:tc>
      </w:tr>
      <w:tr>
        <w:tc>
          <w:tcPr/>
          <w:p>
            <w:pPr>
              <w:pStyle w:val="Compact"/>
              <w:jc w:val="left"/>
            </w:pPr>
            <w:r>
              <w:rPr>
                <w:sz w:val="17"/>
              </w:rPr>
              <w:t xml:space="preserve">IR delta</w:t>
            </w:r>
          </w:p>
        </w:tc>
        <w:tc>
          <w:tcPr/>
          <w:p>
            <w:pPr>
              <w:pStyle w:val="Compact"/>
              <w:jc w:val="left"/>
            </w:pPr>
            <m:oMath>
              <m:r>
                <m:rPr>
                  <m:sty m:val="p"/>
                </m:rPr>
                <m:t>±</m:t>
              </m:r>
            </m:oMath>
            <w:r>
              <w:rPr>
                <w:sz w:val="17"/>
              </w:rPr>
              <w:t xml:space="preserve"> </w:t>
            </w:r>
            <w:r>
              <w:rPr>
                <w:sz w:val="17"/>
              </w:rPr>
              <w:t xml:space="preserve">0.5bp central difference on one par quote</w:t>
            </w:r>
          </w:p>
        </w:tc>
        <w:tc>
          <w:tcPr/>
          <w:p>
            <w:pPr>
              <w:pStyle w:val="Compact"/>
              <w:jc w:val="right"/>
            </w:pPr>
            <w:r>
              <w:rPr>
                <w:sz w:val="17"/>
              </w:rPr>
              <w:t xml:space="preserve">USD per 1bp of the par quote, at 12 vertices</w:t>
            </w:r>
          </w:p>
        </w:tc>
      </w:tr>
      <w:tr>
        <w:tc>
          <w:tcPr/>
          <w:p>
            <w:pPr>
              <w:pStyle w:val="Compact"/>
              <w:jc w:val="left"/>
            </w:pPr>
            <w:r>
              <w:rPr>
                <w:sz w:val="17"/>
              </w:rPr>
              <w:t xml:space="preserve">IR vega</w:t>
            </w:r>
          </w:p>
        </w:tc>
        <w:tc>
          <w:tcPr/>
          <w:p>
            <w:pPr>
              <w:pStyle w:val="Compact"/>
              <w:jc w:val="left"/>
            </w:pPr>
            <m:oMath>
              <m:r>
                <m:rPr>
                  <m:sty m:val="p"/>
                </m:rPr>
                <m:t>±</m:t>
              </m:r>
            </m:oMath>
            <w:r>
              <w:rPr>
                <w:sz w:val="17"/>
              </w:rPr>
              <w:t xml:space="preserve"> </w:t>
            </w:r>
            <w:r>
              <w:rPr>
                <w:sz w:val="17"/>
              </w:rPr>
              <w:t xml:space="preserve">0.5bp of normal vol</w:t>
            </w:r>
          </w:p>
        </w:tc>
        <w:tc>
          <w:tcPr/>
          <w:p>
            <w:pPr>
              <w:pStyle w:val="Compact"/>
              <w:jc w:val="right"/>
            </w:pPr>
            <w:r>
              <w:rPr>
                <w:sz w:val="17"/>
              </w:rPr>
              <w:t xml:space="preserve">vega times the market normal vol (USD), allocated to expiry vertices</w:t>
            </w:r>
          </w:p>
        </w:tc>
      </w:tr>
      <w:tr>
        <w:tc>
          <w:tcPr/>
          <w:p>
            <w:pPr>
              <w:pStyle w:val="Compact"/>
              <w:jc w:val="left"/>
            </w:pPr>
            <w:r>
              <w:rPr>
                <w:sz w:val="17"/>
              </w:rPr>
              <w:t xml:space="preserve">FX delta</w:t>
            </w:r>
          </w:p>
        </w:tc>
        <w:tc>
          <w:tcPr/>
          <w:p>
            <w:pPr>
              <w:pStyle w:val="Compact"/>
              <w:jc w:val="left"/>
            </w:pPr>
            <m:oMath>
              <m:r>
                <m:rPr>
                  <m:sty m:val="p"/>
                </m:rPr>
                <m:t>±</m:t>
              </m:r>
            </m:oMath>
            <w:r>
              <w:rPr>
                <w:sz w:val="17"/>
              </w:rPr>
              <w:t xml:space="preserve"> </w:t>
            </w:r>
            <w:r>
              <w:rPr>
                <w:sz w:val="17"/>
              </w:rPr>
              <w:t xml:space="preserve">0.5% relative move of the currency against USD</w:t>
            </w:r>
          </w:p>
        </w:tc>
        <w:tc>
          <w:tcPr/>
          <w:p>
            <w:pPr>
              <w:pStyle w:val="Compact"/>
              <w:jc w:val="right"/>
            </w:pPr>
            <w:r>
              <w:rPr>
                <w:sz w:val="17"/>
              </w:rPr>
              <w:t xml:space="preserve">USD per 1%, including translation risk</w:t>
            </w:r>
          </w:p>
        </w:tc>
      </w:tr>
      <w:tr>
        <w:tc>
          <w:tcPr/>
          <w:p>
            <w:pPr>
              <w:pStyle w:val="Compact"/>
              <w:jc w:val="left"/>
            </w:pPr>
            <w:r>
              <w:rPr>
                <w:sz w:val="17"/>
              </w:rPr>
              <w:t xml:space="preserve">FX vega</w:t>
            </w:r>
          </w:p>
        </w:tc>
        <w:tc>
          <w:tcPr/>
          <w:p>
            <w:pPr>
              <w:pStyle w:val="Compact"/>
              <w:jc w:val="left"/>
            </w:pPr>
            <m:oMath>
              <m:r>
                <m:rPr>
                  <m:sty m:val="p"/>
                </m:rPr>
                <m:t>±</m:t>
              </m:r>
            </m:oMath>
            <w:r>
              <w:rPr>
                <w:sz w:val="17"/>
              </w:rPr>
              <w:t xml:space="preserve"> </w:t>
            </w:r>
            <w:r>
              <w:rPr>
                <w:sz w:val="17"/>
              </w:rPr>
              <w:t xml:space="preserve">0.5 vol point</w:t>
            </w:r>
          </w:p>
        </w:tc>
        <w:tc>
          <w:tcPr/>
          <w:p>
            <w:pPr>
              <w:pStyle w:val="Compact"/>
              <w:jc w:val="right"/>
            </w:pPr>
            <w:r>
              <w:rPr>
                <w:sz w:val="17"/>
              </w:rPr>
              <w:t xml:space="preserve">vega per unit vol times the market vol (USD)</w:t>
            </w:r>
          </w:p>
        </w:tc>
      </w:tr>
      <w:tr>
        <w:tc>
          <w:tcPr/>
          <w:p>
            <w:pPr>
              <w:pStyle w:val="Compact"/>
              <w:jc w:val="left"/>
            </w:pPr>
            <w:r>
              <w:rPr>
                <w:sz w:val="17"/>
              </w:rPr>
              <w:t xml:space="preserve">Cross-currency basis</w:t>
            </w:r>
          </w:p>
        </w:tc>
        <w:tc>
          <w:tcPr/>
          <w:p>
            <w:pPr>
              <w:pStyle w:val="Compact"/>
              <w:jc w:val="left"/>
            </w:pPr>
            <m:oMath>
              <m:r>
                <m:rPr>
                  <m:sty m:val="p"/>
                </m:rPr>
                <m:t>±</m:t>
              </m:r>
            </m:oMath>
            <w:r>
              <w:rPr>
                <w:sz w:val="17"/>
              </w:rPr>
              <w:t xml:space="preserve"> </w:t>
            </w:r>
            <w:r>
              <w:rPr>
                <w:sz w:val="17"/>
              </w:rPr>
              <w:t xml:space="preserve">0.5bp of contract basis</w:t>
            </w:r>
          </w:p>
        </w:tc>
        <w:tc>
          <w:tcPr/>
          <w:p>
            <w:pPr>
              <w:pStyle w:val="Compact"/>
              <w:jc w:val="right"/>
            </w:pPr>
            <w:r>
              <w:rPr>
                <w:sz w:val="17"/>
              </w:rPr>
              <w:t xml:space="preserve">USD per 1bp</w:t>
            </w:r>
          </w:p>
        </w:tc>
      </w:tr>
    </w:tbl>
    <w:p>
      <w:pPr>
        <w:pStyle w:val="BodyText"/>
      </w:pPr>
      <w:r>
        <w:rPr>
          <w:b/>
          <w:bCs/>
        </w:rPr>
        <w:t xml:space="preserve">Linear rebucketing.</w:t>
      </w:r>
      <w:r>
        <w:t xml:space="preserve"> </w:t>
      </w:r>
      <w:r>
        <w:t xml:space="preserve">A 7-year swap sits between the 5-year and 10-year vertices. Its sensitivity is split linearly: the weight on the 10-year vertex is</w:t>
      </w:r>
      <w:r>
        <w:t xml:space="preserve"> </w:t>
      </w:r>
      <m:oMath>
        <m:r>
          <m:rPr>
            <m:sty m:val="p"/>
          </m:rPr>
          <m:t>(</m:t>
        </m:r>
        <m:r>
          <m:t>7</m:t>
        </m:r>
        <m:r>
          <m:rPr>
            <m:sty m:val="p"/>
          </m:rPr>
          <m:t>−</m:t>
        </m:r>
        <m:r>
          <m:t>5</m:t>
        </m:r>
        <m:r>
          <m:rPr>
            <m:sty m:val="p"/>
          </m:rPr>
          <m:t>)</m:t>
        </m:r>
        <m:r>
          <m:rPr>
            <m:sty m:val="p"/>
          </m:rPr>
          <m:t>/</m:t>
        </m:r>
        <m:r>
          <m:rPr>
            <m:sty m:val="p"/>
          </m:rPr>
          <m:t>(</m:t>
        </m:r>
        <m:r>
          <m:t>10</m:t>
        </m:r>
        <m:r>
          <m:rPr>
            <m:sty m:val="p"/>
          </m:rPr>
          <m:t>−</m:t>
        </m:r>
        <m:r>
          <m:t>5</m:t>
        </m:r>
        <m:r>
          <m:rPr>
            <m:sty m:val="p"/>
          </m:rPr>
          <m:t>)</m:t>
        </m:r>
        <m:r>
          <m:rPr>
            <m:sty m:val="p"/>
          </m:rPr>
          <m:t>=</m:t>
        </m:r>
        <m:r>
          <m:t>0.4</m:t>
        </m:r>
      </m:oMath>
      <w:r>
        <w:t xml:space="preserve"> </w:t>
      </w:r>
      <w:r>
        <w:t xml:space="preserve">and on the 5-year vertex</w:t>
      </w:r>
      <w:r>
        <w:t xml:space="preserve"> </w:t>
      </w:r>
      <m:oMath>
        <m:r>
          <m:t>0.6</m:t>
        </m:r>
      </m:oMath>
      <w:r>
        <w:t xml:space="preserve">. Swaption vega is allocated the same way across expiry vertices. Disputes arise when two parties rebucket differently (scenario D6 in Section 11).</w:t>
      </w:r>
    </w:p>
    <w:p>
      <w:pPr>
        <w:pStyle w:val="BodyText"/>
      </w:pPr>
      <w:r>
        <w:rPr>
          <w:b/>
          <w:bCs/>
        </w:rPr>
        <w:t xml:space="preserve">Translation risk.</w:t>
      </w:r>
      <w:r>
        <w:t xml:space="preserve"> </w:t>
      </w:r>
      <w:r>
        <w:t xml:space="preserve">An FX delta in SIMM is the change in USD value for a 1% rise of the foreign currency against USD. A EUR interest rate swap has no FX forward in it, but its PV is in euros, so a 1% EUR rise changes its USD value by 1% of the PV. That is why the EUR, GBP, JPY and MXN swaps appear in the FX delta rows of the CRIF.</w:t>
      </w:r>
    </w:p>
    <w:bookmarkEnd w:id="23"/>
    <w:bookmarkStart w:id="24" w:name="the-crif"/>
    <w:p>
      <w:pPr>
        <w:pStyle w:val="Heading2"/>
      </w:pPr>
      <w:r>
        <w:rPr>
          <w:rStyle w:val="SectionNumber"/>
        </w:rPr>
        <w:t xml:space="preserve">4.4</w:t>
      </w:r>
      <w:r>
        <w:tab/>
      </w:r>
      <w:r>
        <w:t xml:space="preserve">The CRIF</w:t>
      </w:r>
    </w:p>
    <w:p>
      <w:pPr>
        <w:pStyle w:val="FirstParagraph"/>
      </w:pPr>
      <w:r>
        <w:rPr>
          <w:rStyle w:val="VerbatimChar"/>
        </w:rPr>
        <w:t xml:space="preserve">crif.build_crif</w:t>
      </w:r>
      <w:r>
        <w:t xml:space="preserve"> </w:t>
      </w:r>
      <w:r>
        <w:t xml:space="preserve">turns the sensitivities into a CRIF-style table with the columns TradeID, PortfolioID, ProductClass, RiskType, Qualifier, Bucket, Label1, Label2, Amount, AmountCurrency and AmountUSD. At the valuation date the CRIF has 96 rows.</w:t>
      </w:r>
    </w:p>
    <w:p>
      <w:pPr>
        <w:pStyle w:val="TableCaption"/>
      </w:pPr>
      <w:r>
        <w:t xml:space="preserve">The CRIF of the sample book by risk type.</w:t>
      </w:r>
    </w:p>
    <w:tbl>
      <w:tblPr>
        <w:tblStyle w:val="Table"/>
        <w:tblW w:type="auto" w:w="0"/>
        <w:tblLook w:firstRow="1" w:lastRow="0" w:firstColumn="0" w:lastColumn="0" w:noHBand="0" w:noVBand="0" w:val="0020"/>
        <w:tblCaption w:val="The CRIF of the sample book by risk typ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Risk type</w:t>
            </w:r>
          </w:p>
        </w:tc>
        <w:tc>
          <w:tcPr/>
          <w:p>
            <w:pPr>
              <w:pStyle w:val="Compact"/>
              <w:jc w:val="right"/>
            </w:pPr>
            <w:r>
              <w:rPr>
                <w:sz w:val="17"/>
              </w:rPr>
              <w:t xml:space="preserve">CRIF rows</w:t>
            </w:r>
          </w:p>
        </w:tc>
        <w:tc>
          <w:tcPr/>
          <w:p>
            <w:pPr>
              <w:pStyle w:val="Compact"/>
              <w:jc w:val="right"/>
            </w:pPr>
            <w:r>
              <w:rPr>
                <w:sz w:val="17"/>
              </w:rPr>
              <w:t xml:space="preserve">Trades</w:t>
            </w:r>
          </w:p>
        </w:tc>
        <w:tc>
          <w:tcPr/>
          <w:p>
            <w:pPr>
              <w:pStyle w:val="Compact"/>
              <w:jc w:val="right"/>
            </w:pPr>
            <w:r>
              <w:rPr>
                <w:sz w:val="17"/>
              </w:rPr>
              <w:t xml:space="preserve">Sum of</w:t>
            </w:r>
          </w:p>
        </w:tc>
      </w:tr>
      <w:tr>
        <w:tc>
          <w:tcPr/>
          <w:p>
            <w:pPr>
              <w:pStyle w:val="Compact"/>
              <w:jc w:val="left"/>
            </w:pPr>
            <w:r>
              <w:rPr>
                <w:sz w:val="17"/>
              </w:rPr>
              <w:t xml:space="preserve">Risk_FX</w:t>
            </w:r>
          </w:p>
        </w:tc>
        <w:tc>
          <w:tcPr/>
          <w:p>
            <w:pPr>
              <w:pStyle w:val="Compact"/>
              <w:jc w:val="right"/>
            </w:pPr>
            <w:r>
              <w:rPr>
                <w:sz w:val="17"/>
              </w:rPr>
              <w:t xml:space="preserve">15</w:t>
            </w:r>
          </w:p>
        </w:tc>
        <w:tc>
          <w:tcPr/>
          <w:p>
            <w:pPr>
              <w:pStyle w:val="Compact"/>
              <w:jc w:val="right"/>
            </w:pPr>
            <w:r>
              <w:rPr>
                <w:sz w:val="17"/>
              </w:rPr>
              <w:t xml:space="preserve">15</w:t>
            </w:r>
          </w:p>
        </w:tc>
        <w:tc>
          <w:tcPr/>
          <w:p>
            <w:pPr>
              <w:pStyle w:val="Compact"/>
              <w:jc w:val="right"/>
            </w:pPr>
            <w:r>
              <w:rPr>
                <w:sz w:val="17"/>
              </w:rPr>
              <w:t xml:space="preserve">1,310,700</w:t>
            </w:r>
          </w:p>
        </w:tc>
      </w:tr>
      <w:tr>
        <w:tc>
          <w:tcPr/>
          <w:p>
            <w:pPr>
              <w:pStyle w:val="Compact"/>
              <w:jc w:val="left"/>
            </w:pPr>
            <w:r>
              <w:rPr>
                <w:sz w:val="17"/>
              </w:rPr>
              <w:t xml:space="preserve">Risk_FXVol</w:t>
            </w:r>
          </w:p>
        </w:tc>
        <w:tc>
          <w:tcPr/>
          <w:p>
            <w:pPr>
              <w:pStyle w:val="Compact"/>
              <w:jc w:val="right"/>
            </w:pPr>
            <w:r>
              <w:rPr>
                <w:sz w:val="17"/>
              </w:rPr>
              <w:t xml:space="preserve">4</w:t>
            </w:r>
          </w:p>
        </w:tc>
        <w:tc>
          <w:tcPr/>
          <w:p>
            <w:pPr>
              <w:pStyle w:val="Compact"/>
              <w:jc w:val="right"/>
            </w:pPr>
            <w:r>
              <w:rPr>
                <w:sz w:val="17"/>
              </w:rPr>
              <w:t xml:space="preserve">4</w:t>
            </w:r>
          </w:p>
        </w:tc>
        <w:tc>
          <w:tcPr/>
          <w:p>
            <w:pPr>
              <w:pStyle w:val="Compact"/>
              <w:jc w:val="right"/>
            </w:pPr>
            <w:r>
              <w:rPr>
                <w:sz w:val="17"/>
              </w:rPr>
              <w:t xml:space="preserve">1,853,154</w:t>
            </w:r>
          </w:p>
        </w:tc>
      </w:tr>
      <w:tr>
        <w:tc>
          <w:tcPr/>
          <w:p>
            <w:pPr>
              <w:pStyle w:val="Compact"/>
              <w:jc w:val="left"/>
            </w:pPr>
            <w:r>
              <w:rPr>
                <w:sz w:val="17"/>
              </w:rPr>
              <w:t xml:space="preserve">Risk_IRCurve</w:t>
            </w:r>
          </w:p>
        </w:tc>
        <w:tc>
          <w:tcPr/>
          <w:p>
            <w:pPr>
              <w:pStyle w:val="Compact"/>
              <w:jc w:val="right"/>
            </w:pPr>
            <w:r>
              <w:rPr>
                <w:sz w:val="17"/>
              </w:rPr>
              <w:t xml:space="preserve">73</w:t>
            </w:r>
          </w:p>
        </w:tc>
        <w:tc>
          <w:tcPr/>
          <w:p>
            <w:pPr>
              <w:pStyle w:val="Compact"/>
              <w:jc w:val="right"/>
            </w:pPr>
            <w:r>
              <w:rPr>
                <w:sz w:val="17"/>
              </w:rPr>
              <w:t xml:space="preserve">20</w:t>
            </w:r>
          </w:p>
        </w:tc>
        <w:tc>
          <w:tcPr/>
          <w:p>
            <w:pPr>
              <w:pStyle w:val="Compact"/>
              <w:jc w:val="right"/>
            </w:pPr>
            <w:r>
              <w:rPr>
                <w:sz w:val="17"/>
              </w:rPr>
              <w:t xml:space="preserve">235,159</w:t>
            </w:r>
          </w:p>
        </w:tc>
      </w:tr>
      <w:tr>
        <w:tc>
          <w:tcPr/>
          <w:p>
            <w:pPr>
              <w:pStyle w:val="Compact"/>
              <w:jc w:val="left"/>
            </w:pPr>
            <w:r>
              <w:rPr>
                <w:sz w:val="17"/>
              </w:rPr>
              <w:t xml:space="preserve">Risk_IRVol</w:t>
            </w:r>
          </w:p>
        </w:tc>
        <w:tc>
          <w:tcPr/>
          <w:p>
            <w:pPr>
              <w:pStyle w:val="Compact"/>
              <w:jc w:val="right"/>
            </w:pPr>
            <w:r>
              <w:rPr>
                <w:sz w:val="17"/>
              </w:rPr>
              <w:t xml:space="preserve">4</w:t>
            </w:r>
          </w:p>
        </w:tc>
        <w:tc>
          <w:tcPr/>
          <w:p>
            <w:pPr>
              <w:pStyle w:val="Compact"/>
              <w:jc w:val="right"/>
            </w:pPr>
            <w:r>
              <w:rPr>
                <w:sz w:val="17"/>
              </w:rPr>
              <w:t xml:space="preserve">3</w:t>
            </w:r>
          </w:p>
        </w:tc>
        <w:tc>
          <w:tcPr/>
          <w:p>
            <w:pPr>
              <w:pStyle w:val="Compact"/>
              <w:jc w:val="right"/>
            </w:pPr>
            <w:r>
              <w:rPr>
                <w:sz w:val="17"/>
              </w:rPr>
              <w:t xml:space="preserve">3,785,988</w:t>
            </w:r>
          </w:p>
        </w:tc>
      </w:tr>
    </w:tbl>
    <w:p>
      <w:pPr>
        <w:pStyle w:val="BodyText"/>
      </w:pPr>
      <w:r>
        <w:rPr>
          <w:b/>
          <w:bCs/>
        </w:rPr>
        <w:t xml:space="preserve">An issue found and fixed during the build: the FX vega convention.</w:t>
      </w:r>
      <w:r>
        <w:t xml:space="preserve"> </w:t>
      </w:r>
      <w:r>
        <w:t xml:space="preserve">A SIMM vega amount is vega times implied volatility, but for FX the "implied volatility" that SIMM weights is not the market vol. It is</w:t>
      </w:r>
      <w:r>
        <w:t xml:space="preserve"> </w:t>
      </w:r>
      <m:oMath>
        <m:sSub>
          <m:e>
            <m:r>
              <m:t>σ</m:t>
            </m:r>
          </m:e>
          <m:sub>
            <m:r>
              <m:t>S</m:t>
            </m:r>
            <m:r>
              <m:t>I</m:t>
            </m:r>
            <m:r>
              <m:t>M</m:t>
            </m:r>
            <m:r>
              <m:t>M</m:t>
            </m:r>
          </m:sub>
        </m:sSub>
      </m:oMath>
      <w:r>
        <w:t xml:space="preserve"> </w:t>
      </w:r>
      <w:r>
        <w:t xml:space="preserve">derived from the FX risk weight (Section 5). The engine therefore needs the market vol to recover the raw vega from the CRIF amount. The first version of the CRIF did not carry it, and the engine overstated FX vega and curvature margin (16.44 mm against 5.47 mm of total IM for the sample book in an early run, a clear red flag against the plausible magnitude). The fix is an extra CRIF column,</w:t>
      </w:r>
      <w:r>
        <w:t xml:space="preserve"> </w:t>
      </w:r>
      <w:r>
        <w:rPr>
          <w:rStyle w:val="VerbatimChar"/>
        </w:rPr>
        <w:t xml:space="preserve">SigmaMarket</w:t>
      </w:r>
      <w:r>
        <w:t xml:space="preserve">, filled on the 4 FX vega rows. This is not a standard CRIF column, so it is also finding F-12 in Section 14 and the cause of dispute scenario D4: a counterparty that treats the amount as already weighted gets a different IM from an identical-looking file.</w:t>
      </w:r>
    </w:p>
    <w:bookmarkEnd w:id="24"/>
    <w:bookmarkEnd w:id="25"/>
    <w:bookmarkStart w:id="41" w:name="simm-step-by-step"/>
    <w:p>
      <w:pPr>
        <w:pStyle w:val="Heading1"/>
      </w:pPr>
      <w:r>
        <w:rPr>
          <w:rStyle w:val="SectionNumber"/>
        </w:rPr>
        <w:t xml:space="preserve">5</w:t>
      </w:r>
      <w:r>
        <w:tab/>
      </w:r>
      <w:r>
        <w:t xml:space="preserve">SIMM step by step</w:t>
      </w:r>
    </w:p>
    <w:p>
      <w:pPr>
        <w:pStyle w:val="FirstParagraph"/>
      </w:pPr>
      <w:r>
        <w:t xml:space="preserve">This section explains every formula of the SIMM-style engine in</w:t>
      </w:r>
      <w:r>
        <w:t xml:space="preserve"> </w:t>
      </w:r>
      <w:r>
        <w:rPr>
          <w:rStyle w:val="VerbatimChar"/>
        </w:rPr>
        <w:t xml:space="preserve">simm.py</w:t>
      </w:r>
      <w:r>
        <w:t xml:space="preserve">, in the order the calculation runs. The structure follows the public methodology text (ISDA SIMM v2.8+2512, paras 5 to 11); all numbers come from</w:t>
      </w:r>
      <w:r>
        <w:t xml:space="preserve"> </w:t>
      </w:r>
      <w:r>
        <w:rPr>
          <w:rStyle w:val="VerbatimChar"/>
        </w:rPr>
        <w:t xml:space="preserve">data/parameters/simm_parameters.csv</w:t>
      </w:r>
      <w:r>
        <w:t xml:space="preserve">, loaded by</w:t>
      </w:r>
      <w:r>
        <w:t xml:space="preserve"> </w:t>
      </w:r>
      <w:r>
        <w:rPr>
          <w:rStyle w:val="VerbatimChar"/>
        </w:rPr>
        <w:t xml:space="preserve">params.load</w:t>
      </w:r>
      <w:r>
        <w:t xml:space="preserve">. The engine covers the RatesFX product class with two risk classes, IR and FX, each with delta, vega and curvature margin.</w:t>
      </w:r>
    </w:p>
    <w:bookmarkStart w:id="26" w:name="the-idea-in-one-paragraph"/>
    <w:p>
      <w:pPr>
        <w:pStyle w:val="Heading2"/>
      </w:pPr>
      <w:r>
        <w:rPr>
          <w:rStyle w:val="SectionNumber"/>
        </w:rPr>
        <w:t xml:space="preserve">5.1</w:t>
      </w:r>
      <w:r>
        <w:tab/>
      </w:r>
      <w:r>
        <w:t xml:space="preserve">The idea in one paragraph</w:t>
      </w:r>
    </w:p>
    <w:p>
      <w:pPr>
        <w:pStyle w:val="FirstParagraph"/>
      </w:pPr>
      <w:r>
        <w:t xml:space="preserve">SIMM treats the portfolio as a vector of sensitivities to standard risk factors. Each sensitivity is multiplied by a risk weight (roughly a 10-day, 99 percent move of that factor in sensitivity units), giving a weighted sensitivity</w:t>
      </w:r>
      <w:r>
        <w:t xml:space="preserve"> </w:t>
      </w:r>
      <m:oMath>
        <m:r>
          <m:t>W</m:t>
        </m:r>
        <m:r>
          <m:t>S</m:t>
        </m:r>
      </m:oMath>
      <w:r>
        <w:t xml:space="preserve">. Within a bucket (for IR, a currency) the weighted sensitivities are combined with a correlation matrix, so that opposite positions in correlated factors offset:</w:t>
      </w:r>
      <w:r>
        <w:t xml:space="preserve"> </w:t>
      </w:r>
      <m:oMath>
        <m:sSub>
          <m:e>
            <m:r>
              <m:t>K</m:t>
            </m:r>
          </m:e>
          <m:sub>
            <m:r>
              <m:t>b</m:t>
            </m:r>
          </m:sub>
        </m:sSub>
        <m:r>
          <m:rPr>
            <m:sty m:val="p"/>
          </m:rPr>
          <m:t>=</m:t>
        </m:r>
        <m:rad>
          <m:radPr>
            <m:degHide m:val="on"/>
          </m:radPr>
          <m:deg/>
          <m:e>
            <m:r>
              <m:rPr>
                <m:sty m:val="p"/>
              </m:rPr>
              <m:t>∑</m:t>
            </m:r>
            <m:r>
              <m:t>W</m:t>
            </m:r>
            <m:sSubSup>
              <m:e>
                <m:r>
                  <m:t>S</m:t>
                </m:r>
              </m:e>
              <m:sub>
                <m:r>
                  <m:t>k</m:t>
                </m:r>
              </m:sub>
              <m:sup>
                <m:r>
                  <m:t>2</m:t>
                </m:r>
              </m:sup>
            </m:sSubSup>
            <m:r>
              <m:rPr>
                <m:sty m:val="p"/>
              </m:rPr>
              <m:t>+</m:t>
            </m:r>
            <m:r>
              <m:rPr>
                <m:sty m:val="p"/>
              </m:rPr>
              <m:t>∑</m:t>
            </m:r>
            <m:r>
              <m:rPr>
                <m:sty m:val="p"/>
              </m:rPr>
              <m:t>∑</m:t>
            </m:r>
            <m:sSub>
              <m:e>
                <m:r>
                  <m:t>ρ</m:t>
                </m:r>
              </m:e>
              <m:sub>
                <m:r>
                  <m:t>k</m:t>
                </m:r>
                <m:r>
                  <m:t>l</m:t>
                </m:r>
              </m:sub>
            </m:sSub>
            <m:r>
              <m:t>W</m:t>
            </m:r>
            <m:sSub>
              <m:e>
                <m:r>
                  <m:t>S</m:t>
                </m:r>
              </m:e>
              <m:sub>
                <m:r>
                  <m:t>k</m:t>
                </m:r>
              </m:sub>
            </m:sSub>
            <m:r>
              <m:t>W</m:t>
            </m:r>
            <m:sSub>
              <m:e>
                <m:r>
                  <m:t>S</m:t>
                </m:r>
              </m:e>
              <m:sub>
                <m:r>
                  <m:t>l</m:t>
                </m:r>
              </m:sub>
            </m:sSub>
          </m:e>
        </m:rad>
      </m:oMath>
      <w:r>
        <w:t xml:space="preserve">. Buckets are then combined with a cross-bucket correlation, risk classes with another, and the delta, vega and curvature margins are added. It is a parametric approximation to a 99 percent, 10-day stressed VaR, which is exactly what makes backtesting it against historical losses meaningful.</w:t>
      </w:r>
    </w:p>
    <w:bookmarkEnd w:id="26"/>
    <w:bookmarkStart w:id="27" w:name="weighted-sensitivities-and-concentration"/>
    <w:p>
      <w:pPr>
        <w:pStyle w:val="Heading2"/>
      </w:pPr>
      <w:r>
        <w:rPr>
          <w:rStyle w:val="SectionNumber"/>
        </w:rPr>
        <w:t xml:space="preserve">5.2</w:t>
      </w:r>
      <w:r>
        <w:tab/>
      </w:r>
      <w:r>
        <w:t xml:space="preserve">Weighted sensitivities and concentration</w:t>
      </w:r>
    </w:p>
    <w:p>
      <w:pPr>
        <w:pStyle w:val="FirstParagraph"/>
      </w:pPr>
      <w:r>
        <w:t xml:space="preserve">For each risk factor</w:t>
      </w:r>
      <w:r>
        <w:t xml:space="preserve"> </w:t>
      </w:r>
      <m:oMath>
        <m:r>
          <m:t>k</m:t>
        </m:r>
      </m:oMath>
      <w:r>
        <w:t xml:space="preserve"> </w:t>
      </w:r>
      <w:r>
        <w:t xml:space="preserve">the net sensitivity</w:t>
      </w:r>
      <w:r>
        <w:t xml:space="preserve"> </w:t>
      </w:r>
      <m:oMath>
        <m:sSub>
          <m:e>
            <m:r>
              <m:t>s</m:t>
            </m:r>
          </m:e>
          <m:sub>
            <m:r>
              <m:t>k</m:t>
            </m:r>
          </m:sub>
        </m:sSub>
      </m:oMath>
      <w:r>
        <w:t xml:space="preserve"> </w:t>
      </w:r>
      <w:r>
        <w:t xml:space="preserve">is the sum over all trades. The weighted sensitivity is</w:t>
      </w:r>
    </w:p>
    <w:p>
      <w:pPr>
        <w:pStyle w:val="BodyText"/>
      </w:pPr>
      <m:oMathPara>
        <m:oMathParaPr>
          <m:jc m:val="center"/>
        </m:oMathParaPr>
        <m:oMath>
          <m:r>
            <m:t>W</m:t>
          </m:r>
          <m:sSub>
            <m:e>
              <m:r>
                <m:t>S</m:t>
              </m:r>
            </m:e>
            <m:sub>
              <m:r>
                <m:t>k</m:t>
              </m:r>
            </m:sub>
          </m:sSub>
          <m:r>
            <m:rPr>
              <m:sty m:val="p"/>
            </m:rPr>
            <m:t>=</m:t>
          </m:r>
          <m:r>
            <m:t>R</m:t>
          </m:r>
          <m:sSub>
            <m:e>
              <m:r>
                <m:t>W</m:t>
              </m:r>
            </m:e>
            <m:sub>
              <m:r>
                <m:t>k</m:t>
              </m:r>
            </m:sub>
          </m:sSub>
          <m:r>
            <m:t> </m:t>
          </m:r>
          <m:sSub>
            <m:e>
              <m:r>
                <m:t>s</m:t>
              </m:r>
            </m:e>
            <m:sub>
              <m:r>
                <m:t>k</m:t>
              </m:r>
            </m:sub>
          </m:sSub>
          <m:r>
            <m:t> </m:t>
          </m:r>
          <m:r>
            <m:t>C</m:t>
          </m:r>
          <m:sSub>
            <m:e>
              <m:r>
                <m:t>R</m:t>
              </m:r>
            </m:e>
            <m:sub>
              <m:r>
                <m:t>b</m:t>
              </m:r>
            </m:sub>
          </m:sSub>
          <m:r>
            <m:rPr>
              <m:sty m:val="p"/>
            </m:rPr>
            <m:t>,</m:t>
          </m:r>
          <m:r>
            <m:t>  </m:t>
          </m:r>
          <m:r>
            <m:t>C</m:t>
          </m:r>
          <m:sSub>
            <m:e>
              <m:r>
                <m:t>R</m:t>
              </m:r>
            </m:e>
            <m:sub>
              <m:r>
                <m:t>b</m:t>
              </m:r>
            </m:sub>
          </m:sSub>
          <m:r>
            <m:rPr>
              <m:sty m:val="p"/>
            </m:rPr>
            <m:t>=</m:t>
          </m:r>
          <m:r>
            <m:rPr>
              <m:sty m:val="p"/>
            </m:rPr>
            <m:t>max</m:t>
          </m:r>
          <m:r>
            <m:t>​</m:t>
          </m:r>
          <m:d>
            <m:dPr>
              <m:begChr m:val="("/>
              <m:sepChr m:val=""/>
              <m:endChr m:val=")"/>
              <m:grow/>
            </m:dPr>
            <m:e>
              <m:r>
                <m:t>1</m:t>
              </m:r>
              <m:r>
                <m:rPr>
                  <m:sty m:val="p"/>
                </m:rPr>
                <m:t>,</m:t>
              </m:r>
              <m:rad>
                <m:radPr>
                  <m:degHide m:val="on"/>
                </m:radPr>
                <m:deg/>
                <m:e>
                  <m:f>
                    <m:fPr>
                      <m:type m:val="bar"/>
                    </m:fPr>
                    <m:num>
                      <m:d>
                        <m:dPr>
                          <m:begChr m:val="|"/>
                          <m:sepChr m:val=""/>
                          <m:endChr m:val="|"/>
                          <m:grow/>
                        </m:dPr>
                        <m:e>
                          <m:nary>
                            <m:naryPr>
                              <m:chr m:val="∑"/>
                              <m:limLoc m:val="undOvr"/>
                              <m:subHide m:val="off"/>
                              <m:supHide m:val="on"/>
                            </m:naryPr>
                            <m:sub>
                              <m:r>
                                <m:t>k</m:t>
                              </m:r>
                            </m:sub>
                            <m:sup>
                              <m:r>
                                <m:t>​</m:t>
                              </m:r>
                            </m:sup>
                            <m:e>
                              <m:sSub>
                                <m:e>
                                  <m:r>
                                    <m:t>s</m:t>
                                  </m:r>
                                </m:e>
                                <m:sub>
                                  <m:r>
                                    <m:t>k</m:t>
                                  </m:r>
                                </m:sub>
                              </m:sSub>
                            </m:e>
                          </m:nary>
                        </m:e>
                      </m:d>
                    </m:num>
                    <m:den>
                      <m:sSub>
                        <m:e>
                          <m:r>
                            <m:t>T</m:t>
                          </m:r>
                        </m:e>
                        <m:sub>
                          <m:r>
                            <m:t>b</m:t>
                          </m:r>
                        </m:sub>
                      </m:sSub>
                    </m:den>
                  </m:f>
                </m:e>
              </m:rad>
            </m:e>
          </m:d>
          <m:r>
            <m:rPr>
              <m:sty m:val="p"/>
            </m:rPr>
            <m:t>.</m:t>
          </m:r>
        </m:oMath>
      </m:oMathPara>
    </w:p>
    <w:p>
      <w:pPr>
        <w:pStyle w:val="FirstParagraph"/>
      </w:pPr>
      <m:oMath>
        <m:r>
          <m:t>R</m:t>
        </m:r>
        <m:sSub>
          <m:e>
            <m:r>
              <m:t>W</m:t>
            </m:r>
          </m:e>
          <m:sub>
            <m:r>
              <m:t>k</m:t>
            </m:r>
          </m:sub>
        </m:sSub>
      </m:oMath>
      <w:r>
        <w:t xml:space="preserve"> </w:t>
      </w:r>
      <w:r>
        <w:t xml:space="preserve">is the risk weight,</w:t>
      </w:r>
      <w:r>
        <w:t xml:space="preserve"> </w:t>
      </w:r>
      <m:oMath>
        <m:sSub>
          <m:e>
            <m:r>
              <m:t>T</m:t>
            </m:r>
          </m:e>
          <m:sub>
            <m:r>
              <m:t>b</m:t>
            </m:r>
          </m:sub>
        </m:sSub>
      </m:oMath>
      <w:r>
        <w:t xml:space="preserve"> </w:t>
      </w:r>
      <w:r>
        <w:t xml:space="preserve">the concentration threshold of the bucket in USD millions per basis point (IR delta), and</w:t>
      </w:r>
      <w:r>
        <w:t xml:space="preserve"> </w:t>
      </w:r>
      <m:oMath>
        <m:r>
          <m:t>C</m:t>
        </m:r>
        <m:sSub>
          <m:e>
            <m:r>
              <m:t>R</m:t>
            </m:r>
          </m:e>
          <m:sub>
            <m:r>
              <m:t>b</m:t>
            </m:r>
          </m:sub>
        </m:sSub>
      </m:oMath>
      <w:r>
        <w:t xml:space="preserve"> </w:t>
      </w:r>
      <w:r>
        <w:t xml:space="preserve">the concentration risk factor. The idea is that a very large position in a currency cannot be liquidated in 10 days at the same price as a small one, so the risk weight is scaled up once the net position exceeds a threshold. Below the threshold</w:t>
      </w:r>
      <w:r>
        <w:t xml:space="preserve"> </w:t>
      </w:r>
      <m:oMath>
        <m:r>
          <m:t>C</m:t>
        </m:r>
        <m:r>
          <m:t>R</m:t>
        </m:r>
        <m:r>
          <m:rPr>
            <m:sty m:val="p"/>
          </m:rPr>
          <m:t>=</m:t>
        </m:r>
        <m:r>
          <m:t>1</m:t>
        </m:r>
      </m:oMath>
      <w:r>
        <w:t xml:space="preserve"> </w:t>
      </w:r>
      <w:r>
        <w:t xml:space="preserve">and the margin is linear in position size; above it the margin grows faster than linearly. Cross-currency basis rows are neither summed into the CR nor scaled (their</w:t>
      </w:r>
      <w:r>
        <w:t xml:space="preserve"> </w:t>
      </w:r>
      <m:oMath>
        <m:r>
          <m:t>C</m:t>
        </m:r>
        <m:r>
          <m:t>R</m:t>
        </m:r>
      </m:oMath>
      <w:r>
        <w:t xml:space="preserve"> </w:t>
      </w:r>
      <w:r>
        <w:t xml:space="preserve">is 1).</w:t>
      </w:r>
    </w:p>
    <w:p>
      <w:pPr>
        <w:pStyle w:val="BodyText"/>
      </w:pPr>
      <w:r>
        <w:rPr>
          <w:b/>
          <w:bCs/>
        </w:rPr>
        <w:t xml:space="preserve">Parameters.</w:t>
      </w:r>
      <w:r>
        <w:t xml:space="preserve"> </w:t>
      </w:r>
      <w:r>
        <w:t xml:space="preserve">The IR delta risk weights depend on the volatility group of the currency. For the sample currencies:</w:t>
      </w:r>
    </w:p>
    <w:p>
      <w:pPr>
        <w:pStyle w:val="TableCaption"/>
      </w:pPr>
      <w:r>
        <w:t xml:space="preserve">IR delta risk weights by tenor (basis point of sensitivity, v2.8+2512). JPY is the only low-volatility currency; MXN is in the high-volatility group.</w:t>
      </w:r>
    </w:p>
    <w:tbl>
      <w:tblPr>
        <w:tblStyle w:val="Table"/>
        <w:tblW w:type="pct" w:w="5000"/>
        <w:tblLayout w:type="fixed"/>
        <w:tblLook w:firstRow="1" w:lastRow="0" w:firstColumn="0" w:lastColumn="0" w:noHBand="0" w:noVBand="0" w:val="0020"/>
        <w:tblCaption w:val="IR delta risk weights by tenor (basis point of sensitivity, v2.8+2512). JPY is the only low-volatility currency; MXN is in the high-volatility group."/>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73"/>
        <w:gridCol w:w="2640"/>
        <w:gridCol w:w="2295"/>
        <w:gridCol w:w="2410"/>
      </w:tblGrid>
      <w:tr>
        <w:trPr>
          <w:tblHeader w:val="on"/>
        </w:trPr>
        <w:tc>
          <w:tcPr/>
          <w:p>
            <w:pPr>
              <w:pStyle w:val="Compact"/>
              <w:jc w:val="left"/>
            </w:pPr>
            <w:r>
              <w:rPr>
                <w:sz w:val="17"/>
              </w:rPr>
              <w:t xml:space="preserve">Tenor</w:t>
            </w:r>
          </w:p>
        </w:tc>
        <w:tc>
          <w:tcPr/>
          <w:p>
            <w:pPr>
              <w:pStyle w:val="Compact"/>
              <w:jc w:val="right"/>
            </w:pPr>
            <w:r>
              <w:rPr>
                <w:sz w:val="17"/>
              </w:rPr>
              <w:t xml:space="preserve">Regular (USD, EUR, GBP)</w:t>
            </w:r>
          </w:p>
        </w:tc>
        <w:tc>
          <w:tcPr/>
          <w:p>
            <w:pPr>
              <w:pStyle w:val="Compact"/>
              <w:jc w:val="right"/>
            </w:pPr>
            <w:r>
              <w:rPr>
                <w:sz w:val="17"/>
              </w:rPr>
              <w:t xml:space="preserve">Low volatility (JPY)</w:t>
            </w:r>
          </w:p>
        </w:tc>
        <w:tc>
          <w:tcPr/>
          <w:p>
            <w:pPr>
              <w:pStyle w:val="Compact"/>
              <w:jc w:val="right"/>
            </w:pPr>
            <w:r>
              <w:rPr>
                <w:sz w:val="17"/>
              </w:rPr>
              <w:t xml:space="preserve">High volatility (MXN)</w:t>
            </w:r>
          </w:p>
        </w:tc>
      </w:tr>
      <w:tr>
        <w:tc>
          <w:tcPr/>
          <w:p>
            <w:pPr>
              <w:pStyle w:val="Compact"/>
              <w:jc w:val="left"/>
            </w:pPr>
            <w:r>
              <w:rPr>
                <w:sz w:val="17"/>
              </w:rPr>
              <w:t xml:space="preserve">2w</w:t>
            </w:r>
          </w:p>
        </w:tc>
        <w:tc>
          <w:tcPr/>
          <w:p>
            <w:pPr>
              <w:pStyle w:val="Compact"/>
              <w:jc w:val="right"/>
            </w:pPr>
            <w:r>
              <w:rPr>
                <w:sz w:val="17"/>
              </w:rPr>
              <w:t xml:space="preserve">107</w:t>
            </w:r>
          </w:p>
        </w:tc>
        <w:tc>
          <w:tcPr/>
          <w:p>
            <w:pPr>
              <w:pStyle w:val="Compact"/>
              <w:jc w:val="right"/>
            </w:pPr>
            <w:r>
              <w:rPr>
                <w:sz w:val="17"/>
              </w:rPr>
              <w:t xml:space="preserve">15</w:t>
            </w:r>
          </w:p>
        </w:tc>
        <w:tc>
          <w:tcPr/>
          <w:p>
            <w:pPr>
              <w:pStyle w:val="Compact"/>
              <w:jc w:val="right"/>
            </w:pPr>
            <w:r>
              <w:rPr>
                <w:sz w:val="17"/>
              </w:rPr>
              <w:t xml:space="preserve">167</w:t>
            </w:r>
          </w:p>
        </w:tc>
      </w:tr>
      <w:tr>
        <w:tc>
          <w:tcPr/>
          <w:p>
            <w:pPr>
              <w:pStyle w:val="Compact"/>
              <w:jc w:val="left"/>
            </w:pPr>
            <w:r>
              <w:rPr>
                <w:sz w:val="17"/>
              </w:rPr>
              <w:t xml:space="preserve">1m</w:t>
            </w:r>
          </w:p>
        </w:tc>
        <w:tc>
          <w:tcPr/>
          <w:p>
            <w:pPr>
              <w:pStyle w:val="Compact"/>
              <w:jc w:val="right"/>
            </w:pPr>
            <w:r>
              <w:rPr>
                <w:sz w:val="17"/>
              </w:rPr>
              <w:t xml:space="preserve">101</w:t>
            </w:r>
          </w:p>
        </w:tc>
        <w:tc>
          <w:tcPr/>
          <w:p>
            <w:pPr>
              <w:pStyle w:val="Compact"/>
              <w:jc w:val="right"/>
            </w:pPr>
            <w:r>
              <w:rPr>
                <w:sz w:val="17"/>
              </w:rPr>
              <w:t xml:space="preserve">18</w:t>
            </w:r>
          </w:p>
        </w:tc>
        <w:tc>
          <w:tcPr/>
          <w:p>
            <w:pPr>
              <w:pStyle w:val="Compact"/>
              <w:jc w:val="right"/>
            </w:pPr>
            <w:r>
              <w:rPr>
                <w:sz w:val="17"/>
              </w:rPr>
              <w:t xml:space="preserve">102</w:t>
            </w:r>
          </w:p>
        </w:tc>
      </w:tr>
      <w:tr>
        <w:tc>
          <w:tcPr/>
          <w:p>
            <w:pPr>
              <w:pStyle w:val="Compact"/>
              <w:jc w:val="left"/>
            </w:pPr>
            <w:r>
              <w:rPr>
                <w:sz w:val="17"/>
              </w:rPr>
              <w:t xml:space="preserve">3m</w:t>
            </w:r>
          </w:p>
        </w:tc>
        <w:tc>
          <w:tcPr/>
          <w:p>
            <w:pPr>
              <w:pStyle w:val="Compact"/>
              <w:jc w:val="right"/>
            </w:pPr>
            <w:r>
              <w:rPr>
                <w:sz w:val="17"/>
              </w:rPr>
              <w:t xml:space="preserve">90</w:t>
            </w:r>
          </w:p>
        </w:tc>
        <w:tc>
          <w:tcPr/>
          <w:p>
            <w:pPr>
              <w:pStyle w:val="Compact"/>
              <w:jc w:val="right"/>
            </w:pPr>
            <w:r>
              <w:rPr>
                <w:sz w:val="17"/>
              </w:rPr>
              <w:t xml:space="preserve">12</w:t>
            </w:r>
          </w:p>
        </w:tc>
        <w:tc>
          <w:tcPr/>
          <w:p>
            <w:pPr>
              <w:pStyle w:val="Compact"/>
              <w:jc w:val="right"/>
            </w:pPr>
            <w:r>
              <w:rPr>
                <w:sz w:val="17"/>
              </w:rPr>
              <w:t xml:space="preserve">79</w:t>
            </w:r>
          </w:p>
        </w:tc>
      </w:tr>
      <w:tr>
        <w:tc>
          <w:tcPr/>
          <w:p>
            <w:pPr>
              <w:pStyle w:val="Compact"/>
              <w:jc w:val="left"/>
            </w:pPr>
            <w:r>
              <w:rPr>
                <w:sz w:val="17"/>
              </w:rPr>
              <w:t xml:space="preserve">6m</w:t>
            </w:r>
          </w:p>
        </w:tc>
        <w:tc>
          <w:tcPr/>
          <w:p>
            <w:pPr>
              <w:pStyle w:val="Compact"/>
              <w:jc w:val="right"/>
            </w:pPr>
            <w:r>
              <w:rPr>
                <w:sz w:val="17"/>
              </w:rPr>
              <w:t xml:space="preserve">69</w:t>
            </w:r>
          </w:p>
        </w:tc>
        <w:tc>
          <w:tcPr/>
          <w:p>
            <w:pPr>
              <w:pStyle w:val="Compact"/>
              <w:jc w:val="right"/>
            </w:pPr>
            <w:r>
              <w:rPr>
                <w:sz w:val="17"/>
              </w:rPr>
              <w:t xml:space="preserve">11</w:t>
            </w:r>
          </w:p>
        </w:tc>
        <w:tc>
          <w:tcPr/>
          <w:p>
            <w:pPr>
              <w:pStyle w:val="Compact"/>
              <w:jc w:val="right"/>
            </w:pPr>
            <w:r>
              <w:rPr>
                <w:sz w:val="17"/>
              </w:rPr>
              <w:t xml:space="preserve">82</w:t>
            </w:r>
          </w:p>
        </w:tc>
      </w:tr>
      <w:tr>
        <w:tc>
          <w:tcPr/>
          <w:p>
            <w:pPr>
              <w:pStyle w:val="Compact"/>
              <w:jc w:val="left"/>
            </w:pPr>
            <w:r>
              <w:rPr>
                <w:sz w:val="17"/>
              </w:rPr>
              <w:t xml:space="preserve">1y</w:t>
            </w:r>
          </w:p>
        </w:tc>
        <w:tc>
          <w:tcPr/>
          <w:p>
            <w:pPr>
              <w:pStyle w:val="Compact"/>
              <w:jc w:val="right"/>
            </w:pPr>
            <w:r>
              <w:rPr>
                <w:sz w:val="17"/>
              </w:rPr>
              <w:t xml:space="preserve">68</w:t>
            </w:r>
          </w:p>
        </w:tc>
        <w:tc>
          <w:tcPr/>
          <w:p>
            <w:pPr>
              <w:pStyle w:val="Compact"/>
              <w:jc w:val="right"/>
            </w:pPr>
            <w:r>
              <w:rPr>
                <w:sz w:val="17"/>
              </w:rPr>
              <w:t xml:space="preserve">15</w:t>
            </w:r>
          </w:p>
        </w:tc>
        <w:tc>
          <w:tcPr/>
          <w:p>
            <w:pPr>
              <w:pStyle w:val="Compact"/>
              <w:jc w:val="right"/>
            </w:pPr>
            <w:r>
              <w:rPr>
                <w:sz w:val="17"/>
              </w:rPr>
              <w:t xml:space="preserve">90</w:t>
            </w:r>
          </w:p>
        </w:tc>
      </w:tr>
      <w:tr>
        <w:tc>
          <w:tcPr/>
          <w:p>
            <w:pPr>
              <w:pStyle w:val="Compact"/>
              <w:jc w:val="left"/>
            </w:pPr>
            <w:r>
              <w:rPr>
                <w:sz w:val="17"/>
              </w:rPr>
              <w:t xml:space="preserve">2y</w:t>
            </w:r>
          </w:p>
        </w:tc>
        <w:tc>
          <w:tcPr/>
          <w:p>
            <w:pPr>
              <w:pStyle w:val="Compact"/>
              <w:jc w:val="right"/>
            </w:pPr>
            <w:r>
              <w:rPr>
                <w:sz w:val="17"/>
              </w:rPr>
              <w:t xml:space="preserve">69</w:t>
            </w:r>
          </w:p>
        </w:tc>
        <w:tc>
          <w:tcPr/>
          <w:p>
            <w:pPr>
              <w:pStyle w:val="Compact"/>
              <w:jc w:val="right"/>
            </w:pPr>
            <w:r>
              <w:rPr>
                <w:sz w:val="17"/>
              </w:rPr>
              <w:t xml:space="preserve">21</w:t>
            </w:r>
          </w:p>
        </w:tc>
        <w:tc>
          <w:tcPr/>
          <w:p>
            <w:pPr>
              <w:pStyle w:val="Compact"/>
              <w:jc w:val="right"/>
            </w:pPr>
            <w:r>
              <w:rPr>
                <w:sz w:val="17"/>
              </w:rPr>
              <w:t xml:space="preserve">93</w:t>
            </w:r>
          </w:p>
        </w:tc>
      </w:tr>
      <w:tr>
        <w:tc>
          <w:tcPr/>
          <w:p>
            <w:pPr>
              <w:pStyle w:val="Compact"/>
              <w:jc w:val="left"/>
            </w:pPr>
            <w:r>
              <w:rPr>
                <w:sz w:val="17"/>
              </w:rPr>
              <w:t xml:space="preserve">3y</w:t>
            </w:r>
          </w:p>
        </w:tc>
        <w:tc>
          <w:tcPr/>
          <w:p>
            <w:pPr>
              <w:pStyle w:val="Compact"/>
              <w:jc w:val="right"/>
            </w:pPr>
            <w:r>
              <w:rPr>
                <w:sz w:val="17"/>
              </w:rPr>
              <w:t xml:space="preserve">66</w:t>
            </w:r>
          </w:p>
        </w:tc>
        <w:tc>
          <w:tcPr/>
          <w:p>
            <w:pPr>
              <w:pStyle w:val="Compact"/>
              <w:jc w:val="right"/>
            </w:pPr>
            <w:r>
              <w:rPr>
                <w:sz w:val="17"/>
              </w:rPr>
              <w:t xml:space="preserve">23</w:t>
            </w:r>
          </w:p>
        </w:tc>
        <w:tc>
          <w:tcPr/>
          <w:p>
            <w:pPr>
              <w:pStyle w:val="Compact"/>
              <w:jc w:val="right"/>
            </w:pPr>
            <w:r>
              <w:rPr>
                <w:sz w:val="17"/>
              </w:rPr>
              <w:t xml:space="preserve">92</w:t>
            </w:r>
          </w:p>
        </w:tc>
      </w:tr>
      <w:tr>
        <w:tc>
          <w:tcPr/>
          <w:p>
            <w:pPr>
              <w:pStyle w:val="Compact"/>
              <w:jc w:val="left"/>
            </w:pPr>
            <w:r>
              <w:rPr>
                <w:sz w:val="17"/>
              </w:rPr>
              <w:t xml:space="preserve">5y</w:t>
            </w:r>
          </w:p>
        </w:tc>
        <w:tc>
          <w:tcPr/>
          <w:p>
            <w:pPr>
              <w:pStyle w:val="Compact"/>
              <w:jc w:val="right"/>
            </w:pPr>
            <w:r>
              <w:rPr>
                <w:sz w:val="17"/>
              </w:rPr>
              <w:t xml:space="preserve">61</w:t>
            </w:r>
          </w:p>
        </w:tc>
        <w:tc>
          <w:tcPr/>
          <w:p>
            <w:pPr>
              <w:pStyle w:val="Compact"/>
              <w:jc w:val="right"/>
            </w:pPr>
            <w:r>
              <w:rPr>
                <w:sz w:val="17"/>
              </w:rPr>
              <w:t xml:space="preserve">25</w:t>
            </w:r>
          </w:p>
        </w:tc>
        <w:tc>
          <w:tcPr/>
          <w:p>
            <w:pPr>
              <w:pStyle w:val="Compact"/>
              <w:jc w:val="right"/>
            </w:pPr>
            <w:r>
              <w:rPr>
                <w:sz w:val="17"/>
              </w:rPr>
              <w:t xml:space="preserve">88</w:t>
            </w:r>
          </w:p>
        </w:tc>
      </w:tr>
      <w:tr>
        <w:tc>
          <w:tcPr/>
          <w:p>
            <w:pPr>
              <w:pStyle w:val="Compact"/>
              <w:jc w:val="left"/>
            </w:pPr>
            <w:r>
              <w:rPr>
                <w:sz w:val="17"/>
              </w:rPr>
              <w:t xml:space="preserve">10y</w:t>
            </w:r>
          </w:p>
        </w:tc>
        <w:tc>
          <w:tcPr/>
          <w:p>
            <w:pPr>
              <w:pStyle w:val="Compact"/>
              <w:jc w:val="right"/>
            </w:pPr>
            <w:r>
              <w:rPr>
                <w:sz w:val="17"/>
              </w:rPr>
              <w:t xml:space="preserve">60</w:t>
            </w:r>
          </w:p>
        </w:tc>
        <w:tc>
          <w:tcPr/>
          <w:p>
            <w:pPr>
              <w:pStyle w:val="Compact"/>
              <w:jc w:val="right"/>
            </w:pPr>
            <w:r>
              <w:rPr>
                <w:sz w:val="17"/>
              </w:rPr>
              <w:t xml:space="preserve">29</w:t>
            </w:r>
          </w:p>
        </w:tc>
        <w:tc>
          <w:tcPr/>
          <w:p>
            <w:pPr>
              <w:pStyle w:val="Compact"/>
              <w:jc w:val="right"/>
            </w:pPr>
            <w:r>
              <w:rPr>
                <w:sz w:val="17"/>
              </w:rPr>
              <w:t xml:space="preserve">88</w:t>
            </w:r>
          </w:p>
        </w:tc>
      </w:tr>
      <w:tr>
        <w:tc>
          <w:tcPr/>
          <w:p>
            <w:pPr>
              <w:pStyle w:val="Compact"/>
              <w:jc w:val="left"/>
            </w:pPr>
            <w:r>
              <w:rPr>
                <w:sz w:val="17"/>
              </w:rPr>
              <w:t xml:space="preserve">15y</w:t>
            </w:r>
          </w:p>
        </w:tc>
        <w:tc>
          <w:tcPr/>
          <w:p>
            <w:pPr>
              <w:pStyle w:val="Compact"/>
              <w:jc w:val="right"/>
            </w:pPr>
            <w:r>
              <w:rPr>
                <w:sz w:val="17"/>
              </w:rPr>
              <w:t xml:space="preserve">58</w:t>
            </w:r>
          </w:p>
        </w:tc>
        <w:tc>
          <w:tcPr/>
          <w:p>
            <w:pPr>
              <w:pStyle w:val="Compact"/>
              <w:jc w:val="right"/>
            </w:pPr>
            <w:r>
              <w:rPr>
                <w:sz w:val="17"/>
              </w:rPr>
              <w:t xml:space="preserve">27</w:t>
            </w:r>
          </w:p>
        </w:tc>
        <w:tc>
          <w:tcPr/>
          <w:p>
            <w:pPr>
              <w:pStyle w:val="Compact"/>
              <w:jc w:val="right"/>
            </w:pPr>
            <w:r>
              <w:rPr>
                <w:sz w:val="17"/>
              </w:rPr>
              <w:t xml:space="preserve">98</w:t>
            </w:r>
          </w:p>
        </w:tc>
      </w:tr>
      <w:tr>
        <w:tc>
          <w:tcPr/>
          <w:p>
            <w:pPr>
              <w:pStyle w:val="Compact"/>
              <w:jc w:val="left"/>
            </w:pPr>
            <w:r>
              <w:rPr>
                <w:sz w:val="17"/>
              </w:rPr>
              <w:t xml:space="preserve">20y</w:t>
            </w:r>
          </w:p>
        </w:tc>
        <w:tc>
          <w:tcPr/>
          <w:p>
            <w:pPr>
              <w:pStyle w:val="Compact"/>
              <w:jc w:val="right"/>
            </w:pPr>
            <w:r>
              <w:rPr>
                <w:sz w:val="17"/>
              </w:rPr>
              <w:t xml:space="preserve">58</w:t>
            </w:r>
          </w:p>
        </w:tc>
        <w:tc>
          <w:tcPr/>
          <w:p>
            <w:pPr>
              <w:pStyle w:val="Compact"/>
              <w:jc w:val="right"/>
            </w:pPr>
            <w:r>
              <w:rPr>
                <w:sz w:val="17"/>
              </w:rPr>
              <w:t xml:space="preserve">26</w:t>
            </w:r>
          </w:p>
        </w:tc>
        <w:tc>
          <w:tcPr/>
          <w:p>
            <w:pPr>
              <w:pStyle w:val="Compact"/>
              <w:jc w:val="right"/>
            </w:pPr>
            <w:r>
              <w:rPr>
                <w:sz w:val="17"/>
              </w:rPr>
              <w:t xml:space="preserve">101</w:t>
            </w:r>
          </w:p>
        </w:tc>
      </w:tr>
      <w:tr>
        <w:tc>
          <w:tcPr/>
          <w:p>
            <w:pPr>
              <w:pStyle w:val="Compact"/>
              <w:jc w:val="left"/>
            </w:pPr>
            <w:r>
              <w:rPr>
                <w:sz w:val="17"/>
              </w:rPr>
              <w:t xml:space="preserve">30y</w:t>
            </w:r>
          </w:p>
        </w:tc>
        <w:tc>
          <w:tcPr/>
          <w:p>
            <w:pPr>
              <w:pStyle w:val="Compact"/>
              <w:jc w:val="right"/>
            </w:pPr>
            <w:r>
              <w:rPr>
                <w:sz w:val="17"/>
              </w:rPr>
              <w:t xml:space="preserve">66</w:t>
            </w:r>
          </w:p>
        </w:tc>
        <w:tc>
          <w:tcPr/>
          <w:p>
            <w:pPr>
              <w:pStyle w:val="Compact"/>
              <w:jc w:val="right"/>
            </w:pPr>
            <w:r>
              <w:rPr>
                <w:sz w:val="17"/>
              </w:rPr>
              <w:t xml:space="preserve">28</w:t>
            </w:r>
          </w:p>
        </w:tc>
        <w:tc>
          <w:tcPr/>
          <w:p>
            <w:pPr>
              <w:pStyle w:val="Compact"/>
              <w:jc w:val="right"/>
            </w:pPr>
            <w:r>
              <w:rPr>
                <w:sz w:val="17"/>
              </w:rPr>
              <w:t xml:space="preserve">96</w:t>
            </w:r>
          </w:p>
        </w:tc>
      </w:tr>
    </w:tbl>
    <w:p>
      <w:pPr>
        <w:pStyle w:val="BodyText"/>
      </w:pPr>
      <w:r>
        <w:t xml:space="preserve">Further parameters used by the engine, for both versions:</w:t>
      </w:r>
    </w:p>
    <w:p>
      <w:pPr>
        <w:pStyle w:val="TableCaption"/>
      </w:pPr>
      <w:r>
        <w:t xml:space="preserve">Main SIMM-style parameters (correlations and gamma as percent; risk weights as printed in the methodology).</w:t>
      </w:r>
    </w:p>
    <w:tbl>
      <w:tblPr>
        <w:tblStyle w:val="Table"/>
        <w:tblW w:type="pct" w:w="5000"/>
        <w:tblLayout w:type="fixed"/>
        <w:tblLook w:firstRow="1" w:lastRow="0" w:firstColumn="0" w:lastColumn="0" w:noHBand="0" w:noVBand="0" w:val="0020"/>
        <w:tblCaption w:val="Main SIMM-style parameters (correlations and gamma as percent; risk weights as printed in the methodology)."/>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Parameter</w:t>
            </w:r>
          </w:p>
        </w:tc>
        <w:tc>
          <w:tcPr/>
          <w:p>
            <w:pPr>
              <w:pStyle w:val="Compact"/>
              <w:jc w:val="right"/>
            </w:pPr>
            <w:r>
              <w:rPr>
                <w:sz w:val="17"/>
              </w:rPr>
              <w:t xml:space="preserve">v2.8+2512</w:t>
            </w:r>
          </w:p>
        </w:tc>
        <w:tc>
          <w:tcPr/>
          <w:p>
            <w:pPr>
              <w:pStyle w:val="Compact"/>
              <w:jc w:val="right"/>
            </w:pPr>
            <w:r>
              <w:rPr>
                <w:sz w:val="17"/>
              </w:rPr>
              <w:t xml:space="preserve">v2.8+2506</w:t>
            </w:r>
          </w:p>
        </w:tc>
      </w:tr>
      <w:tr>
        <w:tc>
          <w:tcPr/>
          <w:p>
            <w:pPr>
              <w:pStyle w:val="Compact"/>
              <w:jc w:val="left"/>
            </w:pPr>
            <w:r>
              <w:rPr>
                <w:sz w:val="17"/>
              </w:rPr>
              <w:t xml:space="preserve">IR delta: sub-curve correlation phi</w:t>
            </w:r>
          </w:p>
        </w:tc>
        <w:tc>
          <w:tcPr/>
          <w:p>
            <w:pPr>
              <w:pStyle w:val="Compact"/>
              <w:jc w:val="right"/>
            </w:pPr>
            <w:r>
              <w:rPr>
                <w:sz w:val="17"/>
              </w:rPr>
              <w:t xml:space="preserve">98.1%</w:t>
            </w:r>
          </w:p>
        </w:tc>
        <w:tc>
          <w:tcPr/>
          <w:p>
            <w:pPr>
              <w:pStyle w:val="Compact"/>
              <w:jc w:val="right"/>
            </w:pPr>
            <w:r>
              <w:rPr>
                <w:sz w:val="17"/>
              </w:rPr>
              <w:t xml:space="preserve">98.1%</w:t>
            </w:r>
          </w:p>
        </w:tc>
      </w:tr>
      <w:tr>
        <w:tc>
          <w:tcPr/>
          <w:p>
            <w:pPr>
              <w:pStyle w:val="Compact"/>
              <w:jc w:val="left"/>
            </w:pPr>
            <w:r>
              <w:rPr>
                <w:sz w:val="17"/>
              </w:rPr>
              <w:t xml:space="preserve">IR delta: inflation to yield correlation</w:t>
            </w:r>
          </w:p>
        </w:tc>
        <w:tc>
          <w:tcPr/>
          <w:p>
            <w:pPr>
              <w:pStyle w:val="Compact"/>
              <w:jc w:val="right"/>
            </w:pPr>
            <w:r>
              <w:rPr>
                <w:sz w:val="17"/>
              </w:rPr>
              <w:t xml:space="preserve">42.0%</w:t>
            </w:r>
          </w:p>
        </w:tc>
        <w:tc>
          <w:tcPr/>
          <w:p>
            <w:pPr>
              <w:pStyle w:val="Compact"/>
              <w:jc w:val="right"/>
            </w:pPr>
            <w:r>
              <w:rPr>
                <w:sz w:val="17"/>
              </w:rPr>
              <w:t xml:space="preserve">42.0%</w:t>
            </w:r>
          </w:p>
        </w:tc>
      </w:tr>
      <w:tr>
        <w:tc>
          <w:tcPr/>
          <w:p>
            <w:pPr>
              <w:pStyle w:val="Compact"/>
              <w:jc w:val="left"/>
            </w:pPr>
            <w:r>
              <w:rPr>
                <w:sz w:val="17"/>
              </w:rPr>
              <w:t xml:space="preserve">IR delta: cross-currency basis to yield correlation</w:t>
            </w:r>
          </w:p>
        </w:tc>
        <w:tc>
          <w:tcPr/>
          <w:p>
            <w:pPr>
              <w:pStyle w:val="Compact"/>
              <w:jc w:val="right"/>
            </w:pPr>
            <w:r>
              <w:rPr>
                <w:sz w:val="17"/>
              </w:rPr>
              <w:t xml:space="preserve">-1.0%</w:t>
            </w:r>
          </w:p>
        </w:tc>
        <w:tc>
          <w:tcPr/>
          <w:p>
            <w:pPr>
              <w:pStyle w:val="Compact"/>
              <w:jc w:val="right"/>
            </w:pPr>
            <w:r>
              <w:rPr>
                <w:sz w:val="17"/>
              </w:rPr>
              <w:t xml:space="preserve">-1.0%</w:t>
            </w:r>
          </w:p>
        </w:tc>
      </w:tr>
      <w:tr>
        <w:tc>
          <w:tcPr/>
          <w:p>
            <w:pPr>
              <w:pStyle w:val="Compact"/>
              <w:jc w:val="left"/>
            </w:pPr>
            <w:r>
              <w:rPr>
                <w:sz w:val="17"/>
              </w:rPr>
              <w:t xml:space="preserve">IR delta: inter-currency gamma</w:t>
            </w:r>
          </w:p>
        </w:tc>
        <w:tc>
          <w:tcPr/>
          <w:p>
            <w:pPr>
              <w:pStyle w:val="Compact"/>
              <w:jc w:val="right"/>
            </w:pPr>
            <w:r>
              <w:rPr>
                <w:sz w:val="17"/>
              </w:rPr>
              <w:t xml:space="preserve">35.0%</w:t>
            </w:r>
          </w:p>
        </w:tc>
        <w:tc>
          <w:tcPr/>
          <w:p>
            <w:pPr>
              <w:pStyle w:val="Compact"/>
              <w:jc w:val="right"/>
            </w:pPr>
            <w:r>
              <w:rPr>
                <w:sz w:val="17"/>
              </w:rPr>
              <w:t xml:space="preserve">35.0%</w:t>
            </w:r>
          </w:p>
        </w:tc>
      </w:tr>
      <w:tr>
        <w:tc>
          <w:tcPr/>
          <w:p>
            <w:pPr>
              <w:pStyle w:val="Compact"/>
              <w:jc w:val="left"/>
            </w:pPr>
            <w:r>
              <w:rPr>
                <w:sz w:val="17"/>
              </w:rPr>
              <w:t xml:space="preserve">IR delta: risk weight, inflation</w:t>
            </w:r>
          </w:p>
        </w:tc>
        <w:tc>
          <w:tcPr/>
          <w:p>
            <w:pPr>
              <w:pStyle w:val="Compact"/>
              <w:jc w:val="right"/>
            </w:pPr>
            <w:r>
              <w:rPr>
                <w:sz w:val="17"/>
              </w:rPr>
              <w:t xml:space="preserve">51</w:t>
            </w:r>
          </w:p>
        </w:tc>
        <w:tc>
          <w:tcPr/>
          <w:p>
            <w:pPr>
              <w:pStyle w:val="Compact"/>
              <w:jc w:val="right"/>
            </w:pPr>
            <w:r>
              <w:rPr>
                <w:sz w:val="17"/>
              </w:rPr>
              <w:t xml:space="preserve">51</w:t>
            </w:r>
          </w:p>
        </w:tc>
      </w:tr>
      <w:tr>
        <w:tc>
          <w:tcPr/>
          <w:p>
            <w:pPr>
              <w:pStyle w:val="Compact"/>
              <w:jc w:val="left"/>
            </w:pPr>
            <w:r>
              <w:rPr>
                <w:sz w:val="17"/>
              </w:rPr>
              <w:t xml:space="preserve">IR delta: risk weight, cross-currency basis</w:t>
            </w:r>
          </w:p>
        </w:tc>
        <w:tc>
          <w:tcPr/>
          <w:p>
            <w:pPr>
              <w:pStyle w:val="Compact"/>
              <w:jc w:val="right"/>
            </w:pPr>
            <w:r>
              <w:rPr>
                <w:sz w:val="17"/>
              </w:rPr>
              <w:t xml:space="preserve">21</w:t>
            </w:r>
          </w:p>
        </w:tc>
        <w:tc>
          <w:tcPr/>
          <w:p>
            <w:pPr>
              <w:pStyle w:val="Compact"/>
              <w:jc w:val="right"/>
            </w:pPr>
            <w:r>
              <w:rPr>
                <w:sz w:val="17"/>
              </w:rPr>
              <w:t xml:space="preserve">21</w:t>
            </w:r>
          </w:p>
        </w:tc>
      </w:tr>
      <w:tr>
        <w:tc>
          <w:tcPr/>
          <w:p>
            <w:pPr>
              <w:pStyle w:val="Compact"/>
              <w:jc w:val="left"/>
            </w:pPr>
            <w:r>
              <w:rPr>
                <w:sz w:val="17"/>
              </w:rPr>
              <w:t xml:space="preserve">IR vega: risk weight VRW</w:t>
            </w:r>
          </w:p>
        </w:tc>
        <w:tc>
          <w:tcPr/>
          <w:p>
            <w:pPr>
              <w:pStyle w:val="Compact"/>
              <w:jc w:val="right"/>
            </w:pPr>
            <w:r>
              <w:rPr>
                <w:sz w:val="17"/>
              </w:rPr>
              <w:t xml:space="preserve">0.20</w:t>
            </w:r>
          </w:p>
        </w:tc>
        <w:tc>
          <w:tcPr/>
          <w:p>
            <w:pPr>
              <w:pStyle w:val="Compact"/>
              <w:jc w:val="right"/>
            </w:pPr>
            <w:r>
              <w:rPr>
                <w:sz w:val="17"/>
              </w:rPr>
              <w:t xml:space="preserve">0.20</w:t>
            </w:r>
          </w:p>
        </w:tc>
      </w:tr>
      <w:tr>
        <w:tc>
          <w:tcPr/>
          <w:p>
            <w:pPr>
              <w:pStyle w:val="Compact"/>
              <w:jc w:val="left"/>
            </w:pPr>
            <w:r>
              <w:rPr>
                <w:sz w:val="17"/>
              </w:rPr>
              <w:t xml:space="preserve">IR curvature: HVR (curvature scaled by HVR to the power -2)</w:t>
            </w:r>
          </w:p>
        </w:tc>
        <w:tc>
          <w:tcPr/>
          <w:p>
            <w:pPr>
              <w:pStyle w:val="Compact"/>
              <w:jc w:val="right"/>
            </w:pPr>
            <w:r>
              <w:rPr>
                <w:sz w:val="17"/>
              </w:rPr>
              <w:t xml:space="preserve">0.74</w:t>
            </w:r>
          </w:p>
        </w:tc>
        <w:tc>
          <w:tcPr/>
          <w:p>
            <w:pPr>
              <w:pStyle w:val="Compact"/>
              <w:jc w:val="right"/>
            </w:pPr>
            <w:r>
              <w:rPr>
                <w:sz w:val="17"/>
              </w:rPr>
              <w:t xml:space="preserve">0.74</w:t>
            </w:r>
          </w:p>
        </w:tc>
      </w:tr>
      <w:tr>
        <w:tc>
          <w:tcPr/>
          <w:p>
            <w:pPr>
              <w:pStyle w:val="Compact"/>
              <w:jc w:val="left"/>
            </w:pPr>
            <w:r>
              <w:rPr>
                <w:sz w:val="17"/>
              </w:rPr>
              <w:t xml:space="preserve">FX delta: risk weight, regular currency against USD</w:t>
            </w:r>
          </w:p>
        </w:tc>
        <w:tc>
          <w:tcPr/>
          <w:p>
            <w:pPr>
              <w:pStyle w:val="Compact"/>
              <w:jc w:val="right"/>
            </w:pPr>
            <w:r>
              <w:rPr>
                <w:sz w:val="17"/>
              </w:rPr>
              <w:t xml:space="preserve">7.4</w:t>
            </w:r>
          </w:p>
        </w:tc>
        <w:tc>
          <w:tcPr/>
          <w:p>
            <w:pPr>
              <w:pStyle w:val="Compact"/>
              <w:jc w:val="right"/>
            </w:pPr>
            <w:r>
              <w:rPr>
                <w:sz w:val="17"/>
              </w:rPr>
              <w:t xml:space="preserve">7.1</w:t>
            </w:r>
          </w:p>
        </w:tc>
      </w:tr>
      <w:tr>
        <w:tc>
          <w:tcPr/>
          <w:p>
            <w:pPr>
              <w:pStyle w:val="Compact"/>
              <w:jc w:val="left"/>
            </w:pPr>
            <w:r>
              <w:rPr>
                <w:sz w:val="17"/>
              </w:rPr>
              <w:t xml:space="preserve">FX delta: correlation between two regular-group currencies</w:t>
            </w:r>
          </w:p>
        </w:tc>
        <w:tc>
          <w:tcPr/>
          <w:p>
            <w:pPr>
              <w:pStyle w:val="Compact"/>
              <w:jc w:val="right"/>
            </w:pPr>
            <w:r>
              <w:rPr>
                <w:sz w:val="17"/>
              </w:rPr>
              <w:t xml:space="preserve">50.0%</w:t>
            </w:r>
          </w:p>
        </w:tc>
        <w:tc>
          <w:tcPr/>
          <w:p>
            <w:pPr>
              <w:pStyle w:val="Compact"/>
              <w:jc w:val="right"/>
            </w:pPr>
            <w:r>
              <w:rPr>
                <w:sz w:val="17"/>
              </w:rPr>
              <w:t xml:space="preserve">50.0%</w:t>
            </w:r>
          </w:p>
        </w:tc>
      </w:tr>
      <w:tr>
        <w:tc>
          <w:tcPr/>
          <w:p>
            <w:pPr>
              <w:pStyle w:val="Compact"/>
              <w:jc w:val="left"/>
            </w:pPr>
            <w:r>
              <w:rPr>
                <w:sz w:val="17"/>
              </w:rPr>
              <w:t xml:space="preserve">FX vega: risk weight VRW</w:t>
            </w:r>
          </w:p>
        </w:tc>
        <w:tc>
          <w:tcPr/>
          <w:p>
            <w:pPr>
              <w:pStyle w:val="Compact"/>
              <w:jc w:val="right"/>
            </w:pPr>
            <w:r>
              <w:rPr>
                <w:sz w:val="17"/>
              </w:rPr>
              <w:t xml:space="preserve">0.33</w:t>
            </w:r>
          </w:p>
        </w:tc>
        <w:tc>
          <w:tcPr/>
          <w:p>
            <w:pPr>
              <w:pStyle w:val="Compact"/>
              <w:jc w:val="right"/>
            </w:pPr>
            <w:r>
              <w:rPr>
                <w:sz w:val="17"/>
              </w:rPr>
              <w:t xml:space="preserve">0.34</w:t>
            </w:r>
          </w:p>
        </w:tc>
      </w:tr>
      <w:tr>
        <w:tc>
          <w:tcPr/>
          <w:p>
            <w:pPr>
              <w:pStyle w:val="Compact"/>
              <w:jc w:val="left"/>
            </w:pPr>
            <w:r>
              <w:rPr>
                <w:sz w:val="17"/>
              </w:rPr>
              <w:t xml:space="preserve">FX vega: HVR</w:t>
            </w:r>
          </w:p>
        </w:tc>
        <w:tc>
          <w:tcPr/>
          <w:p>
            <w:pPr>
              <w:pStyle w:val="Compact"/>
              <w:jc w:val="right"/>
            </w:pPr>
            <w:r>
              <w:rPr>
                <w:sz w:val="17"/>
              </w:rPr>
              <w:t xml:space="preserve">0.67</w:t>
            </w:r>
          </w:p>
        </w:tc>
        <w:tc>
          <w:tcPr/>
          <w:p>
            <w:pPr>
              <w:pStyle w:val="Compact"/>
              <w:jc w:val="right"/>
            </w:pPr>
            <w:r>
              <w:rPr>
                <w:sz w:val="17"/>
              </w:rPr>
              <w:t xml:space="preserve">0.68</w:t>
            </w:r>
          </w:p>
        </w:tc>
      </w:tr>
      <w:tr>
        <w:tc>
          <w:tcPr/>
          <w:p>
            <w:pPr>
              <w:pStyle w:val="Compact"/>
              <w:jc w:val="left"/>
            </w:pPr>
            <w:r>
              <w:rPr>
                <w:sz w:val="17"/>
              </w:rPr>
              <w:t xml:space="preserve">FX vega and curvature: correlation</w:t>
            </w:r>
          </w:p>
        </w:tc>
        <w:tc>
          <w:tcPr/>
          <w:p>
            <w:pPr>
              <w:pStyle w:val="Compact"/>
              <w:jc w:val="right"/>
            </w:pPr>
            <w:r>
              <w:rPr>
                <w:sz w:val="17"/>
              </w:rPr>
              <w:t xml:space="preserve">50.0%</w:t>
            </w:r>
          </w:p>
        </w:tc>
        <w:tc>
          <w:tcPr/>
          <w:p>
            <w:pPr>
              <w:pStyle w:val="Compact"/>
              <w:jc w:val="right"/>
            </w:pPr>
            <w:r>
              <w:rPr>
                <w:sz w:val="17"/>
              </w:rPr>
              <w:t xml:space="preserve">50.0%</w:t>
            </w:r>
          </w:p>
        </w:tc>
      </w:tr>
      <w:tr>
        <w:tc>
          <w:tcPr/>
          <w:p>
            <w:pPr>
              <w:pStyle w:val="Compact"/>
              <w:jc w:val="left"/>
            </w:pPr>
            <w:r>
              <w:rPr>
                <w:sz w:val="17"/>
              </w:rPr>
              <w:t xml:space="preserve">Risk class correlation psi, IR to FX</w:t>
            </w:r>
          </w:p>
        </w:tc>
        <w:tc>
          <w:tcPr/>
          <w:p>
            <w:pPr>
              <w:pStyle w:val="Compact"/>
              <w:jc w:val="right"/>
            </w:pPr>
            <w:r>
              <w:rPr>
                <w:sz w:val="17"/>
              </w:rPr>
              <w:t xml:space="preserve">15.0%</w:t>
            </w:r>
          </w:p>
        </w:tc>
        <w:tc>
          <w:tcPr/>
          <w:p>
            <w:pPr>
              <w:pStyle w:val="Compact"/>
              <w:jc w:val="right"/>
            </w:pPr>
            <w:r>
              <w:rPr>
                <w:sz w:val="17"/>
              </w:rPr>
              <w:t xml:space="preserve">10.0%</w:t>
            </w:r>
          </w:p>
        </w:tc>
      </w:tr>
    </w:tbl>
    <w:p>
      <w:pPr>
        <w:pStyle w:val="BodyText"/>
      </w:pPr>
      <w:r>
        <w:t xml:space="preserve">Concentration thresholds are in USD millions (per bp for IR delta, per 1% for FX delta, per unit of vega-times-vol for vega):</w:t>
      </w:r>
    </w:p>
    <w:p>
      <w:pPr>
        <w:pStyle w:val="TableCaption"/>
      </w:pPr>
      <w:r>
        <w:t xml:space="preserve">IR concentration thresholds by currency group.</w:t>
      </w:r>
    </w:p>
    <w:tbl>
      <w:tblPr>
        <w:tblStyle w:val="Table"/>
        <w:tblW w:type="pct" w:w="5000"/>
        <w:tblLayout w:type="fixed"/>
        <w:tblLook w:firstRow="1" w:lastRow="0" w:firstColumn="0" w:lastColumn="0" w:noHBand="0" w:noVBand="0" w:val="0020"/>
        <w:tblCaption w:val="IR concentration thresholds by currency group."/>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IR currency group</w:t>
            </w:r>
          </w:p>
        </w:tc>
        <w:tc>
          <w:tcPr/>
          <w:p>
            <w:pPr>
              <w:pStyle w:val="Compact"/>
              <w:jc w:val="right"/>
            </w:pPr>
            <w:r>
              <w:rPr>
                <w:sz w:val="17"/>
              </w:rPr>
              <w:t xml:space="preserve">Delta v2.8+2512 (USD mm/bp)</w:t>
            </w:r>
          </w:p>
        </w:tc>
        <w:tc>
          <w:tcPr/>
          <w:p>
            <w:pPr>
              <w:pStyle w:val="Compact"/>
              <w:jc w:val="right"/>
            </w:pPr>
            <w:r>
              <w:rPr>
                <w:sz w:val="17"/>
              </w:rPr>
              <w:t xml:space="preserve">Delta v2.8+2506</w:t>
            </w:r>
          </w:p>
        </w:tc>
        <w:tc>
          <w:tcPr/>
          <w:p>
            <w:pPr>
              <w:pStyle w:val="Compact"/>
              <w:jc w:val="right"/>
            </w:pPr>
            <w:r>
              <w:rPr>
                <w:sz w:val="17"/>
              </w:rPr>
              <w:t xml:space="preserve">Vega v2.8+2512 (USD mm)</w:t>
            </w:r>
          </w:p>
        </w:tc>
        <w:tc>
          <w:tcPr/>
          <w:p>
            <w:pPr>
              <w:pStyle w:val="Compact"/>
              <w:jc w:val="right"/>
            </w:pPr>
            <w:r>
              <w:rPr>
                <w:sz w:val="17"/>
              </w:rPr>
              <w:t xml:space="preserve">Vega v2.8+2506</w:t>
            </w:r>
          </w:p>
        </w:tc>
      </w:tr>
      <w:tr>
        <w:tc>
          <w:tcPr/>
          <w:p>
            <w:pPr>
              <w:pStyle w:val="Compact"/>
              <w:jc w:val="left"/>
            </w:pPr>
            <w:r>
              <w:rPr>
                <w:sz w:val="17"/>
              </w:rPr>
              <w:t xml:space="preserve">Well-traded (USD, EUR, GBP)</w:t>
            </w:r>
          </w:p>
        </w:tc>
        <w:tc>
          <w:tcPr/>
          <w:p>
            <w:pPr>
              <w:pStyle w:val="Compact"/>
              <w:jc w:val="right"/>
            </w:pPr>
            <w:r>
              <w:rPr>
                <w:sz w:val="17"/>
              </w:rPr>
              <w:t xml:space="preserve">220</w:t>
            </w:r>
          </w:p>
        </w:tc>
        <w:tc>
          <w:tcPr/>
          <w:p>
            <w:pPr>
              <w:pStyle w:val="Compact"/>
              <w:jc w:val="right"/>
            </w:pPr>
            <w:r>
              <w:rPr>
                <w:sz w:val="17"/>
              </w:rPr>
              <w:t xml:space="preserve">210</w:t>
            </w:r>
          </w:p>
        </w:tc>
        <w:tc>
          <w:tcPr/>
          <w:p>
            <w:pPr>
              <w:pStyle w:val="Compact"/>
              <w:jc w:val="right"/>
            </w:pPr>
            <w:r>
              <w:rPr>
                <w:sz w:val="17"/>
              </w:rPr>
              <w:t xml:space="preserve">3,800</w:t>
            </w:r>
          </w:p>
        </w:tc>
        <w:tc>
          <w:tcPr/>
          <w:p>
            <w:pPr>
              <w:pStyle w:val="Compact"/>
              <w:jc w:val="right"/>
            </w:pPr>
            <w:r>
              <w:rPr>
                <w:sz w:val="17"/>
              </w:rPr>
              <w:t xml:space="preserve">4,400</w:t>
            </w:r>
          </w:p>
        </w:tc>
      </w:tr>
      <w:tr>
        <w:tc>
          <w:tcPr/>
          <w:p>
            <w:pPr>
              <w:pStyle w:val="Compact"/>
              <w:jc w:val="left"/>
            </w:pPr>
            <w:r>
              <w:rPr>
                <w:sz w:val="17"/>
              </w:rPr>
              <w:t xml:space="preserve">Less well-traded</w:t>
            </w:r>
          </w:p>
        </w:tc>
        <w:tc>
          <w:tcPr/>
          <w:p>
            <w:pPr>
              <w:pStyle w:val="Compact"/>
              <w:jc w:val="right"/>
            </w:pPr>
            <w:r>
              <w:rPr>
                <w:sz w:val="17"/>
              </w:rPr>
              <w:t xml:space="preserve">110</w:t>
            </w:r>
          </w:p>
        </w:tc>
        <w:tc>
          <w:tcPr/>
          <w:p>
            <w:pPr>
              <w:pStyle w:val="Compact"/>
              <w:jc w:val="right"/>
            </w:pPr>
            <w:r>
              <w:rPr>
                <w:sz w:val="17"/>
              </w:rPr>
              <w:t xml:space="preserve">100</w:t>
            </w:r>
          </w:p>
        </w:tc>
        <w:tc>
          <w:tcPr/>
          <w:p>
            <w:pPr>
              <w:pStyle w:val="Compact"/>
              <w:jc w:val="right"/>
            </w:pPr>
            <w:r>
              <w:rPr>
                <w:sz w:val="17"/>
              </w:rPr>
              <w:t xml:space="preserve">520</w:t>
            </w:r>
          </w:p>
        </w:tc>
        <w:tc>
          <w:tcPr/>
          <w:p>
            <w:pPr>
              <w:pStyle w:val="Compact"/>
              <w:jc w:val="right"/>
            </w:pPr>
            <w:r>
              <w:rPr>
                <w:sz w:val="17"/>
              </w:rPr>
              <w:t xml:space="preserve">480</w:t>
            </w:r>
          </w:p>
        </w:tc>
      </w:tr>
      <w:tr>
        <w:tc>
          <w:tcPr/>
          <w:p>
            <w:pPr>
              <w:pStyle w:val="Compact"/>
              <w:jc w:val="left"/>
            </w:pPr>
            <w:r>
              <w:rPr>
                <w:sz w:val="17"/>
              </w:rPr>
              <w:t xml:space="preserve">Low volatility (JPY)</w:t>
            </w:r>
          </w:p>
        </w:tc>
        <w:tc>
          <w:tcPr/>
          <w:p>
            <w:pPr>
              <w:pStyle w:val="Compact"/>
              <w:jc w:val="right"/>
            </w:pPr>
            <w:r>
              <w:rPr>
                <w:sz w:val="17"/>
              </w:rPr>
              <w:t xml:space="preserve">370</w:t>
            </w:r>
          </w:p>
        </w:tc>
        <w:tc>
          <w:tcPr/>
          <w:p>
            <w:pPr>
              <w:pStyle w:val="Compact"/>
              <w:jc w:val="right"/>
            </w:pPr>
            <w:r>
              <w:rPr>
                <w:sz w:val="17"/>
              </w:rPr>
              <w:t xml:space="preserve">230</w:t>
            </w:r>
          </w:p>
        </w:tc>
        <w:tc>
          <w:tcPr/>
          <w:p>
            <w:pPr>
              <w:pStyle w:val="Compact"/>
              <w:jc w:val="right"/>
            </w:pPr>
            <w:r>
              <w:rPr>
                <w:sz w:val="17"/>
              </w:rPr>
              <w:t xml:space="preserve">1,100</w:t>
            </w:r>
          </w:p>
        </w:tc>
        <w:tc>
          <w:tcPr/>
          <w:p>
            <w:pPr>
              <w:pStyle w:val="Compact"/>
              <w:jc w:val="right"/>
            </w:pPr>
            <w:r>
              <w:rPr>
                <w:sz w:val="17"/>
              </w:rPr>
              <w:t xml:space="preserve">860</w:t>
            </w:r>
          </w:p>
        </w:tc>
      </w:tr>
      <w:tr>
        <w:tc>
          <w:tcPr/>
          <w:p>
            <w:pPr>
              <w:pStyle w:val="Compact"/>
              <w:jc w:val="left"/>
            </w:pPr>
            <w:r>
              <w:rPr>
                <w:sz w:val="17"/>
              </w:rPr>
              <w:t xml:space="preserve">High volatility (for example MXN)</w:t>
            </w:r>
          </w:p>
        </w:tc>
        <w:tc>
          <w:tcPr/>
          <w:p>
            <w:pPr>
              <w:pStyle w:val="Compact"/>
              <w:jc w:val="right"/>
            </w:pPr>
            <w:r>
              <w:rPr>
                <w:sz w:val="17"/>
              </w:rPr>
              <w:t xml:space="preserve">71</w:t>
            </w:r>
          </w:p>
        </w:tc>
        <w:tc>
          <w:tcPr/>
          <w:p>
            <w:pPr>
              <w:pStyle w:val="Compact"/>
              <w:jc w:val="right"/>
            </w:pPr>
            <w:r>
              <w:rPr>
                <w:sz w:val="17"/>
              </w:rPr>
              <w:t xml:space="preserve">51</w:t>
            </w:r>
          </w:p>
        </w:tc>
        <w:tc>
          <w:tcPr/>
          <w:p>
            <w:pPr>
              <w:pStyle w:val="Compact"/>
              <w:jc w:val="right"/>
            </w:pPr>
            <w:r>
              <w:rPr>
                <w:sz w:val="17"/>
              </w:rPr>
              <w:t xml:space="preserve">160</w:t>
            </w:r>
          </w:p>
        </w:tc>
        <w:tc>
          <w:tcPr/>
          <w:p>
            <w:pPr>
              <w:pStyle w:val="Compact"/>
              <w:jc w:val="right"/>
            </w:pPr>
            <w:r>
              <w:rPr>
                <w:sz w:val="17"/>
              </w:rPr>
              <w:t xml:space="preserve">110</w:t>
            </w:r>
          </w:p>
        </w:tc>
      </w:tr>
    </w:tbl>
    <w:p/>
    <w:p>
      <w:pPr>
        <w:pStyle w:val="TableCaption"/>
      </w:pPr>
      <w:r>
        <w:t xml:space="preserve">FX delta concentration thresholds by category.</w:t>
      </w:r>
    </w:p>
    <w:tbl>
      <w:tblPr>
        <w:tblStyle w:val="Table"/>
        <w:tblW w:type="pct" w:w="5000"/>
        <w:tblLayout w:type="fixed"/>
        <w:tblLook w:firstRow="1" w:lastRow="0" w:firstColumn="0" w:lastColumn="0" w:noHBand="0" w:noVBand="0" w:val="0020"/>
        <w:tblCaption w:val="FX delta concentration thresholds by category."/>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FX category</w:t>
            </w:r>
          </w:p>
        </w:tc>
        <w:tc>
          <w:tcPr/>
          <w:p>
            <w:pPr>
              <w:pStyle w:val="Compact"/>
              <w:jc w:val="left"/>
            </w:pPr>
            <w:r>
              <w:rPr>
                <w:sz w:val="17"/>
              </w:rPr>
              <w:t xml:space="preserve">Currencies</w:t>
            </w:r>
          </w:p>
        </w:tc>
        <w:tc>
          <w:tcPr/>
          <w:p>
            <w:pPr>
              <w:pStyle w:val="Compact"/>
              <w:jc w:val="right"/>
            </w:pPr>
            <w:r>
              <w:rPr>
                <w:sz w:val="17"/>
              </w:rPr>
              <w:t xml:space="preserve">Delta v2.8+2512 (USD mm per 1%)</w:t>
            </w:r>
          </w:p>
        </w:tc>
        <w:tc>
          <w:tcPr/>
          <w:p>
            <w:pPr>
              <w:pStyle w:val="Compact"/>
              <w:jc w:val="right"/>
            </w:pPr>
            <w:r>
              <w:rPr>
                <w:sz w:val="17"/>
              </w:rPr>
              <w:t xml:space="preserve">Delta v2.8+2506</w:t>
            </w:r>
          </w:p>
        </w:tc>
      </w:tr>
      <w:tr>
        <w:tc>
          <w:tcPr/>
          <w:p>
            <w:pPr>
              <w:pStyle w:val="Compact"/>
              <w:jc w:val="left"/>
            </w:pPr>
            <w:r>
              <w:rPr>
                <w:sz w:val="17"/>
              </w:rPr>
              <w:t xml:space="preserve">Category 1</w:t>
            </w:r>
          </w:p>
        </w:tc>
        <w:tc>
          <w:tcPr/>
          <w:p>
            <w:pPr>
              <w:pStyle w:val="Compact"/>
              <w:jc w:val="left"/>
            </w:pPr>
            <w:r>
              <w:rPr>
                <w:sz w:val="17"/>
              </w:rPr>
              <w:t xml:space="preserve">USD EUR JPY GBP AUD CHF CAD</w:t>
            </w:r>
          </w:p>
        </w:tc>
        <w:tc>
          <w:tcPr/>
          <w:p>
            <w:pPr>
              <w:pStyle w:val="Compact"/>
              <w:jc w:val="right"/>
            </w:pPr>
            <w:r>
              <w:rPr>
                <w:sz w:val="17"/>
              </w:rPr>
              <w:t xml:space="preserve">2,100</w:t>
            </w:r>
          </w:p>
        </w:tc>
        <w:tc>
          <w:tcPr/>
          <w:p>
            <w:pPr>
              <w:pStyle w:val="Compact"/>
              <w:jc w:val="right"/>
            </w:pPr>
            <w:r>
              <w:rPr>
                <w:sz w:val="17"/>
              </w:rPr>
              <w:t xml:space="preserve">3,100</w:t>
            </w:r>
          </w:p>
        </w:tc>
      </w:tr>
      <w:tr>
        <w:tc>
          <w:tcPr/>
          <w:p>
            <w:pPr>
              <w:pStyle w:val="Compact"/>
              <w:jc w:val="left"/>
            </w:pPr>
            <w:r>
              <w:rPr>
                <w:sz w:val="17"/>
              </w:rPr>
              <w:t xml:space="preserve">Category 2</w:t>
            </w:r>
          </w:p>
        </w:tc>
        <w:tc>
          <w:tcPr/>
          <w:p>
            <w:pPr>
              <w:pStyle w:val="Compact"/>
              <w:jc w:val="left"/>
            </w:pPr>
            <w:r>
              <w:rPr>
                <w:sz w:val="17"/>
              </w:rPr>
              <w:t xml:space="preserve">BRL CNY HKD INR KRW MXN NOK NZD RUB SEK SGD TRY ZAR</w:t>
            </w:r>
          </w:p>
        </w:tc>
        <w:tc>
          <w:tcPr/>
          <w:p>
            <w:pPr>
              <w:pStyle w:val="Compact"/>
              <w:jc w:val="right"/>
            </w:pPr>
            <w:r>
              <w:rPr>
                <w:sz w:val="17"/>
              </w:rPr>
              <w:t xml:space="preserve">710</w:t>
            </w:r>
          </w:p>
        </w:tc>
        <w:tc>
          <w:tcPr/>
          <w:p>
            <w:pPr>
              <w:pStyle w:val="Compact"/>
              <w:jc w:val="right"/>
            </w:pPr>
            <w:r>
              <w:rPr>
                <w:sz w:val="17"/>
              </w:rPr>
              <w:t xml:space="preserve">950</w:t>
            </w:r>
          </w:p>
        </w:tc>
      </w:tr>
      <w:tr>
        <w:tc>
          <w:tcPr/>
          <w:p>
            <w:pPr>
              <w:pStyle w:val="Compact"/>
              <w:jc w:val="left"/>
            </w:pPr>
            <w:r>
              <w:rPr>
                <w:sz w:val="17"/>
              </w:rPr>
              <w:t xml:space="preserve">Category 3</w:t>
            </w:r>
          </w:p>
        </w:tc>
        <w:tc>
          <w:tcPr/>
          <w:p>
            <w:pPr>
              <w:pStyle w:val="Compact"/>
              <w:jc w:val="left"/>
            </w:pPr>
            <w:r>
              <w:rPr>
                <w:sz w:val="17"/>
              </w:rPr>
              <w:t xml:space="preserve">all other currencies</w:t>
            </w:r>
          </w:p>
        </w:tc>
        <w:tc>
          <w:tcPr/>
          <w:p>
            <w:pPr>
              <w:pStyle w:val="Compact"/>
              <w:jc w:val="right"/>
            </w:pPr>
            <w:r>
              <w:rPr>
                <w:sz w:val="17"/>
              </w:rPr>
              <w:t xml:space="preserve">120</w:t>
            </w:r>
          </w:p>
        </w:tc>
        <w:tc>
          <w:tcPr/>
          <w:p>
            <w:pPr>
              <w:pStyle w:val="Compact"/>
              <w:jc w:val="right"/>
            </w:pPr>
            <w:r>
              <w:rPr>
                <w:sz w:val="17"/>
              </w:rPr>
              <w:t xml:space="preserve">160</w:t>
            </w:r>
          </w:p>
        </w:tc>
      </w:tr>
    </w:tbl>
    <w:p>
      <w:pPr>
        <w:pStyle w:val="BodyText"/>
      </w:pPr>
      <w:r>
        <w:rPr>
          <w:b/>
          <w:bCs/>
        </w:rPr>
        <w:t xml:space="preserve">Concentration risk example.</w:t>
      </w:r>
      <w:r>
        <w:t xml:space="preserve"> </w:t>
      </w:r>
      <w:r>
        <w:t xml:space="preserve">Take one hypothetical USD 5-year sensitivity,</w:t>
      </w:r>
      <w:r>
        <w:t xml:space="preserve"> </w:t>
      </w:r>
      <m:oMath>
        <m:r>
          <m:t>R</m:t>
        </m:r>
        <m:r>
          <m:t>W</m:t>
        </m:r>
        <m:r>
          <m:rPr>
            <m:sty m:val="p"/>
          </m:rPr>
          <m:t>=</m:t>
        </m:r>
        <m:r>
          <m:t>61</m:t>
        </m:r>
      </m:oMath>
      <w:r>
        <w:t xml:space="preserve"> </w:t>
      </w:r>
      <w:r>
        <w:t xml:space="preserve">and threshold</w:t>
      </w:r>
      <w:r>
        <w:t xml:space="preserve"> </w:t>
      </w:r>
      <m:oMath>
        <m:sSub>
          <m:e>
            <m:r>
              <m:t>T</m:t>
            </m:r>
          </m:e>
          <m:sub>
            <m:r>
              <m:t>b</m:t>
            </m:r>
          </m:sub>
        </m:sSub>
        <m:r>
          <m:rPr>
            <m:sty m:val="p"/>
          </m:rPr>
          <m:t>=</m:t>
        </m:r>
        <m:r>
          <m:t>220</m:t>
        </m:r>
      </m:oMath>
      <w:r>
        <w:t xml:space="preserve"> </w:t>
      </w:r>
      <w:r>
        <w:t xml:space="preserve">USD mm per bp. For a net sensitivity of USD 50,000,000 per bp (50 million) the position is below the threshold of 220 million, so</w:t>
      </w:r>
      <w:r>
        <w:t xml:space="preserve"> </w:t>
      </w:r>
      <m:oMath>
        <m:r>
          <m:t>C</m:t>
        </m:r>
        <m:r>
          <m:t>R</m:t>
        </m:r>
        <m:r>
          <m:rPr>
            <m:sty m:val="p"/>
          </m:rPr>
          <m:t>=</m:t>
        </m:r>
        <m:r>
          <m:t>1</m:t>
        </m:r>
      </m:oMath>
      <w:r>
        <w:t xml:space="preserve"> </w:t>
      </w:r>
      <w:r>
        <w:t xml:space="preserve">and</w:t>
      </w:r>
      <w:r>
        <w:t xml:space="preserve"> </w:t>
      </w:r>
      <m:oMath>
        <m:r>
          <m:t>W</m:t>
        </m:r>
        <m:r>
          <m:t>S</m:t>
        </m:r>
        <m:r>
          <m:rPr>
            <m:sty m:val="p"/>
          </m:rPr>
          <m:t>=</m:t>
        </m:r>
        <m:r>
          <m:t>3</m:t>
        </m:r>
        <m:r>
          <m:rPr>
            <m:sty m:val="p"/>
          </m:rPr>
          <m:t>,</m:t>
        </m:r>
        <m:r>
          <m:t>050</m:t>
        </m:r>
        <m:r>
          <m:rPr>
            <m:sty m:val="p"/>
          </m:rPr>
          <m:t>,</m:t>
        </m:r>
        <m:r>
          <m:t>000</m:t>
        </m:r>
        <m:r>
          <m:rPr>
            <m:sty m:val="p"/>
          </m:rPr>
          <m:t>,</m:t>
        </m:r>
        <m:r>
          <m:t>000</m:t>
        </m:r>
      </m:oMath>
      <w:r>
        <w:t xml:space="preserve">. For USD 500,000,000 per bp,</w:t>
      </w:r>
      <w:r>
        <w:t xml:space="preserve"> </w:t>
      </w:r>
      <m:oMath>
        <m:r>
          <m:t>C</m:t>
        </m:r>
        <m:r>
          <m:t>R</m:t>
        </m:r>
        <m:r>
          <m:rPr>
            <m:sty m:val="p"/>
          </m:rPr>
          <m:t>=</m:t>
        </m:r>
        <m:rad>
          <m:radPr>
            <m:degHide m:val="on"/>
          </m:radPr>
          <m:deg/>
          <m:e>
            <m:r>
              <m:t>500</m:t>
            </m:r>
            <m:r>
              <m:rPr>
                <m:sty m:val="p"/>
              </m:rPr>
              <m:t>/</m:t>
            </m:r>
            <m:r>
              <m:t>220</m:t>
            </m:r>
          </m:e>
        </m:rad>
        <m:r>
          <m:rPr>
            <m:sty m:val="p"/>
          </m:rPr>
          <m:t>=</m:t>
        </m:r>
        <m:r>
          <m:t>1.5076</m:t>
        </m:r>
      </m:oMath>
      <w:r>
        <w:t xml:space="preserve"> </w:t>
      </w:r>
      <w:r>
        <w:t xml:space="preserve">and</w:t>
      </w:r>
      <w:r>
        <w:t xml:space="preserve"> </w:t>
      </w:r>
      <m:oMath>
        <m:r>
          <m:t>W</m:t>
        </m:r>
        <m:r>
          <m:t>S</m:t>
        </m:r>
        <m:r>
          <m:rPr>
            <m:sty m:val="p"/>
          </m:rPr>
          <m:t>=</m:t>
        </m:r>
        <m:r>
          <m:t>45</m:t>
        </m:r>
        <m:r>
          <m:rPr>
            <m:sty m:val="p"/>
          </m:rPr>
          <m:t>,</m:t>
        </m:r>
        <m:r>
          <m:t>980</m:t>
        </m:r>
        <m:r>
          <m:rPr>
            <m:sty m:val="p"/>
          </m:rPr>
          <m:t>,</m:t>
        </m:r>
        <m:r>
          <m:t>480</m:t>
        </m:r>
        <m:r>
          <m:rPr>
            <m:sty m:val="p"/>
          </m:rPr>
          <m:t>,</m:t>
        </m:r>
        <m:r>
          <m:t>048</m:t>
        </m:r>
      </m:oMath>
      <w:r>
        <w:t xml:space="preserve">, which is 1.5076 times more than the linear scaling of the small case (30,500,000,000) would give; the engine's IM for this single row is 45,980,480,048. In the sample book every net sensitivity is far below its threshold, so the concentration factors in the book are all equal to 1 (see Table of IR buckets below). The effect is exercised only in tests and in this example. These sensitivities are deliberately unrealistic in size to show the mechanics.</w:t>
      </w:r>
    </w:p>
    <w:bookmarkEnd w:id="27"/>
    <w:bookmarkStart w:id="28" w:name="delta-margin-for-interest-rates"/>
    <w:p>
      <w:pPr>
        <w:pStyle w:val="Heading2"/>
      </w:pPr>
      <w:r>
        <w:rPr>
          <w:rStyle w:val="SectionNumber"/>
        </w:rPr>
        <w:t xml:space="preserve">5.3</w:t>
      </w:r>
      <w:r>
        <w:tab/>
      </w:r>
      <w:r>
        <w:t xml:space="preserve">Delta margin for interest rates</w:t>
      </w:r>
    </w:p>
    <w:p>
      <w:pPr>
        <w:pStyle w:val="FirstParagraph"/>
      </w:pPr>
      <w:r>
        <w:t xml:space="preserve">Within one currency bucket the weighted sensitivities of the 12 tenors (and the sub-curves, inflation and cross-currency basis rows when present) are combined as</w:t>
      </w:r>
    </w:p>
    <w:p>
      <w:pPr>
        <w:pStyle w:val="BodyText"/>
      </w:pPr>
      <m:oMathPara>
        <m:oMathParaPr>
          <m:jc m:val="center"/>
        </m:oMathParaPr>
        <m:oMath>
          <m:sSub>
            <m:e>
              <m:r>
                <m:t>K</m:t>
              </m:r>
            </m:e>
            <m:sub>
              <m:r>
                <m:t>b</m:t>
              </m:r>
            </m:sub>
          </m:sSub>
          <m:r>
            <m:rPr>
              <m:sty m:val="p"/>
            </m:rPr>
            <m:t>=</m:t>
          </m:r>
          <m:rad>
            <m:radPr>
              <m:degHide m:val="on"/>
            </m:radPr>
            <m:deg/>
            <m:e>
              <m:nary>
                <m:naryPr>
                  <m:chr m:val="∑"/>
                  <m:limLoc m:val="undOvr"/>
                  <m:subHide m:val="off"/>
                  <m:supHide m:val="on"/>
                </m:naryPr>
                <m:sub>
                  <m:r>
                    <m:t>k</m:t>
                  </m:r>
                </m:sub>
                <m:sup>
                  <m:r>
                    <m:t>​</m:t>
                  </m:r>
                </m:sup>
                <m:e>
                  <m:r>
                    <m:t>W</m:t>
                  </m:r>
                </m:e>
              </m:nary>
              <m:sSubSup>
                <m:e>
                  <m:r>
                    <m:t>S</m:t>
                  </m:r>
                </m:e>
                <m:sub>
                  <m:r>
                    <m:t>k</m:t>
                  </m:r>
                </m:sub>
                <m:sup>
                  <m:r>
                    <m:t>2</m:t>
                  </m:r>
                </m:sup>
              </m:sSubSup>
              <m:r>
                <m:rPr>
                  <m:sty m:val="p"/>
                </m:rPr>
                <m:t>+</m:t>
              </m:r>
              <m:nary>
                <m:naryPr>
                  <m:chr m:val="∑"/>
                  <m:limLoc m:val="undOvr"/>
                  <m:subHide m:val="off"/>
                  <m:supHide m:val="on"/>
                </m:naryPr>
                <m:sub>
                  <m:r>
                    <m:t>k</m:t>
                  </m:r>
                </m:sub>
                <m:sup>
                  <m:r>
                    <m:t>​</m:t>
                  </m:r>
                </m:sup>
                <m:e>
                  <m:nary>
                    <m:naryPr>
                      <m:chr m:val="∑"/>
                      <m:limLoc m:val="undOvr"/>
                      <m:subHide m:val="off"/>
                      <m:supHide m:val="on"/>
                    </m:naryPr>
                    <m:sub>
                      <m:r>
                        <m:t>l</m:t>
                      </m:r>
                      <m:r>
                        <m:rPr>
                          <m:sty m:val="p"/>
                        </m:rPr>
                        <m:t>≠</m:t>
                      </m:r>
                      <m:r>
                        <m:t>k</m:t>
                      </m:r>
                    </m:sub>
                    <m:sup>
                      <m:r>
                        <m:t>​</m:t>
                      </m:r>
                    </m:sup>
                    <m:e>
                      <m:sSub>
                        <m:e>
                          <m:r>
                            <m:t>ρ</m:t>
                          </m:r>
                        </m:e>
                        <m:sub>
                          <m:r>
                            <m:t>k</m:t>
                          </m:r>
                          <m:r>
                            <m:t>l</m:t>
                          </m:r>
                        </m:sub>
                      </m:sSub>
                    </m:e>
                  </m:nary>
                </m:e>
              </m:nary>
              <m:r>
                <m:t> </m:t>
              </m:r>
              <m:r>
                <m:t>W</m:t>
              </m:r>
              <m:sSub>
                <m:e>
                  <m:r>
                    <m:t>S</m:t>
                  </m:r>
                </m:e>
                <m:sub>
                  <m:r>
                    <m:t>k</m:t>
                  </m:r>
                </m:sub>
              </m:sSub>
              <m:r>
                <m:t>W</m:t>
              </m:r>
              <m:sSub>
                <m:e>
                  <m:r>
                    <m:t>S</m:t>
                  </m:r>
                </m:e>
                <m:sub>
                  <m:r>
                    <m:t>l</m:t>
                  </m:r>
                </m:sub>
              </m:sSub>
            </m:e>
          </m:rad>
          <m:r>
            <m:rPr>
              <m:sty m:val="p"/>
            </m:rPr>
            <m:t>,</m:t>
          </m:r>
        </m:oMath>
      </m:oMathPara>
    </w:p>
    <w:p>
      <w:pPr>
        <w:pStyle w:val="FirstParagraph"/>
      </w:pPr>
      <w:r>
        <w:t xml:space="preserve">where</w:t>
      </w:r>
      <w:r>
        <w:t xml:space="preserve"> </w:t>
      </w:r>
      <m:oMath>
        <m:sSub>
          <m:e>
            <m:r>
              <m:t>ρ</m:t>
            </m:r>
          </m:e>
          <m:sub>
            <m:r>
              <m:t>k</m:t>
            </m:r>
            <m:r>
              <m:t>l</m:t>
            </m:r>
          </m:sub>
        </m:sSub>
      </m:oMath>
      <w:r>
        <w:t xml:space="preserve"> </w:t>
      </w:r>
      <w:r>
        <w:t xml:space="preserve">is the 12 by 12 tenor correlation (for the same sub-curve), multiplied by the sub-curve correlation</w:t>
      </w:r>
      <w:r>
        <w:t xml:space="preserve"> </w:t>
      </w:r>
      <m:oMath>
        <m:r>
          <m:t>φ</m:t>
        </m:r>
        <m:r>
          <m:rPr>
            <m:sty m:val="p"/>
          </m:rPr>
          <m:t>=</m:t>
        </m:r>
        <m:r>
          <m:t>98.1</m:t>
        </m:r>
        <m:r>
          <m:rPr>
            <m:sty m:val="p"/>
          </m:rPr>
          <m:t>%</m:t>
        </m:r>
      </m:oMath>
      <w:r>
        <w:t xml:space="preserve"> </w:t>
      </w:r>
      <w:r>
        <w:t xml:space="preserve">if the two rows are on different sub-curves of the same currency, equal to 42% between an inflation and a yield row and</w:t>
      </w:r>
      <w:r>
        <w:t xml:space="preserve"> </w:t>
      </w:r>
      <m:oMath>
        <m:r>
          <m:rPr>
            <m:sty m:val="p"/>
          </m:rPr>
          <m:t>−</m:t>
        </m:r>
        <m:r>
          <m:t>1</m:t>
        </m:r>
        <m:r>
          <m:rPr>
            <m:sty m:val="p"/>
          </m:rPr>
          <m:t>%</m:t>
        </m:r>
      </m:oMath>
      <w:r>
        <w:t xml:space="preserve"> </w:t>
      </w:r>
      <w:r>
        <w:t xml:space="preserve">between a cross-currency basis row and any other row. The sample uses one sub-curve ("OIS") per currency, so</w:t>
      </w:r>
      <w:r>
        <w:t xml:space="preserve"> </w:t>
      </w:r>
      <m:oMath>
        <m:r>
          <m:t>φ</m:t>
        </m:r>
      </m:oMath>
      <w:r>
        <w:t xml:space="preserve"> </w:t>
      </w:r>
      <w:r>
        <w:t xml:space="preserve">is never exercised (finding F-03). The tenor correlation matrix is symmetric and positive semidefinite (smallest eigenvalue 0.005015); a sample of it is below.</w:t>
      </w:r>
    </w:p>
    <w:p>
      <w:pPr>
        <w:pStyle w:val="TableCaption"/>
      </w:pPr>
      <w:r>
        <w:t xml:space="preserve">A sample of the IR tenor correlation matrix (v2.8+2512).</w:t>
      </w:r>
    </w:p>
    <w:tbl>
      <w:tblPr>
        <w:tblStyle w:val="Table"/>
        <w:tblW w:type="auto" w:w="0"/>
        <w:tblLook w:firstRow="1" w:lastRow="0" w:firstColumn="0" w:lastColumn="0" w:noHBand="0" w:noVBand="0" w:val="0020"/>
        <w:tblCaption w:val="A sample of the IR tenor correlation matrix (v2.8+2512)."/>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on"/>
        </w:trPr>
        <w:tc>
          <w:tcPr/>
          <w:p>
            <w:pPr>
              <w:pStyle w:val="Compact"/>
              <w:jc w:val="left"/>
            </w:pPr>
            <w:r>
              <w:rPr>
                <w:sz w:val="17"/>
              </w:rPr>
              <w:t xml:space="preserve">Tenor</w:t>
            </w:r>
          </w:p>
        </w:tc>
        <w:tc>
          <w:tcPr/>
          <w:p>
            <w:pPr>
              <w:pStyle w:val="Compact"/>
              <w:jc w:val="right"/>
            </w:pPr>
            <w:r>
              <w:rPr>
                <w:sz w:val="17"/>
              </w:rPr>
              <w:t xml:space="preserve">1y</w:t>
            </w:r>
          </w:p>
        </w:tc>
        <w:tc>
          <w:tcPr/>
          <w:p>
            <w:pPr>
              <w:pStyle w:val="Compact"/>
              <w:jc w:val="right"/>
            </w:pPr>
            <w:r>
              <w:rPr>
                <w:sz w:val="17"/>
              </w:rPr>
              <w:t xml:space="preserve">2y</w:t>
            </w:r>
          </w:p>
        </w:tc>
        <w:tc>
          <w:tcPr/>
          <w:p>
            <w:pPr>
              <w:pStyle w:val="Compact"/>
              <w:jc w:val="right"/>
            </w:pPr>
            <w:r>
              <w:rPr>
                <w:sz w:val="17"/>
              </w:rPr>
              <w:t xml:space="preserve">3y</w:t>
            </w:r>
          </w:p>
        </w:tc>
        <w:tc>
          <w:tcPr/>
          <w:p>
            <w:pPr>
              <w:pStyle w:val="Compact"/>
              <w:jc w:val="right"/>
            </w:pPr>
            <w:r>
              <w:rPr>
                <w:sz w:val="17"/>
              </w:rPr>
              <w:t xml:space="preserve">5y</w:t>
            </w:r>
          </w:p>
        </w:tc>
        <w:tc>
          <w:tcPr/>
          <w:p>
            <w:pPr>
              <w:pStyle w:val="Compact"/>
              <w:jc w:val="right"/>
            </w:pPr>
            <w:r>
              <w:rPr>
                <w:sz w:val="17"/>
              </w:rPr>
              <w:t xml:space="preserve">10y</w:t>
            </w:r>
          </w:p>
        </w:tc>
        <w:tc>
          <w:tcPr/>
          <w:p>
            <w:pPr>
              <w:pStyle w:val="Compact"/>
              <w:jc w:val="right"/>
            </w:pPr>
            <w:r>
              <w:rPr>
                <w:sz w:val="17"/>
              </w:rPr>
              <w:t xml:space="preserve">30y</w:t>
            </w:r>
          </w:p>
        </w:tc>
      </w:tr>
      <w:tr>
        <w:tc>
          <w:tcPr/>
          <w:p>
            <w:pPr>
              <w:pStyle w:val="Compact"/>
              <w:jc w:val="left"/>
            </w:pPr>
            <w:r>
              <w:rPr>
                <w:sz w:val="17"/>
              </w:rPr>
              <w:t xml:space="preserve">1y</w:t>
            </w:r>
          </w:p>
        </w:tc>
        <w:tc>
          <w:tcPr/>
          <w:p>
            <w:pPr>
              <w:pStyle w:val="Compact"/>
              <w:jc w:val="right"/>
            </w:pPr>
            <w:r>
              <w:rPr>
                <w:sz w:val="17"/>
              </w:rPr>
              <w:t xml:space="preserve">1.00</w:t>
            </w:r>
          </w:p>
        </w:tc>
        <w:tc>
          <w:tcPr/>
          <w:p>
            <w:pPr>
              <w:pStyle w:val="Compact"/>
              <w:jc w:val="right"/>
            </w:pPr>
            <w:r>
              <w:rPr>
                <w:sz w:val="17"/>
              </w:rPr>
              <w:t xml:space="preserve">0.94</w:t>
            </w:r>
          </w:p>
        </w:tc>
        <w:tc>
          <w:tcPr/>
          <w:p>
            <w:pPr>
              <w:pStyle w:val="Compact"/>
              <w:jc w:val="right"/>
            </w:pPr>
            <w:r>
              <w:rPr>
                <w:sz w:val="17"/>
              </w:rPr>
              <w:t xml:space="preserve">0.87</w:t>
            </w:r>
          </w:p>
        </w:tc>
        <w:tc>
          <w:tcPr/>
          <w:p>
            <w:pPr>
              <w:pStyle w:val="Compact"/>
              <w:jc w:val="right"/>
            </w:pPr>
            <w:r>
              <w:rPr>
                <w:sz w:val="17"/>
              </w:rPr>
              <w:t xml:space="preserve">0.81</w:t>
            </w:r>
          </w:p>
        </w:tc>
        <w:tc>
          <w:tcPr/>
          <w:p>
            <w:pPr>
              <w:pStyle w:val="Compact"/>
              <w:jc w:val="right"/>
            </w:pPr>
            <w:r>
              <w:rPr>
                <w:sz w:val="17"/>
              </w:rPr>
              <w:t xml:space="preserve">0.73</w:t>
            </w:r>
          </w:p>
        </w:tc>
        <w:tc>
          <w:tcPr/>
          <w:p>
            <w:pPr>
              <w:pStyle w:val="Compact"/>
              <w:jc w:val="right"/>
            </w:pPr>
            <w:r>
              <w:rPr>
                <w:sz w:val="17"/>
              </w:rPr>
              <w:t xml:space="preserve">0.63</w:t>
            </w:r>
          </w:p>
        </w:tc>
      </w:tr>
      <w:tr>
        <w:tc>
          <w:tcPr/>
          <w:p>
            <w:pPr>
              <w:pStyle w:val="Compact"/>
              <w:jc w:val="left"/>
            </w:pPr>
            <w:r>
              <w:rPr>
                <w:sz w:val="17"/>
              </w:rPr>
              <w:t xml:space="preserve">2y</w:t>
            </w:r>
          </w:p>
        </w:tc>
        <w:tc>
          <w:tcPr/>
          <w:p>
            <w:pPr>
              <w:pStyle w:val="Compact"/>
              <w:jc w:val="right"/>
            </w:pPr>
            <w:r>
              <w:rPr>
                <w:sz w:val="17"/>
              </w:rPr>
              <w:t xml:space="preserve">0.94</w:t>
            </w:r>
          </w:p>
        </w:tc>
        <w:tc>
          <w:tcPr/>
          <w:p>
            <w:pPr>
              <w:pStyle w:val="Compact"/>
              <w:jc w:val="right"/>
            </w:pPr>
            <w:r>
              <w:rPr>
                <w:sz w:val="17"/>
              </w:rPr>
              <w:t xml:space="preserve">1.00</w:t>
            </w:r>
          </w:p>
        </w:tc>
        <w:tc>
          <w:tcPr/>
          <w:p>
            <w:pPr>
              <w:pStyle w:val="Compact"/>
              <w:jc w:val="right"/>
            </w:pPr>
            <w:r>
              <w:rPr>
                <w:sz w:val="17"/>
              </w:rPr>
              <w:t xml:space="preserve">0.97</w:t>
            </w:r>
          </w:p>
        </w:tc>
        <w:tc>
          <w:tcPr/>
          <w:p>
            <w:pPr>
              <w:pStyle w:val="Compact"/>
              <w:jc w:val="right"/>
            </w:pPr>
            <w:r>
              <w:rPr>
                <w:sz w:val="17"/>
              </w:rPr>
              <w:t xml:space="preserve">0.92</w:t>
            </w:r>
          </w:p>
        </w:tc>
        <w:tc>
          <w:tcPr/>
          <w:p>
            <w:pPr>
              <w:pStyle w:val="Compact"/>
              <w:jc w:val="right"/>
            </w:pPr>
            <w:r>
              <w:rPr>
                <w:sz w:val="17"/>
              </w:rPr>
              <w:t xml:space="preserve">0.86</w:t>
            </w:r>
          </w:p>
        </w:tc>
        <w:tc>
          <w:tcPr/>
          <w:p>
            <w:pPr>
              <w:pStyle w:val="Compact"/>
              <w:jc w:val="right"/>
            </w:pPr>
            <w:r>
              <w:rPr>
                <w:sz w:val="17"/>
              </w:rPr>
              <w:t xml:space="preserve">0.76</w:t>
            </w:r>
          </w:p>
        </w:tc>
      </w:tr>
      <w:tr>
        <w:tc>
          <w:tcPr/>
          <w:p>
            <w:pPr>
              <w:pStyle w:val="Compact"/>
              <w:jc w:val="left"/>
            </w:pPr>
            <w:r>
              <w:rPr>
                <w:sz w:val="17"/>
              </w:rPr>
              <w:t xml:space="preserve">3y</w:t>
            </w:r>
          </w:p>
        </w:tc>
        <w:tc>
          <w:tcPr/>
          <w:p>
            <w:pPr>
              <w:pStyle w:val="Compact"/>
              <w:jc w:val="right"/>
            </w:pPr>
            <w:r>
              <w:rPr>
                <w:sz w:val="17"/>
              </w:rPr>
              <w:t xml:space="preserve">0.87</w:t>
            </w:r>
          </w:p>
        </w:tc>
        <w:tc>
          <w:tcPr/>
          <w:p>
            <w:pPr>
              <w:pStyle w:val="Compact"/>
              <w:jc w:val="right"/>
            </w:pPr>
            <w:r>
              <w:rPr>
                <w:sz w:val="17"/>
              </w:rPr>
              <w:t xml:space="preserve">0.97</w:t>
            </w:r>
          </w:p>
        </w:tc>
        <w:tc>
          <w:tcPr/>
          <w:p>
            <w:pPr>
              <w:pStyle w:val="Compact"/>
              <w:jc w:val="right"/>
            </w:pPr>
            <w:r>
              <w:rPr>
                <w:sz w:val="17"/>
              </w:rPr>
              <w:t xml:space="preserve">1.00</w:t>
            </w:r>
          </w:p>
        </w:tc>
        <w:tc>
          <w:tcPr/>
          <w:p>
            <w:pPr>
              <w:pStyle w:val="Compact"/>
              <w:jc w:val="right"/>
            </w:pPr>
            <w:r>
              <w:rPr>
                <w:sz w:val="17"/>
              </w:rPr>
              <w:t xml:space="preserve">0.97</w:t>
            </w:r>
          </w:p>
        </w:tc>
        <w:tc>
          <w:tcPr/>
          <w:p>
            <w:pPr>
              <w:pStyle w:val="Compact"/>
              <w:jc w:val="right"/>
            </w:pPr>
            <w:r>
              <w:rPr>
                <w:sz w:val="17"/>
              </w:rPr>
              <w:t xml:space="preserve">0.91</w:t>
            </w:r>
          </w:p>
        </w:tc>
        <w:tc>
          <w:tcPr/>
          <w:p>
            <w:pPr>
              <w:pStyle w:val="Compact"/>
              <w:jc w:val="right"/>
            </w:pPr>
            <w:r>
              <w:rPr>
                <w:sz w:val="17"/>
              </w:rPr>
              <w:t xml:space="preserve">0.81</w:t>
            </w:r>
          </w:p>
        </w:tc>
      </w:tr>
      <w:tr>
        <w:tc>
          <w:tcPr/>
          <w:p>
            <w:pPr>
              <w:pStyle w:val="Compact"/>
              <w:jc w:val="left"/>
            </w:pPr>
            <w:r>
              <w:rPr>
                <w:sz w:val="17"/>
              </w:rPr>
              <w:t xml:space="preserve">5y</w:t>
            </w:r>
          </w:p>
        </w:tc>
        <w:tc>
          <w:tcPr/>
          <w:p>
            <w:pPr>
              <w:pStyle w:val="Compact"/>
              <w:jc w:val="right"/>
            </w:pPr>
            <w:r>
              <w:rPr>
                <w:sz w:val="17"/>
              </w:rPr>
              <w:t xml:space="preserve">0.81</w:t>
            </w:r>
          </w:p>
        </w:tc>
        <w:tc>
          <w:tcPr/>
          <w:p>
            <w:pPr>
              <w:pStyle w:val="Compact"/>
              <w:jc w:val="right"/>
            </w:pPr>
            <w:r>
              <w:rPr>
                <w:sz w:val="17"/>
              </w:rPr>
              <w:t xml:space="preserve">0.92</w:t>
            </w:r>
          </w:p>
        </w:tc>
        <w:tc>
          <w:tcPr/>
          <w:p>
            <w:pPr>
              <w:pStyle w:val="Compact"/>
              <w:jc w:val="right"/>
            </w:pPr>
            <w:r>
              <w:rPr>
                <w:sz w:val="17"/>
              </w:rPr>
              <w:t xml:space="preserve">0.97</w:t>
            </w:r>
          </w:p>
        </w:tc>
        <w:tc>
          <w:tcPr/>
          <w:p>
            <w:pPr>
              <w:pStyle w:val="Compact"/>
              <w:jc w:val="right"/>
            </w:pPr>
            <w:r>
              <w:rPr>
                <w:sz w:val="17"/>
              </w:rPr>
              <w:t xml:space="preserve">1.00</w:t>
            </w:r>
          </w:p>
        </w:tc>
        <w:tc>
          <w:tcPr/>
          <w:p>
            <w:pPr>
              <w:pStyle w:val="Compact"/>
              <w:jc w:val="right"/>
            </w:pPr>
            <w:r>
              <w:rPr>
                <w:sz w:val="17"/>
              </w:rPr>
              <w:t xml:space="preserve">0.96</w:t>
            </w:r>
          </w:p>
        </w:tc>
        <w:tc>
          <w:tcPr/>
          <w:p>
            <w:pPr>
              <w:pStyle w:val="Compact"/>
              <w:jc w:val="right"/>
            </w:pPr>
            <w:r>
              <w:rPr>
                <w:sz w:val="17"/>
              </w:rPr>
              <w:t xml:space="preserve">0.88</w:t>
            </w:r>
          </w:p>
        </w:tc>
      </w:tr>
      <w:tr>
        <w:tc>
          <w:tcPr/>
          <w:p>
            <w:pPr>
              <w:pStyle w:val="Compact"/>
              <w:jc w:val="left"/>
            </w:pPr>
            <w:r>
              <w:rPr>
                <w:sz w:val="17"/>
              </w:rPr>
              <w:t xml:space="preserve">10y</w:t>
            </w:r>
          </w:p>
        </w:tc>
        <w:tc>
          <w:tcPr/>
          <w:p>
            <w:pPr>
              <w:pStyle w:val="Compact"/>
              <w:jc w:val="right"/>
            </w:pPr>
            <w:r>
              <w:rPr>
                <w:sz w:val="17"/>
              </w:rPr>
              <w:t xml:space="preserve">0.73</w:t>
            </w:r>
          </w:p>
        </w:tc>
        <w:tc>
          <w:tcPr/>
          <w:p>
            <w:pPr>
              <w:pStyle w:val="Compact"/>
              <w:jc w:val="right"/>
            </w:pPr>
            <w:r>
              <w:rPr>
                <w:sz w:val="17"/>
              </w:rPr>
              <w:t xml:space="preserve">0.86</w:t>
            </w:r>
          </w:p>
        </w:tc>
        <w:tc>
          <w:tcPr/>
          <w:p>
            <w:pPr>
              <w:pStyle w:val="Compact"/>
              <w:jc w:val="right"/>
            </w:pPr>
            <w:r>
              <w:rPr>
                <w:sz w:val="17"/>
              </w:rPr>
              <w:t xml:space="preserve">0.91</w:t>
            </w:r>
          </w:p>
        </w:tc>
        <w:tc>
          <w:tcPr/>
          <w:p>
            <w:pPr>
              <w:pStyle w:val="Compact"/>
              <w:jc w:val="right"/>
            </w:pPr>
            <w:r>
              <w:rPr>
                <w:sz w:val="17"/>
              </w:rPr>
              <w:t xml:space="preserve">0.96</w:t>
            </w:r>
          </w:p>
        </w:tc>
        <w:tc>
          <w:tcPr/>
          <w:p>
            <w:pPr>
              <w:pStyle w:val="Compact"/>
              <w:jc w:val="right"/>
            </w:pPr>
            <w:r>
              <w:rPr>
                <w:sz w:val="17"/>
              </w:rPr>
              <w:t xml:space="preserve">1.00</w:t>
            </w:r>
          </w:p>
        </w:tc>
        <w:tc>
          <w:tcPr/>
          <w:p>
            <w:pPr>
              <w:pStyle w:val="Compact"/>
              <w:jc w:val="right"/>
            </w:pPr>
            <w:r>
              <w:rPr>
                <w:sz w:val="17"/>
              </w:rPr>
              <w:t xml:space="preserve">0.95</w:t>
            </w:r>
          </w:p>
        </w:tc>
      </w:tr>
      <w:tr>
        <w:tc>
          <w:tcPr/>
          <w:p>
            <w:pPr>
              <w:pStyle w:val="Compact"/>
              <w:jc w:val="left"/>
            </w:pPr>
            <w:r>
              <w:rPr>
                <w:sz w:val="17"/>
              </w:rPr>
              <w:t xml:space="preserve">30y</w:t>
            </w:r>
          </w:p>
        </w:tc>
        <w:tc>
          <w:tcPr/>
          <w:p>
            <w:pPr>
              <w:pStyle w:val="Compact"/>
              <w:jc w:val="right"/>
            </w:pPr>
            <w:r>
              <w:rPr>
                <w:sz w:val="17"/>
              </w:rPr>
              <w:t xml:space="preserve">0.63</w:t>
            </w:r>
          </w:p>
        </w:tc>
        <w:tc>
          <w:tcPr/>
          <w:p>
            <w:pPr>
              <w:pStyle w:val="Compact"/>
              <w:jc w:val="right"/>
            </w:pPr>
            <w:r>
              <w:rPr>
                <w:sz w:val="17"/>
              </w:rPr>
              <w:t xml:space="preserve">0.76</w:t>
            </w:r>
          </w:p>
        </w:tc>
        <w:tc>
          <w:tcPr/>
          <w:p>
            <w:pPr>
              <w:pStyle w:val="Compact"/>
              <w:jc w:val="right"/>
            </w:pPr>
            <w:r>
              <w:rPr>
                <w:sz w:val="17"/>
              </w:rPr>
              <w:t xml:space="preserve">0.81</w:t>
            </w:r>
          </w:p>
        </w:tc>
        <w:tc>
          <w:tcPr/>
          <w:p>
            <w:pPr>
              <w:pStyle w:val="Compact"/>
              <w:jc w:val="right"/>
            </w:pPr>
            <w:r>
              <w:rPr>
                <w:sz w:val="17"/>
              </w:rPr>
              <w:t xml:space="preserve">0.88</w:t>
            </w:r>
          </w:p>
        </w:tc>
        <w:tc>
          <w:tcPr/>
          <w:p>
            <w:pPr>
              <w:pStyle w:val="Compact"/>
              <w:jc w:val="right"/>
            </w:pPr>
            <w:r>
              <w:rPr>
                <w:sz w:val="17"/>
              </w:rPr>
              <w:t xml:space="preserve">0.95</w:t>
            </w:r>
          </w:p>
        </w:tc>
        <w:tc>
          <w:tcPr/>
          <w:p>
            <w:pPr>
              <w:pStyle w:val="Compact"/>
              <w:jc w:val="right"/>
            </w:pPr>
            <w:r>
              <w:rPr>
                <w:sz w:val="17"/>
              </w:rPr>
              <w:t xml:space="preserve">1.00</w:t>
            </w:r>
          </w:p>
        </w:tc>
      </w:tr>
    </w:tbl>
    <w:p>
      <w:pPr>
        <w:pStyle w:val="BodyText"/>
      </w:pPr>
      <w:r>
        <w:t xml:space="preserve">Across currencies, define</w:t>
      </w:r>
      <w:r>
        <w:t xml:space="preserve"> </w:t>
      </w:r>
      <m:oMath>
        <m:sSub>
          <m:e>
            <m:r>
              <m:t>S</m:t>
            </m:r>
          </m:e>
          <m:sub>
            <m:r>
              <m:t>b</m:t>
            </m:r>
          </m:sub>
        </m:sSub>
        <m:r>
          <m:rPr>
            <m:sty m:val="p"/>
          </m:rPr>
          <m:t>=</m:t>
        </m:r>
        <m:r>
          <m:rPr>
            <m:sty m:val="p"/>
          </m:rPr>
          <m:t>max</m:t>
        </m:r>
        <m:r>
          <m:rPr>
            <m:sty m:val="p"/>
          </m:rPr>
          <m:t>(</m:t>
        </m:r>
        <m:r>
          <m:rPr>
            <m:sty m:val="p"/>
          </m:rPr>
          <m:t>min</m:t>
        </m:r>
        <m:r>
          <m:rPr>
            <m:sty m:val="p"/>
          </m:rPr>
          <m:t>(</m:t>
        </m:r>
        <m:nary>
          <m:naryPr>
            <m:chr m:val="∑"/>
            <m:limLoc m:val="undOvr"/>
            <m:subHide m:val="off"/>
            <m:supHide m:val="on"/>
          </m:naryPr>
          <m:sub>
            <m:r>
              <m:t>k</m:t>
            </m:r>
          </m:sub>
          <m:sup>
            <m:r>
              <m:t>​</m:t>
            </m:r>
          </m:sup>
          <m:e>
            <m:r>
              <m:t>W</m:t>
            </m:r>
          </m:e>
        </m:nary>
        <m:sSub>
          <m:e>
            <m:r>
              <m:t>S</m:t>
            </m:r>
          </m:e>
          <m:sub>
            <m:r>
              <m:t>k</m:t>
            </m:r>
          </m:sub>
        </m:sSub>
        <m:r>
          <m:rPr>
            <m:sty m:val="p"/>
          </m:rPr>
          <m:t>,</m:t>
        </m:r>
        <m:sSub>
          <m:e>
            <m:r>
              <m:t>K</m:t>
            </m:r>
          </m:e>
          <m:sub>
            <m:r>
              <m:t>b</m:t>
            </m:r>
          </m:sub>
        </m:sSub>
        <m:r>
          <m:rPr>
            <m:sty m:val="p"/>
          </m:rPr>
          <m:t>)</m:t>
        </m:r>
        <m:r>
          <m:rPr>
            <m:sty m:val="p"/>
          </m:rPr>
          <m:t>,</m:t>
        </m:r>
        <m:r>
          <m:rPr>
            <m:sty m:val="p"/>
          </m:rPr>
          <m:t>−</m:t>
        </m:r>
        <m:sSub>
          <m:e>
            <m:r>
              <m:t>K</m:t>
            </m:r>
          </m:e>
          <m:sub>
            <m:r>
              <m:t>b</m:t>
            </m:r>
          </m:sub>
        </m:sSub>
        <m:r>
          <m:rPr>
            <m:sty m:val="p"/>
          </m:rPr>
          <m:t>)</m:t>
        </m:r>
      </m:oMath>
      <w:r>
        <w:t xml:space="preserve">, the net weighted sensitivity of the bucket clipped to the range of</w:t>
      </w:r>
      <w:r>
        <w:t xml:space="preserve"> </w:t>
      </w:r>
      <m:oMath>
        <m:sSub>
          <m:e>
            <m:r>
              <m:t>K</m:t>
            </m:r>
          </m:e>
          <m:sub>
            <m:r>
              <m:t>b</m:t>
            </m:r>
          </m:sub>
        </m:sSub>
      </m:oMath>
      <w:r>
        <w:t xml:space="preserve">. Then</w:t>
      </w:r>
    </w:p>
    <w:p>
      <w:pPr>
        <w:pStyle w:val="BodyText"/>
      </w:pPr>
      <m:oMathPara>
        <m:oMathParaPr>
          <m:jc m:val="center"/>
        </m:oMathParaPr>
        <m:oMath>
          <m:sSub>
            <m:e>
              <m:r>
                <m:rPr>
                  <m:nor/>
                  <m:sty m:val="p"/>
                </m:rPr>
                <m:t>DeltaMargin</m:t>
              </m:r>
            </m:e>
            <m:sub>
              <m:r>
                <m:t>I</m:t>
              </m:r>
              <m:r>
                <m:t>R</m:t>
              </m:r>
            </m:sub>
          </m:sSub>
          <m:r>
            <m:rPr>
              <m:sty m:val="p"/>
            </m:rPr>
            <m:t>=</m:t>
          </m:r>
          <m:rad>
            <m:radPr>
              <m:degHide m:val="on"/>
            </m:radPr>
            <m:deg/>
            <m:e>
              <m:nary>
                <m:naryPr>
                  <m:chr m:val="∑"/>
                  <m:limLoc m:val="undOvr"/>
                  <m:subHide m:val="off"/>
                  <m:supHide m:val="on"/>
                </m:naryPr>
                <m:sub>
                  <m:r>
                    <m:t>b</m:t>
                  </m:r>
                </m:sub>
                <m:sup>
                  <m:r>
                    <m:t>​</m:t>
                  </m:r>
                </m:sup>
                <m:e>
                  <m:sSubSup>
                    <m:e>
                      <m:r>
                        <m:t>K</m:t>
                      </m:r>
                    </m:e>
                    <m:sub>
                      <m:r>
                        <m:t>b</m:t>
                      </m:r>
                    </m:sub>
                    <m:sup>
                      <m:r>
                        <m:t>2</m:t>
                      </m:r>
                    </m:sup>
                  </m:sSubSup>
                </m:e>
              </m:nary>
              <m:r>
                <m:rPr>
                  <m:sty m:val="p"/>
                </m:rPr>
                <m:t>+</m:t>
              </m:r>
              <m:nary>
                <m:naryPr>
                  <m:chr m:val="∑"/>
                  <m:limLoc m:val="undOvr"/>
                  <m:subHide m:val="off"/>
                  <m:supHide m:val="on"/>
                </m:naryPr>
                <m:sub>
                  <m:r>
                    <m:t>b</m:t>
                  </m:r>
                </m:sub>
                <m:sup>
                  <m:r>
                    <m:t>​</m:t>
                  </m:r>
                </m:sup>
                <m:e>
                  <m:nary>
                    <m:naryPr>
                      <m:chr m:val="∑"/>
                      <m:limLoc m:val="undOvr"/>
                      <m:subHide m:val="off"/>
                      <m:supHide m:val="on"/>
                    </m:naryPr>
                    <m:sub>
                      <m:r>
                        <m:t>c</m:t>
                      </m:r>
                      <m:r>
                        <m:rPr>
                          <m:sty m:val="p"/>
                        </m:rPr>
                        <m:t>≠</m:t>
                      </m:r>
                      <m:r>
                        <m:t>b</m:t>
                      </m:r>
                    </m:sub>
                    <m:sup>
                      <m:r>
                        <m:t>​</m:t>
                      </m:r>
                    </m:sup>
                    <m:e>
                      <m:sSub>
                        <m:e>
                          <m:r>
                            <m:t>γ</m:t>
                          </m:r>
                        </m:e>
                        <m:sub>
                          <m:r>
                            <m:t>b</m:t>
                          </m:r>
                          <m:r>
                            <m:t>c</m:t>
                          </m:r>
                        </m:sub>
                      </m:sSub>
                    </m:e>
                  </m:nary>
                </m:e>
              </m:nary>
              <m:r>
                <m:t> </m:t>
              </m:r>
              <m:sSub>
                <m:e>
                  <m:r>
                    <m:t>g</m:t>
                  </m:r>
                </m:e>
                <m:sub>
                  <m:r>
                    <m:t>b</m:t>
                  </m:r>
                  <m:r>
                    <m:t>c</m:t>
                  </m:r>
                </m:sub>
              </m:sSub>
              <m:r>
                <m:t> </m:t>
              </m:r>
              <m:sSub>
                <m:e>
                  <m:r>
                    <m:t>S</m:t>
                  </m:r>
                </m:e>
                <m:sub>
                  <m:r>
                    <m:t>b</m:t>
                  </m:r>
                </m:sub>
              </m:sSub>
              <m:sSub>
                <m:e>
                  <m:r>
                    <m:t>S</m:t>
                  </m:r>
                </m:e>
                <m:sub>
                  <m:r>
                    <m:t>c</m:t>
                  </m:r>
                </m:sub>
              </m:sSub>
            </m:e>
          </m:rad>
          <m:r>
            <m:rPr>
              <m:sty m:val="p"/>
            </m:rPr>
            <m:t>,</m:t>
          </m:r>
          <m:r>
            <m:t>  </m:t>
          </m:r>
          <m:sSub>
            <m:e>
              <m:r>
                <m:t>g</m:t>
              </m:r>
            </m:e>
            <m:sub>
              <m:r>
                <m:t>b</m:t>
              </m:r>
              <m:r>
                <m:t>c</m:t>
              </m:r>
            </m:sub>
          </m:sSub>
          <m:r>
            <m:rPr>
              <m:sty m:val="p"/>
            </m:rPr>
            <m:t>=</m:t>
          </m:r>
          <m:f>
            <m:fPr>
              <m:type m:val="bar"/>
            </m:fPr>
            <m:num>
              <m:r>
                <m:rPr>
                  <m:sty m:val="p"/>
                </m:rPr>
                <m:t>min</m:t>
              </m:r>
              <m:r>
                <m:rPr>
                  <m:sty m:val="p"/>
                </m:rPr>
                <m:t>(</m:t>
              </m:r>
              <m:r>
                <m:t>C</m:t>
              </m:r>
              <m:sSub>
                <m:e>
                  <m:r>
                    <m:t>R</m:t>
                  </m:r>
                </m:e>
                <m:sub>
                  <m:r>
                    <m:t>b</m:t>
                  </m:r>
                </m:sub>
              </m:sSub>
              <m:r>
                <m:rPr>
                  <m:sty m:val="p"/>
                </m:rPr>
                <m:t>,</m:t>
              </m:r>
              <m:r>
                <m:t>C</m:t>
              </m:r>
              <m:sSub>
                <m:e>
                  <m:r>
                    <m:t>R</m:t>
                  </m:r>
                </m:e>
                <m:sub>
                  <m:r>
                    <m:t>c</m:t>
                  </m:r>
                </m:sub>
              </m:sSub>
              <m:r>
                <m:rPr>
                  <m:sty m:val="p"/>
                </m:rPr>
                <m:t>)</m:t>
              </m:r>
            </m:num>
            <m:den>
              <m:r>
                <m:rPr>
                  <m:sty m:val="p"/>
                </m:rPr>
                <m:t>max</m:t>
              </m:r>
              <m:r>
                <m:rPr>
                  <m:sty m:val="p"/>
                </m:rPr>
                <m:t>(</m:t>
              </m:r>
              <m:r>
                <m:t>C</m:t>
              </m:r>
              <m:sSub>
                <m:e>
                  <m:r>
                    <m:t>R</m:t>
                  </m:r>
                </m:e>
                <m:sub>
                  <m:r>
                    <m:t>b</m:t>
                  </m:r>
                </m:sub>
              </m:sSub>
              <m:r>
                <m:rPr>
                  <m:sty m:val="p"/>
                </m:rPr>
                <m:t>,</m:t>
              </m:r>
              <m:r>
                <m:t>C</m:t>
              </m:r>
              <m:sSub>
                <m:e>
                  <m:r>
                    <m:t>R</m:t>
                  </m:r>
                </m:e>
                <m:sub>
                  <m:r>
                    <m:t>c</m:t>
                  </m:r>
                </m:sub>
              </m:sSub>
              <m:r>
                <m:rPr>
                  <m:sty m:val="p"/>
                </m:rPr>
                <m:t>)</m:t>
              </m:r>
            </m:den>
          </m:f>
          <m:r>
            <m:rPr>
              <m:sty m:val="p"/>
            </m:rPr>
            <m:t>,</m:t>
          </m:r>
        </m:oMath>
      </m:oMathPara>
    </w:p>
    <w:p>
      <w:pPr>
        <w:pStyle w:val="FirstParagraph"/>
      </w:pPr>
      <w:r>
        <w:t xml:space="preserve">with the inter-currency correlation</w:t>
      </w:r>
      <w:r>
        <w:t xml:space="preserve"> </w:t>
      </w:r>
      <m:oMath>
        <m:r>
          <m:t>γ</m:t>
        </m:r>
        <m:r>
          <m:rPr>
            <m:sty m:val="p"/>
          </m:rPr>
          <m:t>=</m:t>
        </m:r>
        <m:r>
          <m:t>35</m:t>
        </m:r>
        <m:r>
          <m:rPr>
            <m:sty m:val="p"/>
          </m:rPr>
          <m:t>%</m:t>
        </m:r>
      </m:oMath>
      <w:r>
        <w:t xml:space="preserve">. The</w:t>
      </w:r>
      <w:r>
        <w:t xml:space="preserve"> </w:t>
      </w:r>
      <m:oMath>
        <m:sSub>
          <m:e>
            <m:r>
              <m:t>g</m:t>
            </m:r>
          </m:e>
          <m:sub>
            <m:r>
              <m:t>b</m:t>
            </m:r>
            <m:r>
              <m:t>c</m:t>
            </m:r>
          </m:sub>
        </m:sSub>
      </m:oMath>
      <w:r>
        <w:t xml:space="preserve"> </w:t>
      </w:r>
      <w:r>
        <w:t xml:space="preserve">factor softens the cross-bucket correlation when one currency is much more concentrated than the other.</w:t>
      </w:r>
    </w:p>
    <w:p>
      <w:pPr>
        <w:pStyle w:val="BodyText"/>
      </w:pPr>
      <w:r>
        <w:rPr>
          <w:b/>
          <w:bCs/>
        </w:rPr>
        <w:t xml:space="preserve">FX delta.</w:t>
      </w:r>
      <w:r>
        <w:t xml:space="preserve"> </w:t>
      </w:r>
      <w:r>
        <w:t xml:space="preserve">All currencies against the calculation currency form a single bucket. Each currency's weighted sensitivity uses the FX risk weight (7.4 for a regular-group currency against USD in v2.8+2512) and its own concentration factor, and the margin is</w:t>
      </w:r>
      <w:r>
        <w:t xml:space="preserve"> </w:t>
      </w:r>
      <m:oMath>
        <m:r>
          <m:t>K</m:t>
        </m:r>
        <m:r>
          <m:rPr>
            <m:sty m:val="p"/>
          </m:rPr>
          <m:t>=</m:t>
        </m:r>
        <m:rad>
          <m:radPr>
            <m:degHide m:val="on"/>
          </m:radPr>
          <m:deg/>
          <m:e>
            <m:r>
              <m:t>W</m:t>
            </m:r>
            <m:sSup>
              <m:e>
                <m:r>
                  <m:t>S</m:t>
                </m:r>
              </m:e>
              <m:sup>
                <m:r>
                  <m:rPr>
                    <m:sty m:val="p"/>
                  </m:rPr>
                  <m:t>′</m:t>
                </m:r>
              </m:sup>
            </m:sSup>
            <m:r>
              <m:t>M</m:t>
            </m:r>
            <m:r>
              <m:t> </m:t>
            </m:r>
            <m:r>
              <m:t>W</m:t>
            </m:r>
            <m:r>
              <m:t>S</m:t>
            </m:r>
          </m:e>
        </m:rad>
      </m:oMath>
      <w:r>
        <w:t xml:space="preserve"> </w:t>
      </w:r>
      <w:r>
        <w:t xml:space="preserve">with correlation 50% between currencies in the regular group, scaled by</w:t>
      </w:r>
      <w:r>
        <w:t xml:space="preserve"> </w:t>
      </w:r>
      <m:oMath>
        <m:r>
          <m:rPr>
            <m:sty m:val="p"/>
          </m:rPr>
          <m:t>min</m:t>
        </m:r>
        <m:r>
          <m:rPr>
            <m:sty m:val="p"/>
          </m:rPr>
          <m:t>(</m:t>
        </m:r>
        <m:r>
          <m:t>C</m:t>
        </m:r>
        <m:sSub>
          <m:e>
            <m:r>
              <m:t>R</m:t>
            </m:r>
          </m:e>
          <m:sub>
            <m:r>
              <m:t>k</m:t>
            </m:r>
          </m:sub>
        </m:sSub>
        <m:r>
          <m:rPr>
            <m:sty m:val="p"/>
          </m:rPr>
          <m:t>,</m:t>
        </m:r>
        <m:r>
          <m:t>C</m:t>
        </m:r>
        <m:sSub>
          <m:e>
            <m:r>
              <m:t>R</m:t>
            </m:r>
          </m:e>
          <m:sub>
            <m:r>
              <m:t>l</m:t>
            </m:r>
          </m:sub>
        </m:sSub>
        <m:r>
          <m:rPr>
            <m:sty m:val="p"/>
          </m:rPr>
          <m:t>)</m:t>
        </m:r>
        <m:r>
          <m:rPr>
            <m:sty m:val="p"/>
          </m:rPr>
          <m:t>/</m:t>
        </m:r>
        <m:r>
          <m:rPr>
            <m:sty m:val="p"/>
          </m:rPr>
          <m:t>max</m:t>
        </m:r>
        <m:r>
          <m:rPr>
            <m:sty m:val="p"/>
          </m:rPr>
          <m:t>(</m:t>
        </m:r>
        <m:r>
          <m:t>C</m:t>
        </m:r>
        <m:sSub>
          <m:e>
            <m:r>
              <m:t>R</m:t>
            </m:r>
          </m:e>
          <m:sub>
            <m:r>
              <m:t>k</m:t>
            </m:r>
          </m:sub>
        </m:sSub>
        <m:r>
          <m:rPr>
            <m:sty m:val="p"/>
          </m:rPr>
          <m:t>,</m:t>
        </m:r>
        <m:r>
          <m:t>C</m:t>
        </m:r>
        <m:sSub>
          <m:e>
            <m:r>
              <m:t>R</m:t>
            </m:r>
          </m:e>
          <m:sub>
            <m:r>
              <m:t>l</m:t>
            </m:r>
          </m:sub>
        </m:sSub>
        <m:r>
          <m:rPr>
            <m:sty m:val="p"/>
          </m:rPr>
          <m:t>)</m:t>
        </m:r>
      </m:oMath>
      <w:r>
        <w:t xml:space="preserve">. The USD itself has no FX risk factor.</w:t>
      </w:r>
    </w:p>
    <w:p>
      <w:pPr>
        <w:pStyle w:val="BodyText"/>
      </w:pPr>
      <w:r>
        <w:rPr>
          <w:b/>
          <w:bCs/>
        </w:rPr>
        <w:t xml:space="preserve">Results for the sample book.</w:t>
      </w:r>
    </w:p>
    <w:p>
      <w:pPr>
        <w:pStyle w:val="TableCaption"/>
      </w:pPr>
      <w:r>
        <w:t xml:space="preserve">IR delta buckets of the sample book.</w:t>
      </w:r>
      <w:r>
        <w:t xml:space="preserve"> </w:t>
      </w:r>
      <m:oMath>
        <m:sSub>
          <m:e>
            <m:r>
              <m:t>K</m:t>
            </m:r>
          </m:e>
          <m:sub>
            <m:r>
              <m:t>b</m:t>
            </m:r>
          </m:sub>
        </m:sSub>
      </m:oMath>
      <w:r>
        <w:t xml:space="preserve"> </w:t>
      </w:r>
      <w:r>
        <w:t xml:space="preserve">is smaller than the sum of</w:t>
      </w:r>
      <w:r>
        <w:t xml:space="preserve"> </w:t>
      </w:r>
      <m:oMath>
        <m:r>
          <m:rPr>
            <m:sty m:val="p"/>
          </m:rPr>
          <m:t>|</m:t>
        </m:r>
        <m:r>
          <m:t>W</m:t>
        </m:r>
        <m:r>
          <m:t>S</m:t>
        </m:r>
        <m:r>
          <m:rPr>
            <m:sty m:val="p"/>
          </m:rPr>
          <m:t>|</m:t>
        </m:r>
      </m:oMath>
      <w:r>
        <w:t xml:space="preserve"> </w:t>
      </w:r>
      <w:r>
        <w:t xml:space="preserve">because opposite positions at neighbouring tenors offset.</w:t>
      </w:r>
    </w:p>
    <w:tbl>
      <w:tblPr>
        <w:tblStyle w:val="Table"/>
        <w:tblW w:type="auto" w:w="0"/>
        <w:tblLook w:firstRow="1" w:lastRow="0" w:firstColumn="0" w:lastColumn="0" w:noHBand="0" w:noVBand="0" w:val="0020"/>
        <w:tblCaption w:val="IR delta buckets of the sample book. K_b is smaller than the sum of |WS| because opposite positions at neighbouring tenors offse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Currency bucket</w:t>
            </w:r>
          </w:p>
        </w:tc>
        <w:tc>
          <w:tcPr/>
          <w:p>
            <w:pPr>
              <w:pStyle w:val="Compact"/>
              <w:jc w:val="right"/>
            </w:pPr>
            <w:r>
              <w:rPr>
                <w:sz w:val="17"/>
              </w:rPr>
              <w:t xml:space="preserve">CR</w:t>
            </w:r>
          </w:p>
        </w:tc>
        <w:tc>
          <w:tcPr/>
          <w:p>
            <w:pPr>
              <w:pStyle w:val="Compact"/>
              <w:jc w:val="right"/>
            </w:pPr>
            <w:r>
              <w:rPr>
                <w:sz w:val="17"/>
              </w:rPr>
              <w:t xml:space="preserve">Sum of</w:t>
            </w:r>
          </w:p>
        </w:tc>
        <w:tc>
          <w:tcPr/>
          <w:p>
            <w:pPr>
              <w:pStyle w:val="Compact"/>
              <w:jc w:val="right"/>
            </w:pPr>
            <w:r>
              <w:rPr>
                <w:sz w:val="17"/>
              </w:rPr>
              <w:t xml:space="preserve">WS</w:t>
            </w:r>
          </w:p>
        </w:tc>
        <w:tc>
          <w:tcPr/>
          <w:p>
            <w:pPr>
              <w:pStyle w:val="Compact"/>
            </w:pPr>
          </w:p>
        </w:tc>
      </w:tr>
      <w:tr>
        <w:tc>
          <w:tcPr/>
          <w:p>
            <w:pPr>
              <w:pStyle w:val="Compact"/>
              <w:jc w:val="left"/>
            </w:pPr>
            <w:r>
              <w:rPr>
                <w:sz w:val="17"/>
              </w:rPr>
              <w:t xml:space="preserve">USD</w:t>
            </w:r>
          </w:p>
        </w:tc>
        <w:tc>
          <w:tcPr/>
          <w:p>
            <w:pPr>
              <w:pStyle w:val="Compact"/>
              <w:jc w:val="right"/>
            </w:pPr>
            <w:r>
              <w:rPr>
                <w:sz w:val="17"/>
              </w:rPr>
              <w:t xml:space="preserve">1.00</w:t>
            </w:r>
          </w:p>
        </w:tc>
        <w:tc>
          <w:tcPr/>
          <w:p>
            <w:pPr>
              <w:pStyle w:val="Compact"/>
              <w:jc w:val="right"/>
            </w:pPr>
            <w:r>
              <w:rPr>
                <w:sz w:val="17"/>
              </w:rPr>
              <w:t xml:space="preserve">3,911,714</w:t>
            </w:r>
          </w:p>
        </w:tc>
        <w:tc>
          <w:tcPr/>
          <w:p>
            <w:pPr>
              <w:pStyle w:val="Compact"/>
              <w:jc w:val="right"/>
            </w:pPr>
            <w:r>
              <w:rPr>
                <w:sz w:val="17"/>
              </w:rPr>
              <w:t xml:space="preserve">808,937</w:t>
            </w:r>
          </w:p>
        </w:tc>
        <w:tc>
          <w:tcPr/>
          <w:p>
            <w:pPr>
              <w:pStyle w:val="Compact"/>
              <w:jc w:val="right"/>
            </w:pPr>
            <w:r>
              <w:rPr>
                <w:sz w:val="17"/>
              </w:rPr>
              <w:t xml:space="preserve">693,430</w:t>
            </w:r>
          </w:p>
        </w:tc>
      </w:tr>
      <w:tr>
        <w:tc>
          <w:tcPr/>
          <w:p>
            <w:pPr>
              <w:pStyle w:val="Compact"/>
              <w:jc w:val="left"/>
            </w:pPr>
            <w:r>
              <w:rPr>
                <w:sz w:val="17"/>
              </w:rPr>
              <w:t xml:space="preserve">EUR</w:t>
            </w:r>
          </w:p>
        </w:tc>
        <w:tc>
          <w:tcPr/>
          <w:p>
            <w:pPr>
              <w:pStyle w:val="Compact"/>
              <w:jc w:val="right"/>
            </w:pPr>
            <w:r>
              <w:rPr>
                <w:sz w:val="17"/>
              </w:rPr>
              <w:t xml:space="preserve">1.00</w:t>
            </w:r>
          </w:p>
        </w:tc>
        <w:tc>
          <w:tcPr/>
          <w:p>
            <w:pPr>
              <w:pStyle w:val="Compact"/>
              <w:jc w:val="right"/>
            </w:pPr>
            <w:r>
              <w:rPr>
                <w:sz w:val="17"/>
              </w:rPr>
              <w:t xml:space="preserve">4,181,909</w:t>
            </w:r>
          </w:p>
        </w:tc>
        <w:tc>
          <w:tcPr/>
          <w:p>
            <w:pPr>
              <w:pStyle w:val="Compact"/>
              <w:jc w:val="right"/>
            </w:pPr>
            <w:r>
              <w:rPr>
                <w:sz w:val="17"/>
              </w:rPr>
              <w:t xml:space="preserve">1,351,538</w:t>
            </w:r>
          </w:p>
        </w:tc>
        <w:tc>
          <w:tcPr/>
          <w:p>
            <w:pPr>
              <w:pStyle w:val="Compact"/>
              <w:jc w:val="right"/>
            </w:pPr>
            <w:r>
              <w:rPr>
                <w:sz w:val="17"/>
              </w:rPr>
              <w:t xml:space="preserve">-1,306,486</w:t>
            </w:r>
          </w:p>
        </w:tc>
      </w:tr>
      <w:tr>
        <w:tc>
          <w:tcPr/>
          <w:p>
            <w:pPr>
              <w:pStyle w:val="Compact"/>
              <w:jc w:val="left"/>
            </w:pPr>
            <w:r>
              <w:rPr>
                <w:sz w:val="17"/>
              </w:rPr>
              <w:t xml:space="preserve">GBP</w:t>
            </w:r>
          </w:p>
        </w:tc>
        <w:tc>
          <w:tcPr/>
          <w:p>
            <w:pPr>
              <w:pStyle w:val="Compact"/>
              <w:jc w:val="right"/>
            </w:pPr>
            <w:r>
              <w:rPr>
                <w:sz w:val="17"/>
              </w:rPr>
              <w:t xml:space="preserve">1.00</w:t>
            </w:r>
          </w:p>
        </w:tc>
        <w:tc>
          <w:tcPr/>
          <w:p>
            <w:pPr>
              <w:pStyle w:val="Compact"/>
              <w:jc w:val="right"/>
            </w:pPr>
            <w:r>
              <w:rPr>
                <w:sz w:val="17"/>
              </w:rPr>
              <w:t xml:space="preserve">1,554,785</w:t>
            </w:r>
          </w:p>
        </w:tc>
        <w:tc>
          <w:tcPr/>
          <w:p>
            <w:pPr>
              <w:pStyle w:val="Compact"/>
              <w:jc w:val="right"/>
            </w:pPr>
            <w:r>
              <w:rPr>
                <w:sz w:val="17"/>
              </w:rPr>
              <w:t xml:space="preserve">971,144</w:t>
            </w:r>
          </w:p>
        </w:tc>
        <w:tc>
          <w:tcPr/>
          <w:p>
            <w:pPr>
              <w:pStyle w:val="Compact"/>
              <w:jc w:val="right"/>
            </w:pPr>
            <w:r>
              <w:rPr>
                <w:sz w:val="17"/>
              </w:rPr>
              <w:t xml:space="preserve">971,144</w:t>
            </w:r>
          </w:p>
        </w:tc>
      </w:tr>
      <w:tr>
        <w:tc>
          <w:tcPr/>
          <w:p>
            <w:pPr>
              <w:pStyle w:val="Compact"/>
              <w:jc w:val="left"/>
            </w:pPr>
            <w:r>
              <w:rPr>
                <w:sz w:val="17"/>
              </w:rPr>
              <w:t xml:space="preserve">JPY</w:t>
            </w:r>
          </w:p>
        </w:tc>
        <w:tc>
          <w:tcPr/>
          <w:p>
            <w:pPr>
              <w:pStyle w:val="Compact"/>
              <w:jc w:val="right"/>
            </w:pPr>
            <w:r>
              <w:rPr>
                <w:sz w:val="17"/>
              </w:rPr>
              <w:t xml:space="preserve">1.00</w:t>
            </w:r>
          </w:p>
        </w:tc>
        <w:tc>
          <w:tcPr/>
          <w:p>
            <w:pPr>
              <w:pStyle w:val="Compact"/>
              <w:jc w:val="right"/>
            </w:pPr>
            <w:r>
              <w:rPr>
                <w:sz w:val="17"/>
              </w:rPr>
              <w:t xml:space="preserve">727,356</w:t>
            </w:r>
          </w:p>
        </w:tc>
        <w:tc>
          <w:tcPr/>
          <w:p>
            <w:pPr>
              <w:pStyle w:val="Compact"/>
              <w:jc w:val="right"/>
            </w:pPr>
            <w:r>
              <w:rPr>
                <w:sz w:val="17"/>
              </w:rPr>
              <w:t xml:space="preserve">708,221</w:t>
            </w:r>
          </w:p>
        </w:tc>
        <w:tc>
          <w:tcPr/>
          <w:p>
            <w:pPr>
              <w:pStyle w:val="Compact"/>
              <w:jc w:val="right"/>
            </w:pPr>
            <w:r>
              <w:rPr>
                <w:sz w:val="17"/>
              </w:rPr>
              <w:t xml:space="preserve">-703,894</w:t>
            </w:r>
          </w:p>
        </w:tc>
      </w:tr>
      <w:tr>
        <w:tc>
          <w:tcPr/>
          <w:p>
            <w:pPr>
              <w:pStyle w:val="Compact"/>
              <w:jc w:val="left"/>
            </w:pPr>
            <w:r>
              <w:rPr>
                <w:sz w:val="17"/>
              </w:rPr>
              <w:t xml:space="preserve">MXN</w:t>
            </w:r>
          </w:p>
        </w:tc>
        <w:tc>
          <w:tcPr/>
          <w:p>
            <w:pPr>
              <w:pStyle w:val="Compact"/>
              <w:jc w:val="right"/>
            </w:pPr>
            <w:r>
              <w:rPr>
                <w:sz w:val="17"/>
              </w:rPr>
              <w:t xml:space="preserve">1.00</w:t>
            </w:r>
          </w:p>
        </w:tc>
        <w:tc>
          <w:tcPr/>
          <w:p>
            <w:pPr>
              <w:pStyle w:val="Compact"/>
              <w:jc w:val="right"/>
            </w:pPr>
            <w:r>
              <w:rPr>
                <w:sz w:val="17"/>
              </w:rPr>
              <w:t xml:space="preserve">726,527</w:t>
            </w:r>
          </w:p>
        </w:tc>
        <w:tc>
          <w:tcPr/>
          <w:p>
            <w:pPr>
              <w:pStyle w:val="Compact"/>
              <w:jc w:val="right"/>
            </w:pPr>
            <w:r>
              <w:rPr>
                <w:sz w:val="17"/>
              </w:rPr>
              <w:t xml:space="preserve">637,216</w:t>
            </w:r>
          </w:p>
        </w:tc>
        <w:tc>
          <w:tcPr/>
          <w:p>
            <w:pPr>
              <w:pStyle w:val="Compact"/>
              <w:jc w:val="right"/>
            </w:pPr>
            <w:r>
              <w:rPr>
                <w:sz w:val="17"/>
              </w:rPr>
              <w:t xml:space="preserve">623,385</w:t>
            </w:r>
          </w:p>
        </w:tc>
      </w:tr>
    </w:tbl>
    <w:p>
      <w:pPr>
        <w:pStyle w:val="BodyText"/>
      </w:pPr>
      <w:r>
        <w:t xml:space="preserve">The sum of the five</w:t>
      </w:r>
      <w:r>
        <w:t xml:space="preserve"> </w:t>
      </w:r>
      <m:oMath>
        <m:sSub>
          <m:e>
            <m:r>
              <m:t>K</m:t>
            </m:r>
          </m:e>
          <m:sub>
            <m:r>
              <m:t>b</m:t>
            </m:r>
          </m:sub>
        </m:sSub>
      </m:oMath>
      <w:r>
        <w:t xml:space="preserve"> </w:t>
      </w:r>
      <w:r>
        <w:t xml:space="preserve">is USD 4,477,056 while the IR delta margin is USD 1,718,578, a further reduction from offsetting positions between currencies. FX delta is the largest single margin component, USD 3,678,282, from the FX risk factor weighted sensitivities:</w:t>
      </w:r>
    </w:p>
    <w:p>
      <w:pPr>
        <w:pStyle w:val="TableCaption"/>
      </w:pPr>
      <w:r>
        <w:t xml:space="preserve">FX delta weighted sensitivities of the book. The sum of absolute values is USD 7,808,717; the margin is lower because EUR, GBP, JPY and MXN positions partly offset at 50% correlation.</w:t>
      </w:r>
    </w:p>
    <w:tbl>
      <w:tblPr>
        <w:tblStyle w:val="Table"/>
        <w:tblW w:type="auto" w:w="0"/>
        <w:tblLook w:firstRow="1" w:lastRow="0" w:firstColumn="0" w:lastColumn="0" w:noHBand="0" w:noVBand="0" w:val="0020"/>
        <w:tblCaption w:val="FX delta weighted sensitivities of the book. The sum of absolute values is USD 7,808,717; the margin is lower because EUR, GBP, JPY and MXN positions partly offset at 50% correlati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FX risk factor (currency against USD)</w:t>
            </w:r>
          </w:p>
        </w:tc>
        <w:tc>
          <w:tcPr/>
          <w:p>
            <w:pPr>
              <w:pStyle w:val="Compact"/>
              <w:jc w:val="right"/>
            </w:pPr>
            <w:r>
              <w:rPr>
                <w:sz w:val="17"/>
              </w:rPr>
              <w:t xml:space="preserve">Weighted sensitivity (USD)</w:t>
            </w:r>
          </w:p>
        </w:tc>
      </w:tr>
      <w:tr>
        <w:tc>
          <w:tcPr/>
          <w:p>
            <w:pPr>
              <w:pStyle w:val="Compact"/>
              <w:jc w:val="left"/>
            </w:pPr>
            <w:r>
              <w:rPr>
                <w:sz w:val="17"/>
              </w:rPr>
              <w:t xml:space="preserve">EUR</w:t>
            </w:r>
          </w:p>
        </w:tc>
        <w:tc>
          <w:tcPr/>
          <w:p>
            <w:pPr>
              <w:pStyle w:val="Compact"/>
              <w:jc w:val="right"/>
            </w:pPr>
            <w:r>
              <w:rPr>
                <w:sz w:val="17"/>
              </w:rPr>
              <w:t xml:space="preserve">4,213,017</w:t>
            </w:r>
          </w:p>
        </w:tc>
      </w:tr>
      <w:tr>
        <w:tc>
          <w:tcPr/>
          <w:p>
            <w:pPr>
              <w:pStyle w:val="Compact"/>
              <w:jc w:val="left"/>
            </w:pPr>
            <w:r>
              <w:rPr>
                <w:sz w:val="17"/>
              </w:rPr>
              <w:t xml:space="preserve">GBP</w:t>
            </w:r>
          </w:p>
        </w:tc>
        <w:tc>
          <w:tcPr/>
          <w:p>
            <w:pPr>
              <w:pStyle w:val="Compact"/>
              <w:jc w:val="right"/>
            </w:pPr>
            <w:r>
              <w:rPr>
                <w:sz w:val="17"/>
              </w:rPr>
              <w:t xml:space="preserve">-1,273,876</w:t>
            </w:r>
          </w:p>
        </w:tc>
      </w:tr>
      <w:tr>
        <w:tc>
          <w:tcPr/>
          <w:p>
            <w:pPr>
              <w:pStyle w:val="Compact"/>
              <w:jc w:val="left"/>
            </w:pPr>
            <w:r>
              <w:rPr>
                <w:sz w:val="17"/>
              </w:rPr>
              <w:t xml:space="preserve">JPY</w:t>
            </w:r>
          </w:p>
        </w:tc>
        <w:tc>
          <w:tcPr/>
          <w:p>
            <w:pPr>
              <w:pStyle w:val="Compact"/>
              <w:jc w:val="right"/>
            </w:pPr>
            <w:r>
              <w:rPr>
                <w:sz w:val="17"/>
              </w:rPr>
              <w:t xml:space="preserve">-1,547,288</w:t>
            </w:r>
          </w:p>
        </w:tc>
      </w:tr>
      <w:tr>
        <w:tc>
          <w:tcPr/>
          <w:p>
            <w:pPr>
              <w:pStyle w:val="Compact"/>
              <w:jc w:val="left"/>
            </w:pPr>
            <w:r>
              <w:rPr>
                <w:sz w:val="17"/>
              </w:rPr>
              <w:t xml:space="preserve">MXN</w:t>
            </w:r>
          </w:p>
        </w:tc>
        <w:tc>
          <w:tcPr/>
          <w:p>
            <w:pPr>
              <w:pStyle w:val="Compact"/>
              <w:jc w:val="right"/>
            </w:pPr>
            <w:r>
              <w:rPr>
                <w:sz w:val="17"/>
              </w:rPr>
              <w:t xml:space="preserve">774,536</w:t>
            </w:r>
          </w:p>
        </w:tc>
      </w:tr>
    </w:tbl>
    <w:bookmarkEnd w:id="28"/>
    <w:bookmarkStart w:id="29" w:name="X30feb0bab0a61d84f229a2569f84c3f7b8a5280"/>
    <w:p>
      <w:pPr>
        <w:pStyle w:val="Heading2"/>
      </w:pPr>
      <w:r>
        <w:rPr>
          <w:rStyle w:val="SectionNumber"/>
        </w:rPr>
        <w:t xml:space="preserve">5.4</w:t>
      </w:r>
      <w:r>
        <w:tab/>
      </w:r>
      <w:r>
        <w:t xml:space="preserve">A fully worked example with two currencies</w:t>
      </w:r>
    </w:p>
    <w:p>
      <w:pPr>
        <w:pStyle w:val="FirstParagraph"/>
      </w:pPr>
      <w:r>
        <w:t xml:space="preserve">To make the mechanics hand-checkable, take only two trades from the book: the USD 5-year receive-fixed swap IRS_USD_5Y (USD 40 million) and the EUR 5-year pay-fixed swap IRS_EUR_5Y (EUR 30 million). Their CRIF rows give these weighted sensitivities (all concentration factors are 1):</w:t>
      </w:r>
    </w:p>
    <w:p>
      <w:pPr>
        <w:pStyle w:val="TableCaption"/>
      </w:pPr>
      <w:r>
        <w:t xml:space="preserve">Worked example, step 1: net sensitivity</w:t>
      </w:r>
      <w:r>
        <w:t xml:space="preserve"> </w:t>
      </w:r>
      <m:oMath>
        <m:r>
          <m:t>s</m:t>
        </m:r>
      </m:oMath>
      <w:r>
        <w:t xml:space="preserve"> </w:t>
      </w:r>
      <w:r>
        <w:t xml:space="preserve">(USD per bp), risk weight, concentration factor and weighted sensitivity for the two swaps.</w:t>
      </w:r>
    </w:p>
    <w:tbl>
      <w:tblPr>
        <w:tblStyle w:val="Table"/>
        <w:tblW w:type="auto" w:w="0"/>
        <w:tblLook w:firstRow="1" w:lastRow="0" w:firstColumn="0" w:lastColumn="0" w:noHBand="0" w:noVBand="0" w:val="0020"/>
        <w:tblCaption w:val="Worked example, step 1: net sensitivity s (USD per bp), risk weight, concentration factor and weighted sensitivity for the two swap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Currency</w:t>
            </w:r>
          </w:p>
        </w:tc>
        <w:tc>
          <w:tcPr/>
          <w:p>
            <w:pPr>
              <w:pStyle w:val="Compact"/>
              <w:jc w:val="left"/>
            </w:pPr>
            <w:r>
              <w:rPr>
                <w:sz w:val="17"/>
              </w:rPr>
              <w:t xml:space="preserve">Tenor</w:t>
            </w:r>
          </w:p>
        </w:tc>
        <w:tc>
          <w:tcPr/>
          <w:p>
            <w:pPr>
              <w:pStyle w:val="Compact"/>
              <w:jc w:val="right"/>
            </w:pPr>
            <w:r>
              <w:rPr>
                <w:sz w:val="17"/>
              </w:rPr>
              <w:t xml:space="preserve">s (USD per bp)</w:t>
            </w:r>
          </w:p>
        </w:tc>
        <w:tc>
          <w:tcPr/>
          <w:p>
            <w:pPr>
              <w:pStyle w:val="Compact"/>
              <w:jc w:val="right"/>
            </w:pPr>
            <w:r>
              <w:rPr>
                <w:sz w:val="17"/>
              </w:rPr>
              <w:t xml:space="preserve">RW</w:t>
            </w:r>
          </w:p>
        </w:tc>
        <w:tc>
          <w:tcPr/>
          <w:p>
            <w:pPr>
              <w:pStyle w:val="Compact"/>
              <w:jc w:val="right"/>
            </w:pPr>
            <w:r>
              <w:rPr>
                <w:sz w:val="17"/>
              </w:rPr>
              <w:t xml:space="preserve">CR</w:t>
            </w:r>
          </w:p>
        </w:tc>
        <w:tc>
          <w:tcPr/>
          <w:p>
            <w:pPr>
              <w:pStyle w:val="Compact"/>
              <w:jc w:val="right"/>
            </w:pPr>
            <w:r>
              <w:rPr>
                <w:sz w:val="17"/>
              </w:rPr>
              <w:t xml:space="preserve">WS (USD)</w:t>
            </w:r>
          </w:p>
        </w:tc>
      </w:tr>
      <w:tr>
        <w:tc>
          <w:tcPr/>
          <w:p>
            <w:pPr>
              <w:pStyle w:val="Compact"/>
              <w:jc w:val="left"/>
            </w:pPr>
            <w:r>
              <w:rPr>
                <w:sz w:val="17"/>
              </w:rPr>
              <w:t xml:space="preserve">USD</w:t>
            </w:r>
          </w:p>
        </w:tc>
        <w:tc>
          <w:tcPr/>
          <w:p>
            <w:pPr>
              <w:pStyle w:val="Compact"/>
              <w:jc w:val="left"/>
            </w:pPr>
            <w:r>
              <w:rPr>
                <w:sz w:val="17"/>
              </w:rPr>
              <w:t xml:space="preserve">1y</w:t>
            </w:r>
          </w:p>
        </w:tc>
        <w:tc>
          <w:tcPr/>
          <w:p>
            <w:pPr>
              <w:pStyle w:val="Compact"/>
              <w:jc w:val="right"/>
            </w:pPr>
            <w:r>
              <w:rPr>
                <w:sz w:val="17"/>
              </w:rPr>
              <w:t xml:space="preserve">18.26</w:t>
            </w:r>
          </w:p>
        </w:tc>
        <w:tc>
          <w:tcPr/>
          <w:p>
            <w:pPr>
              <w:pStyle w:val="Compact"/>
              <w:jc w:val="right"/>
            </w:pPr>
            <w:r>
              <w:rPr>
                <w:sz w:val="17"/>
              </w:rPr>
              <w:t xml:space="preserve">68</w:t>
            </w:r>
          </w:p>
        </w:tc>
        <w:tc>
          <w:tcPr/>
          <w:p>
            <w:pPr>
              <w:pStyle w:val="Compact"/>
              <w:jc w:val="right"/>
            </w:pPr>
            <w:r>
              <w:rPr>
                <w:sz w:val="17"/>
              </w:rPr>
              <w:t xml:space="preserve">1</w:t>
            </w:r>
          </w:p>
        </w:tc>
        <w:tc>
          <w:tcPr/>
          <w:p>
            <w:pPr>
              <w:pStyle w:val="Compact"/>
              <w:jc w:val="right"/>
            </w:pPr>
            <w:r>
              <w:rPr>
                <w:sz w:val="17"/>
              </w:rPr>
              <w:t xml:space="preserve">1,242</w:t>
            </w:r>
          </w:p>
        </w:tc>
      </w:tr>
      <w:tr>
        <w:tc>
          <w:tcPr/>
          <w:p>
            <w:pPr>
              <w:pStyle w:val="Compact"/>
              <w:jc w:val="left"/>
            </w:pPr>
            <w:r>
              <w:rPr>
                <w:sz w:val="17"/>
              </w:rPr>
              <w:t xml:space="preserve">USD</w:t>
            </w:r>
          </w:p>
        </w:tc>
        <w:tc>
          <w:tcPr/>
          <w:p>
            <w:pPr>
              <w:pStyle w:val="Compact"/>
              <w:jc w:val="left"/>
            </w:pPr>
            <w:r>
              <w:rPr>
                <w:sz w:val="17"/>
              </w:rPr>
              <w:t xml:space="preserve">2y</w:t>
            </w:r>
          </w:p>
        </w:tc>
        <w:tc>
          <w:tcPr/>
          <w:p>
            <w:pPr>
              <w:pStyle w:val="Compact"/>
              <w:jc w:val="right"/>
            </w:pPr>
            <w:r>
              <w:rPr>
                <w:sz w:val="17"/>
              </w:rPr>
              <w:t xml:space="preserve">37.28</w:t>
            </w:r>
          </w:p>
        </w:tc>
        <w:tc>
          <w:tcPr/>
          <w:p>
            <w:pPr>
              <w:pStyle w:val="Compact"/>
              <w:jc w:val="right"/>
            </w:pPr>
            <w:r>
              <w:rPr>
                <w:sz w:val="17"/>
              </w:rPr>
              <w:t xml:space="preserve">69</w:t>
            </w:r>
          </w:p>
        </w:tc>
        <w:tc>
          <w:tcPr/>
          <w:p>
            <w:pPr>
              <w:pStyle w:val="Compact"/>
              <w:jc w:val="right"/>
            </w:pPr>
            <w:r>
              <w:rPr>
                <w:sz w:val="17"/>
              </w:rPr>
              <w:t xml:space="preserve">1</w:t>
            </w:r>
          </w:p>
        </w:tc>
        <w:tc>
          <w:tcPr/>
          <w:p>
            <w:pPr>
              <w:pStyle w:val="Compact"/>
              <w:jc w:val="right"/>
            </w:pPr>
            <w:r>
              <w:rPr>
                <w:sz w:val="17"/>
              </w:rPr>
              <w:t xml:space="preserve">2,572</w:t>
            </w:r>
          </w:p>
        </w:tc>
      </w:tr>
      <w:tr>
        <w:tc>
          <w:tcPr/>
          <w:p>
            <w:pPr>
              <w:pStyle w:val="Compact"/>
              <w:jc w:val="left"/>
            </w:pPr>
            <w:r>
              <w:rPr>
                <w:sz w:val="17"/>
              </w:rPr>
              <w:t xml:space="preserve">USD</w:t>
            </w:r>
          </w:p>
        </w:tc>
        <w:tc>
          <w:tcPr/>
          <w:p>
            <w:pPr>
              <w:pStyle w:val="Compact"/>
              <w:jc w:val="left"/>
            </w:pPr>
            <w:r>
              <w:rPr>
                <w:sz w:val="17"/>
              </w:rPr>
              <w:t xml:space="preserve">3y</w:t>
            </w:r>
          </w:p>
        </w:tc>
        <w:tc>
          <w:tcPr/>
          <w:p>
            <w:pPr>
              <w:pStyle w:val="Compact"/>
              <w:jc w:val="right"/>
            </w:pPr>
            <w:r>
              <w:rPr>
                <w:sz w:val="17"/>
              </w:rPr>
              <w:t xml:space="preserve">96.18</w:t>
            </w:r>
          </w:p>
        </w:tc>
        <w:tc>
          <w:tcPr/>
          <w:p>
            <w:pPr>
              <w:pStyle w:val="Compact"/>
              <w:jc w:val="right"/>
            </w:pPr>
            <w:r>
              <w:rPr>
                <w:sz w:val="17"/>
              </w:rPr>
              <w:t xml:space="preserve">66</w:t>
            </w:r>
          </w:p>
        </w:tc>
        <w:tc>
          <w:tcPr/>
          <w:p>
            <w:pPr>
              <w:pStyle w:val="Compact"/>
              <w:jc w:val="right"/>
            </w:pPr>
            <w:r>
              <w:rPr>
                <w:sz w:val="17"/>
              </w:rPr>
              <w:t xml:space="preserve">1</w:t>
            </w:r>
          </w:p>
        </w:tc>
        <w:tc>
          <w:tcPr/>
          <w:p>
            <w:pPr>
              <w:pStyle w:val="Compact"/>
              <w:jc w:val="right"/>
            </w:pPr>
            <w:r>
              <w:rPr>
                <w:sz w:val="17"/>
              </w:rPr>
              <w:t xml:space="preserve">6,348</w:t>
            </w:r>
          </w:p>
        </w:tc>
      </w:tr>
      <w:tr>
        <w:tc>
          <w:tcPr/>
          <w:p>
            <w:pPr>
              <w:pStyle w:val="Compact"/>
              <w:jc w:val="left"/>
            </w:pPr>
            <w:r>
              <w:rPr>
                <w:sz w:val="17"/>
              </w:rPr>
              <w:t xml:space="preserve">USD</w:t>
            </w:r>
          </w:p>
        </w:tc>
        <w:tc>
          <w:tcPr/>
          <w:p>
            <w:pPr>
              <w:pStyle w:val="Compact"/>
              <w:jc w:val="left"/>
            </w:pPr>
            <w:r>
              <w:rPr>
                <w:sz w:val="17"/>
              </w:rPr>
              <w:t xml:space="preserve">5y</w:t>
            </w:r>
          </w:p>
        </w:tc>
        <w:tc>
          <w:tcPr/>
          <w:p>
            <w:pPr>
              <w:pStyle w:val="Compact"/>
              <w:jc w:val="right"/>
            </w:pPr>
            <w:r>
              <w:rPr>
                <w:sz w:val="17"/>
              </w:rPr>
              <w:t xml:space="preserve">-17,421.69</w:t>
            </w:r>
          </w:p>
        </w:tc>
        <w:tc>
          <w:tcPr/>
          <w:p>
            <w:pPr>
              <w:pStyle w:val="Compact"/>
              <w:jc w:val="right"/>
            </w:pPr>
            <w:r>
              <w:rPr>
                <w:sz w:val="17"/>
              </w:rPr>
              <w:t xml:space="preserve">61</w:t>
            </w:r>
          </w:p>
        </w:tc>
        <w:tc>
          <w:tcPr/>
          <w:p>
            <w:pPr>
              <w:pStyle w:val="Compact"/>
              <w:jc w:val="right"/>
            </w:pPr>
            <w:r>
              <w:rPr>
                <w:sz w:val="17"/>
              </w:rPr>
              <w:t xml:space="preserve">1</w:t>
            </w:r>
          </w:p>
        </w:tc>
        <w:tc>
          <w:tcPr/>
          <w:p>
            <w:pPr>
              <w:pStyle w:val="Compact"/>
              <w:jc w:val="right"/>
            </w:pPr>
            <w:r>
              <w:rPr>
                <w:sz w:val="17"/>
              </w:rPr>
              <w:t xml:space="preserve">-1,062,723</w:t>
            </w:r>
          </w:p>
        </w:tc>
      </w:tr>
      <w:tr>
        <w:tc>
          <w:tcPr/>
          <w:p>
            <w:pPr>
              <w:pStyle w:val="Compact"/>
              <w:jc w:val="left"/>
            </w:pPr>
            <w:r>
              <w:rPr>
                <w:sz w:val="17"/>
              </w:rPr>
              <w:t xml:space="preserve">EUR</w:t>
            </w:r>
          </w:p>
        </w:tc>
        <w:tc>
          <w:tcPr/>
          <w:p>
            <w:pPr>
              <w:pStyle w:val="Compact"/>
              <w:jc w:val="left"/>
            </w:pPr>
            <w:r>
              <w:rPr>
                <w:sz w:val="17"/>
              </w:rPr>
              <w:t xml:space="preserve">1y</w:t>
            </w:r>
          </w:p>
        </w:tc>
        <w:tc>
          <w:tcPr/>
          <w:p>
            <w:pPr>
              <w:pStyle w:val="Compact"/>
              <w:jc w:val="right"/>
            </w:pPr>
            <w:r>
              <w:rPr>
                <w:sz w:val="17"/>
              </w:rPr>
              <w:t xml:space="preserve">-6.72</w:t>
            </w:r>
          </w:p>
        </w:tc>
        <w:tc>
          <w:tcPr/>
          <w:p>
            <w:pPr>
              <w:pStyle w:val="Compact"/>
              <w:jc w:val="right"/>
            </w:pPr>
            <w:r>
              <w:rPr>
                <w:sz w:val="17"/>
              </w:rPr>
              <w:t xml:space="preserve">68</w:t>
            </w:r>
          </w:p>
        </w:tc>
        <w:tc>
          <w:tcPr/>
          <w:p>
            <w:pPr>
              <w:pStyle w:val="Compact"/>
              <w:jc w:val="right"/>
            </w:pPr>
            <w:r>
              <w:rPr>
                <w:sz w:val="17"/>
              </w:rPr>
              <w:t xml:space="preserve">1</w:t>
            </w:r>
          </w:p>
        </w:tc>
        <w:tc>
          <w:tcPr/>
          <w:p>
            <w:pPr>
              <w:pStyle w:val="Compact"/>
              <w:jc w:val="right"/>
            </w:pPr>
            <w:r>
              <w:rPr>
                <w:sz w:val="17"/>
              </w:rPr>
              <w:t xml:space="preserve">-457</w:t>
            </w:r>
          </w:p>
        </w:tc>
      </w:tr>
      <w:tr>
        <w:tc>
          <w:tcPr/>
          <w:p>
            <w:pPr>
              <w:pStyle w:val="Compact"/>
              <w:jc w:val="left"/>
            </w:pPr>
            <w:r>
              <w:rPr>
                <w:sz w:val="17"/>
              </w:rPr>
              <w:t xml:space="preserve">EUR</w:t>
            </w:r>
          </w:p>
        </w:tc>
        <w:tc>
          <w:tcPr/>
          <w:p>
            <w:pPr>
              <w:pStyle w:val="Compact"/>
              <w:jc w:val="left"/>
            </w:pPr>
            <w:r>
              <w:rPr>
                <w:sz w:val="17"/>
              </w:rPr>
              <w:t xml:space="preserve">2y</w:t>
            </w:r>
          </w:p>
        </w:tc>
        <w:tc>
          <w:tcPr/>
          <w:p>
            <w:pPr>
              <w:pStyle w:val="Compact"/>
              <w:jc w:val="right"/>
            </w:pPr>
            <w:r>
              <w:rPr>
                <w:sz w:val="17"/>
              </w:rPr>
              <w:t xml:space="preserve">-13.59</w:t>
            </w:r>
          </w:p>
        </w:tc>
        <w:tc>
          <w:tcPr/>
          <w:p>
            <w:pPr>
              <w:pStyle w:val="Compact"/>
              <w:jc w:val="right"/>
            </w:pPr>
            <w:r>
              <w:rPr>
                <w:sz w:val="17"/>
              </w:rPr>
              <w:t xml:space="preserve">69</w:t>
            </w:r>
          </w:p>
        </w:tc>
        <w:tc>
          <w:tcPr/>
          <w:p>
            <w:pPr>
              <w:pStyle w:val="Compact"/>
              <w:jc w:val="right"/>
            </w:pPr>
            <w:r>
              <w:rPr>
                <w:sz w:val="17"/>
              </w:rPr>
              <w:t xml:space="preserve">1</w:t>
            </w:r>
          </w:p>
        </w:tc>
        <w:tc>
          <w:tcPr/>
          <w:p>
            <w:pPr>
              <w:pStyle w:val="Compact"/>
              <w:jc w:val="right"/>
            </w:pPr>
            <w:r>
              <w:rPr>
                <w:sz w:val="17"/>
              </w:rPr>
              <w:t xml:space="preserve">-938</w:t>
            </w:r>
          </w:p>
        </w:tc>
      </w:tr>
      <w:tr>
        <w:tc>
          <w:tcPr/>
          <w:p>
            <w:pPr>
              <w:pStyle w:val="Compact"/>
              <w:jc w:val="left"/>
            </w:pPr>
            <w:r>
              <w:rPr>
                <w:sz w:val="17"/>
              </w:rPr>
              <w:t xml:space="preserve">EUR</w:t>
            </w:r>
          </w:p>
        </w:tc>
        <w:tc>
          <w:tcPr/>
          <w:p>
            <w:pPr>
              <w:pStyle w:val="Compact"/>
              <w:jc w:val="left"/>
            </w:pPr>
            <w:r>
              <w:rPr>
                <w:sz w:val="17"/>
              </w:rPr>
              <w:t xml:space="preserve">3y</w:t>
            </w:r>
          </w:p>
        </w:tc>
        <w:tc>
          <w:tcPr/>
          <w:p>
            <w:pPr>
              <w:pStyle w:val="Compact"/>
              <w:jc w:val="right"/>
            </w:pPr>
            <w:r>
              <w:rPr>
                <w:sz w:val="17"/>
              </w:rPr>
              <w:t xml:space="preserve">-34.63</w:t>
            </w:r>
          </w:p>
        </w:tc>
        <w:tc>
          <w:tcPr/>
          <w:p>
            <w:pPr>
              <w:pStyle w:val="Compact"/>
              <w:jc w:val="right"/>
            </w:pPr>
            <w:r>
              <w:rPr>
                <w:sz w:val="17"/>
              </w:rPr>
              <w:t xml:space="preserve">66</w:t>
            </w:r>
          </w:p>
        </w:tc>
        <w:tc>
          <w:tcPr/>
          <w:p>
            <w:pPr>
              <w:pStyle w:val="Compact"/>
              <w:jc w:val="right"/>
            </w:pPr>
            <w:r>
              <w:rPr>
                <w:sz w:val="17"/>
              </w:rPr>
              <w:t xml:space="preserve">1</w:t>
            </w:r>
          </w:p>
        </w:tc>
        <w:tc>
          <w:tcPr/>
          <w:p>
            <w:pPr>
              <w:pStyle w:val="Compact"/>
              <w:jc w:val="right"/>
            </w:pPr>
            <w:r>
              <w:rPr>
                <w:sz w:val="17"/>
              </w:rPr>
              <w:t xml:space="preserve">-2,286</w:t>
            </w:r>
          </w:p>
        </w:tc>
      </w:tr>
      <w:tr>
        <w:tc>
          <w:tcPr/>
          <w:p>
            <w:pPr>
              <w:pStyle w:val="Compact"/>
              <w:jc w:val="left"/>
            </w:pPr>
            <w:r>
              <w:rPr>
                <w:sz w:val="17"/>
              </w:rPr>
              <w:t xml:space="preserve">EUR</w:t>
            </w:r>
          </w:p>
        </w:tc>
        <w:tc>
          <w:tcPr/>
          <w:p>
            <w:pPr>
              <w:pStyle w:val="Compact"/>
              <w:jc w:val="left"/>
            </w:pPr>
            <w:r>
              <w:rPr>
                <w:sz w:val="17"/>
              </w:rPr>
              <w:t xml:space="preserve">5y</w:t>
            </w:r>
          </w:p>
        </w:tc>
        <w:tc>
          <w:tcPr/>
          <w:p>
            <w:pPr>
              <w:pStyle w:val="Compact"/>
              <w:jc w:val="right"/>
            </w:pPr>
            <w:r>
              <w:rPr>
                <w:sz w:val="17"/>
              </w:rPr>
              <w:t xml:space="preserve">16,903.13</w:t>
            </w:r>
          </w:p>
        </w:tc>
        <w:tc>
          <w:tcPr/>
          <w:p>
            <w:pPr>
              <w:pStyle w:val="Compact"/>
              <w:jc w:val="right"/>
            </w:pPr>
            <w:r>
              <w:rPr>
                <w:sz w:val="17"/>
              </w:rPr>
              <w:t xml:space="preserve">61</w:t>
            </w:r>
          </w:p>
        </w:tc>
        <w:tc>
          <w:tcPr/>
          <w:p>
            <w:pPr>
              <w:pStyle w:val="Compact"/>
              <w:jc w:val="right"/>
            </w:pPr>
            <w:r>
              <w:rPr>
                <w:sz w:val="17"/>
              </w:rPr>
              <w:t xml:space="preserve">1</w:t>
            </w:r>
          </w:p>
        </w:tc>
        <w:tc>
          <w:tcPr/>
          <w:p>
            <w:pPr>
              <w:pStyle w:val="Compact"/>
              <w:jc w:val="right"/>
            </w:pPr>
            <w:r>
              <w:rPr>
                <w:sz w:val="17"/>
              </w:rPr>
              <w:t xml:space="preserve">1,031,091</w:t>
            </w:r>
          </w:p>
        </w:tc>
      </w:tr>
    </w:tbl>
    <w:p>
      <w:pPr>
        <w:pStyle w:val="BodyText"/>
      </w:pPr>
      <w:r>
        <w:rPr>
          <w:b/>
          <w:bCs/>
        </w:rPr>
        <w:t xml:space="preserve">Step 2, bucket K.</w:t>
      </w:r>
      <w:r>
        <w:t xml:space="preserve"> </w:t>
      </w:r>
      <w:r>
        <w:t xml:space="preserve">In the USD bucket the 5-year weighted sensitivity is -1,062,723. The 1, 2 and 3-year rows are small and of opposite sign, and their correlations with the 5-year vertex are 0.81, 0.92 and 0.97, so they slightly offset the large row. The formula gives</w:t>
      </w:r>
      <w:r>
        <w:t xml:space="preserve"> </w:t>
      </w:r>
      <m:oMath>
        <m:sSub>
          <m:e>
            <m:r>
              <m:t>K</m:t>
            </m:r>
          </m:e>
          <m:sub>
            <m:r>
              <m:t>U</m:t>
            </m:r>
            <m:r>
              <m:t>S</m:t>
            </m:r>
            <m:r>
              <m:t>D</m:t>
            </m:r>
          </m:sub>
        </m:sSub>
        <m:r>
          <m:rPr>
            <m:sty m:val="p"/>
          </m:rPr>
          <m:t>=</m:t>
        </m:r>
        <m:r>
          <m:t>1</m:t>
        </m:r>
        <m:r>
          <m:rPr>
            <m:sty m:val="p"/>
          </m:rPr>
          <m:t>,</m:t>
        </m:r>
        <m:r>
          <m:t>053</m:t>
        </m:r>
        <m:r>
          <m:rPr>
            <m:sty m:val="p"/>
          </m:rPr>
          <m:t>,</m:t>
        </m:r>
        <m:r>
          <m:t>197</m:t>
        </m:r>
      </m:oMath>
      <w:r>
        <w:t xml:space="preserve">, a little below</w:t>
      </w:r>
      <w:r>
        <w:t xml:space="preserve"> </w:t>
      </w:r>
      <m:oMath>
        <m:r>
          <m:rPr>
            <m:sty m:val="p"/>
          </m:rPr>
          <m:t>|</m:t>
        </m:r>
        <m:r>
          <m:t>W</m:t>
        </m:r>
        <m:sSub>
          <m:e>
            <m:r>
              <m:t>S</m:t>
            </m:r>
          </m:e>
          <m:sub>
            <m:r>
              <m:t>5</m:t>
            </m:r>
            <m:r>
              <m:t>y</m:t>
            </m:r>
          </m:sub>
        </m:sSub>
        <m:r>
          <m:rPr>
            <m:sty m:val="p"/>
          </m:rPr>
          <m:t>|</m:t>
        </m:r>
      </m:oMath>
      <w:r>
        <w:t xml:space="preserve">. In the EUR bucket the same calculation gives</w:t>
      </w:r>
      <w:r>
        <w:t xml:space="preserve"> </w:t>
      </w:r>
      <m:oMath>
        <m:sSub>
          <m:e>
            <m:r>
              <m:t>K</m:t>
            </m:r>
          </m:e>
          <m:sub>
            <m:r>
              <m:t>E</m:t>
            </m:r>
            <m:r>
              <m:t>U</m:t>
            </m:r>
            <m:r>
              <m:t>R</m:t>
            </m:r>
          </m:sub>
        </m:sSub>
        <m:r>
          <m:rPr>
            <m:sty m:val="p"/>
          </m:rPr>
          <m:t>=</m:t>
        </m:r>
        <m:r>
          <m:t>1</m:t>
        </m:r>
        <m:r>
          <m:rPr>
            <m:sty m:val="p"/>
          </m:rPr>
          <m:t>,</m:t>
        </m:r>
        <m:r>
          <m:t>027</m:t>
        </m:r>
        <m:r>
          <m:rPr>
            <m:sty m:val="p"/>
          </m:rPr>
          <m:t>,</m:t>
        </m:r>
        <m:r>
          <m:t>641</m:t>
        </m:r>
      </m:oMath>
      <w:r>
        <w:t xml:space="preserve">. The documentation build recomputes both from the correlation matrix in numpy and aborts if they differ from the engine by more than a relative</w:t>
      </w:r>
      <w:r>
        <w:t xml:space="preserve"> </w:t>
      </w:r>
      <m:oMath>
        <m:sSup>
          <m:e>
            <m:r>
              <m:t>10</m:t>
            </m:r>
          </m:e>
          <m:sup>
            <m:r>
              <m:rPr>
                <m:sty m:val="p"/>
              </m:rPr>
              <m:t>−</m:t>
            </m:r>
            <m:r>
              <m:t>6</m:t>
            </m:r>
          </m:sup>
        </m:sSup>
      </m:oMath>
      <w:r>
        <w:t xml:space="preserve">.</w:t>
      </w:r>
    </w:p>
    <w:p>
      <w:pPr>
        <w:pStyle w:val="BodyText"/>
      </w:pPr>
      <w:r>
        <w:rPr>
          <w:b/>
          <w:bCs/>
        </w:rPr>
        <w:t xml:space="preserve">Step 3, net weighted sensitivity.</w:t>
      </w:r>
      <w:r>
        <w:t xml:space="preserve"> </w:t>
      </w:r>
      <m:oMath>
        <m:sSub>
          <m:e>
            <m:r>
              <m:t>S</m:t>
            </m:r>
          </m:e>
          <m:sub>
            <m:r>
              <m:t>U</m:t>
            </m:r>
            <m:r>
              <m:t>S</m:t>
            </m:r>
            <m:r>
              <m:t>D</m:t>
            </m:r>
          </m:sub>
        </m:sSub>
        <m:r>
          <m:rPr>
            <m:sty m:val="p"/>
          </m:rPr>
          <m:t>=</m:t>
        </m:r>
        <m:r>
          <m:rPr>
            <m:sty m:val="p"/>
          </m:rPr>
          <m:t>−</m:t>
        </m:r>
        <m:r>
          <m:t>1</m:t>
        </m:r>
        <m:r>
          <m:rPr>
            <m:sty m:val="p"/>
          </m:rPr>
          <m:t>,</m:t>
        </m:r>
        <m:r>
          <m:t>052</m:t>
        </m:r>
        <m:r>
          <m:rPr>
            <m:sty m:val="p"/>
          </m:rPr>
          <m:t>,</m:t>
        </m:r>
        <m:r>
          <m:t>561</m:t>
        </m:r>
      </m:oMath>
      <w:r>
        <w:t xml:space="preserve"> </w:t>
      </w:r>
      <w:r>
        <w:t xml:space="preserve">and</w:t>
      </w:r>
      <w:r>
        <w:t xml:space="preserve"> </w:t>
      </w:r>
      <m:oMath>
        <m:sSub>
          <m:e>
            <m:r>
              <m:t>S</m:t>
            </m:r>
          </m:e>
          <m:sub>
            <m:r>
              <m:t>E</m:t>
            </m:r>
            <m:r>
              <m:t>U</m:t>
            </m:r>
            <m:r>
              <m:t>R</m:t>
            </m:r>
          </m:sub>
        </m:sSub>
        <m:r>
          <m:rPr>
            <m:sty m:val="p"/>
          </m:rPr>
          <m:t>=</m:t>
        </m:r>
        <m:r>
          <m:t>1</m:t>
        </m:r>
        <m:r>
          <m:rPr>
            <m:sty m:val="p"/>
          </m:rPr>
          <m:t>,</m:t>
        </m:r>
        <m:r>
          <m:t>027</m:t>
        </m:r>
        <m:r>
          <m:rPr>
            <m:sty m:val="p"/>
          </m:rPr>
          <m:t>,</m:t>
        </m:r>
        <m:r>
          <m:t>410</m:t>
        </m:r>
      </m:oMath>
      <w:r>
        <w:t xml:space="preserve">. Both are inside</w:t>
      </w:r>
      <w:r>
        <w:t xml:space="preserve"> </w:t>
      </w:r>
      <m:oMath>
        <m:r>
          <m:rPr>
            <m:sty m:val="p"/>
          </m:rPr>
          <m:t>[</m:t>
        </m:r>
        <m:r>
          <m:rPr>
            <m:sty m:val="p"/>
          </m:rPr>
          <m:t>−</m:t>
        </m:r>
        <m:sSub>
          <m:e>
            <m:r>
              <m:t>K</m:t>
            </m:r>
          </m:e>
          <m:sub>
            <m:r>
              <m:t>b</m:t>
            </m:r>
          </m:sub>
        </m:sSub>
        <m:r>
          <m:rPr>
            <m:sty m:val="p"/>
          </m:rPr>
          <m:t>,</m:t>
        </m:r>
        <m:sSub>
          <m:e>
            <m:r>
              <m:t>K</m:t>
            </m:r>
          </m:e>
          <m:sub>
            <m:r>
              <m:t>b</m:t>
            </m:r>
          </m:sub>
        </m:sSub>
        <m:r>
          <m:rPr>
            <m:sty m:val="p"/>
          </m:rPr>
          <m:t>]</m:t>
        </m:r>
      </m:oMath>
      <w:r>
        <w:t xml:space="preserve"> </w:t>
      </w:r>
      <w:r>
        <w:t xml:space="preserve">so no clipping occurs. The signs are opposite (a receive-fixed USD swap against a pay-fixed EUR swap), which is a hedge if the two curves move together.</w:t>
      </w:r>
    </w:p>
    <w:p>
      <w:pPr>
        <w:pStyle w:val="BodyText"/>
      </w:pPr>
      <w:r>
        <w:rPr>
          <w:b/>
          <w:bCs/>
        </w:rPr>
        <w:t xml:space="preserve">Step 4, across currencies.</w:t>
      </w:r>
      <w:r>
        <w:t xml:space="preserve"> </w:t>
      </w:r>
      <w:r>
        <w:t xml:space="preserve">With</w:t>
      </w:r>
      <w:r>
        <w:t xml:space="preserve"> </w:t>
      </w:r>
      <m:oMath>
        <m:r>
          <m:t>γ</m:t>
        </m:r>
        <m:r>
          <m:rPr>
            <m:sty m:val="p"/>
          </m:rPr>
          <m:t>=</m:t>
        </m:r>
        <m:r>
          <m:t>35</m:t>
        </m:r>
        <m:r>
          <m:rPr>
            <m:sty m:val="p"/>
          </m:rPr>
          <m:t>%</m:t>
        </m:r>
      </m:oMath>
      <w:r>
        <w:t xml:space="preserve"> </w:t>
      </w:r>
      <w:r>
        <w:t xml:space="preserve">and</w:t>
      </w:r>
      <w:r>
        <w:t xml:space="preserve"> </w:t>
      </w:r>
      <m:oMath>
        <m:r>
          <m:t>g</m:t>
        </m:r>
        <m:r>
          <m:rPr>
            <m:sty m:val="p"/>
          </m:rPr>
          <m:t>=</m:t>
        </m:r>
        <m:r>
          <m:t>1</m:t>
        </m:r>
      </m:oMath>
      <w:r>
        <w:t xml:space="preserve"> </w:t>
      </w:r>
      <w:r>
        <w:t xml:space="preserve">the cross term is</w:t>
      </w:r>
      <w:r>
        <w:t xml:space="preserve"> </w:t>
      </w:r>
      <m:oMath>
        <m:r>
          <m:t>2</m:t>
        </m:r>
        <m:r>
          <m:t>γ</m:t>
        </m:r>
        <m:sSub>
          <m:e>
            <m:r>
              <m:t>S</m:t>
            </m:r>
          </m:e>
          <m:sub>
            <m:r>
              <m:t>U</m:t>
            </m:r>
            <m:r>
              <m:t>S</m:t>
            </m:r>
            <m:r>
              <m:t>D</m:t>
            </m:r>
          </m:sub>
        </m:sSub>
        <m:sSub>
          <m:e>
            <m:r>
              <m:t>S</m:t>
            </m:r>
          </m:e>
          <m:sub>
            <m:r>
              <m:t>E</m:t>
            </m:r>
            <m:r>
              <m:t>U</m:t>
            </m:r>
            <m:r>
              <m:t>R</m:t>
            </m:r>
          </m:sub>
        </m:sSub>
        <m:r>
          <m:rPr>
            <m:sty m:val="p"/>
          </m:rPr>
          <m:t>=</m:t>
        </m:r>
        <m:r>
          <m:rPr>
            <m:sty m:val="p"/>
          </m:rPr>
          <m:t>−</m:t>
        </m:r>
        <m:r>
          <m:t>7.570</m:t>
        </m:r>
        <m:r>
          <m:t>e</m:t>
        </m:r>
        <m:r>
          <m:rPr>
            <m:sty m:val="p"/>
          </m:rPr>
          <m:t>+</m:t>
        </m:r>
        <m:r>
          <m:t>11</m:t>
        </m:r>
      </m:oMath>
      <w:r>
        <w:t xml:space="preserve">, which is negative:</w:t>
      </w:r>
    </w:p>
    <w:p>
      <w:pPr>
        <w:pStyle w:val="BodyText"/>
      </w:pPr>
      <m:oMathPara>
        <m:oMathParaPr>
          <m:jc m:val="center"/>
        </m:oMathParaPr>
        <m:oMath>
          <m:sSub>
            <m:e>
              <m:r>
                <m:rPr>
                  <m:nor/>
                  <m:sty m:val="p"/>
                </m:rPr>
                <m:t>Delta</m:t>
              </m:r>
            </m:e>
            <m:sub>
              <m:r>
                <m:t>I</m:t>
              </m:r>
              <m:r>
                <m:t>R</m:t>
              </m:r>
            </m:sub>
          </m:sSub>
          <m:r>
            <m:rPr>
              <m:sty m:val="p"/>
            </m:rPr>
            <m:t>=</m:t>
          </m:r>
          <m:rad>
            <m:radPr>
              <m:degHide m:val="on"/>
            </m:radPr>
            <m:deg/>
            <m:e>
              <m:sSubSup>
                <m:e>
                  <m:r>
                    <m:t>K</m:t>
                  </m:r>
                </m:e>
                <m:sub>
                  <m:r>
                    <m:t>U</m:t>
                  </m:r>
                  <m:r>
                    <m:t>S</m:t>
                  </m:r>
                  <m:r>
                    <m:t>D</m:t>
                  </m:r>
                </m:sub>
                <m:sup>
                  <m:r>
                    <m:t>2</m:t>
                  </m:r>
                </m:sup>
              </m:sSubSup>
              <m:r>
                <m:rPr>
                  <m:sty m:val="p"/>
                </m:rPr>
                <m:t>+</m:t>
              </m:r>
              <m:sSubSup>
                <m:e>
                  <m:r>
                    <m:t>K</m:t>
                  </m:r>
                </m:e>
                <m:sub>
                  <m:r>
                    <m:t>E</m:t>
                  </m:r>
                  <m:r>
                    <m:t>U</m:t>
                  </m:r>
                  <m:r>
                    <m:t>R</m:t>
                  </m:r>
                </m:sub>
                <m:sup>
                  <m:r>
                    <m:t>2</m:t>
                  </m:r>
                </m:sup>
              </m:sSubSup>
              <m:r>
                <m:rPr>
                  <m:sty m:val="p"/>
                </m:rPr>
                <m:t>+</m:t>
              </m:r>
              <m:r>
                <m:t>2</m:t>
              </m:r>
              <m:r>
                <m:t>γ</m:t>
              </m:r>
              <m:sSub>
                <m:e>
                  <m:r>
                    <m:t>S</m:t>
                  </m:r>
                </m:e>
                <m:sub>
                  <m:r>
                    <m:t>U</m:t>
                  </m:r>
                  <m:r>
                    <m:t>S</m:t>
                  </m:r>
                  <m:r>
                    <m:t>D</m:t>
                  </m:r>
                </m:sub>
              </m:sSub>
              <m:sSub>
                <m:e>
                  <m:r>
                    <m:t>S</m:t>
                  </m:r>
                </m:e>
                <m:sub>
                  <m:r>
                    <m:t>E</m:t>
                  </m:r>
                  <m:r>
                    <m:t>U</m:t>
                  </m:r>
                  <m:r>
                    <m:t>R</m:t>
                  </m:r>
                </m:sub>
              </m:sSub>
            </m:e>
          </m:rad>
          <m:r>
            <m:rPr>
              <m:sty m:val="p"/>
            </m:rPr>
            <m:t>=</m:t>
          </m:r>
          <m:rad>
            <m:radPr>
              <m:degHide m:val="on"/>
            </m:radPr>
            <m:deg/>
            <m:e>
              <m:r>
                <m:t>1.109</m:t>
              </m:r>
              <m:r>
                <m:t>e</m:t>
              </m:r>
              <m:r>
                <m:rPr>
                  <m:sty m:val="p"/>
                </m:rPr>
                <m:t>+</m:t>
              </m:r>
              <m:r>
                <m:t>12</m:t>
              </m:r>
              <m:r>
                <m:rPr>
                  <m:sty m:val="p"/>
                </m:rPr>
                <m:t>+</m:t>
              </m:r>
              <m:r>
                <m:t>1.056</m:t>
              </m:r>
              <m:r>
                <m:t>e</m:t>
              </m:r>
              <m:r>
                <m:rPr>
                  <m:sty m:val="p"/>
                </m:rPr>
                <m:t>+</m:t>
              </m:r>
              <m:r>
                <m:t>12</m:t>
              </m:r>
              <m:r>
                <m:rPr>
                  <m:sty m:val="p"/>
                </m:rPr>
                <m:t>+</m:t>
              </m:r>
              <m:r>
                <m:rPr>
                  <m:sty m:val="p"/>
                </m:rPr>
                <m:t>(</m:t>
              </m:r>
              <m:r>
                <m:rPr>
                  <m:sty m:val="p"/>
                </m:rPr>
                <m:t>−</m:t>
              </m:r>
              <m:r>
                <m:t>7.570</m:t>
              </m:r>
              <m:r>
                <m:t>e</m:t>
              </m:r>
              <m:r>
                <m:rPr>
                  <m:sty m:val="p"/>
                </m:rPr>
                <m:t>+</m:t>
              </m:r>
              <m:r>
                <m:t>11</m:t>
              </m:r>
              <m:r>
                <m:rPr>
                  <m:sty m:val="p"/>
                </m:rPr>
                <m:t>)</m:t>
              </m:r>
            </m:e>
          </m:rad>
          <m:r>
            <m:rPr>
              <m:sty m:val="p"/>
            </m:rPr>
            <m:t>=</m:t>
          </m:r>
          <m:r>
            <m:t>1</m:t>
          </m:r>
          <m:r>
            <m:rPr>
              <m:sty m:val="p"/>
            </m:rPr>
            <m:t>,</m:t>
          </m:r>
          <m:r>
            <m:t>186</m:t>
          </m:r>
          <m:r>
            <m:rPr>
              <m:sty m:val="p"/>
            </m:rPr>
            <m:t>,</m:t>
          </m:r>
          <m:r>
            <m:t>711</m:t>
          </m:r>
          <m:r>
            <m:rPr>
              <m:sty m:val="p"/>
            </m:rPr>
            <m:t>.</m:t>
          </m:r>
        </m:oMath>
      </m:oMathPara>
    </w:p>
    <w:p>
      <w:pPr>
        <w:pStyle w:val="FirstParagraph"/>
      </w:pPr>
      <w:r>
        <w:t xml:space="preserve">The simple sum</w:t>
      </w:r>
      <w:r>
        <w:t xml:space="preserve"> </w:t>
      </w:r>
      <m:oMath>
        <m:sSub>
          <m:e>
            <m:r>
              <m:t>K</m:t>
            </m:r>
          </m:e>
          <m:sub>
            <m:r>
              <m:t>U</m:t>
            </m:r>
            <m:r>
              <m:t>S</m:t>
            </m:r>
            <m:r>
              <m:t>D</m:t>
            </m:r>
          </m:sub>
        </m:sSub>
        <m:r>
          <m:rPr>
            <m:sty m:val="p"/>
          </m:rPr>
          <m:t>+</m:t>
        </m:r>
        <m:sSub>
          <m:e>
            <m:r>
              <m:t>K</m:t>
            </m:r>
          </m:e>
          <m:sub>
            <m:r>
              <m:t>E</m:t>
            </m:r>
            <m:r>
              <m:t>U</m:t>
            </m:r>
            <m:r>
              <m:t>R</m:t>
            </m:r>
          </m:sub>
        </m:sSub>
      </m:oMath>
      <w:r>
        <w:t xml:space="preserve"> </w:t>
      </w:r>
      <w:r>
        <w:t xml:space="preserve">would be 2,080,839, so the cross-currency offset saves 43%. This is the diversification SIMM gives for hedged positions, and also what the schedule IM cannot give.</w:t>
      </w:r>
    </w:p>
    <w:p>
      <w:pPr>
        <w:pStyle w:val="BodyText"/>
      </w:pPr>
      <w:r>
        <w:rPr>
          <w:b/>
          <w:bCs/>
        </w:rPr>
        <w:t xml:space="preserve">Step 5, FX.</w:t>
      </w:r>
      <w:r>
        <w:t xml:space="preserve"> </w:t>
      </w:r>
      <w:r>
        <w:t xml:space="preserve">The EUR swap has an FX delta (translation) of USD 3,627.88 per 1%, weighted by risk weight 7.4 to 26,846. This is the only FX factor, so FX delta margin equals</w:t>
      </w:r>
      <w:r>
        <w:t xml:space="preserve"> </w:t>
      </w:r>
      <m:oMath>
        <m:r>
          <m:rPr>
            <m:sty m:val="p"/>
          </m:rPr>
          <m:t>|</m:t>
        </m:r>
        <m:r>
          <m:t>W</m:t>
        </m:r>
        <m:r>
          <m:t>S</m:t>
        </m:r>
        <m:r>
          <m:rPr>
            <m:sty m:val="p"/>
          </m:rPr>
          <m:t>|</m:t>
        </m:r>
      </m:oMath>
      <w:r>
        <w:t xml:space="preserve">. There are no options, so vega and curvature margins are zero, and the IR and FX risk class IMs are 1,186,711 and 26,846.</w:t>
      </w:r>
    </w:p>
    <w:p>
      <w:pPr>
        <w:pStyle w:val="BodyText"/>
      </w:pPr>
      <w:r>
        <w:rPr>
          <w:b/>
          <w:bCs/>
        </w:rPr>
        <w:t xml:space="preserve">Step 6, product class.</w:t>
      </w:r>
      <w:r>
        <w:t xml:space="preserve"> </w:t>
      </w:r>
      <w:r>
        <w:t xml:space="preserve">With</w:t>
      </w:r>
      <w:r>
        <w:t xml:space="preserve"> </w:t>
      </w:r>
      <m:oMath>
        <m:sSub>
          <m:e>
            <m:r>
              <m:t>ψ</m:t>
            </m:r>
          </m:e>
          <m:sub>
            <m:r>
              <m:t>I</m:t>
            </m:r>
            <m:r>
              <m:t>R</m:t>
            </m:r>
            <m:r>
              <m:rPr>
                <m:sty m:val="p"/>
              </m:rPr>
              <m:t>,</m:t>
            </m:r>
            <m:r>
              <m:t>F</m:t>
            </m:r>
            <m:r>
              <m:t>X</m:t>
            </m:r>
          </m:sub>
        </m:sSub>
        <m:r>
          <m:rPr>
            <m:sty m:val="p"/>
          </m:rPr>
          <m:t>=</m:t>
        </m:r>
        <m:r>
          <m:t>15</m:t>
        </m:r>
        <m:r>
          <m:rPr>
            <m:sty m:val="p"/>
          </m:rPr>
          <m:t>%</m:t>
        </m:r>
      </m:oMath>
      <w:r>
        <w:t xml:space="preserve">,</w:t>
      </w:r>
    </w:p>
    <w:p>
      <w:pPr>
        <w:pStyle w:val="BodyText"/>
      </w:pPr>
      <m:oMathPara>
        <m:oMathParaPr>
          <m:jc m:val="center"/>
        </m:oMathParaPr>
        <m:oMath>
          <m:sSub>
            <m:e>
              <m:r>
                <m:rPr>
                  <m:nor/>
                  <m:sty m:val="p"/>
                </m:rPr>
                <m:t>SIMM</m:t>
              </m:r>
            </m:e>
            <m:sub>
              <m:r>
                <m:t>R</m:t>
              </m:r>
              <m:r>
                <m:t>a</m:t>
              </m:r>
              <m:r>
                <m:t>t</m:t>
              </m:r>
              <m:r>
                <m:t>e</m:t>
              </m:r>
              <m:r>
                <m:t>s</m:t>
              </m:r>
              <m:r>
                <m:t>F</m:t>
              </m:r>
              <m:r>
                <m:t>X</m:t>
              </m:r>
            </m:sub>
          </m:sSub>
          <m:r>
            <m:rPr>
              <m:sty m:val="p"/>
            </m:rPr>
            <m:t>=</m:t>
          </m:r>
          <m:rad>
            <m:radPr>
              <m:degHide m:val="on"/>
            </m:radPr>
            <m:deg/>
            <m:e>
              <m:r>
                <m:t>I</m:t>
              </m:r>
              <m:sSubSup>
                <m:e>
                  <m:r>
                    <m:t>M</m:t>
                  </m:r>
                </m:e>
                <m:sub>
                  <m:r>
                    <m:t>I</m:t>
                  </m:r>
                  <m:r>
                    <m:t>R</m:t>
                  </m:r>
                </m:sub>
                <m:sup>
                  <m:r>
                    <m:t>2</m:t>
                  </m:r>
                </m:sup>
              </m:sSubSup>
              <m:r>
                <m:rPr>
                  <m:sty m:val="p"/>
                </m:rPr>
                <m:t>+</m:t>
              </m:r>
              <m:r>
                <m:t>I</m:t>
              </m:r>
              <m:sSubSup>
                <m:e>
                  <m:r>
                    <m:t>M</m:t>
                  </m:r>
                </m:e>
                <m:sub>
                  <m:r>
                    <m:t>F</m:t>
                  </m:r>
                  <m:r>
                    <m:t>X</m:t>
                  </m:r>
                </m:sub>
                <m:sup>
                  <m:r>
                    <m:t>2</m:t>
                  </m:r>
                </m:sup>
              </m:sSubSup>
              <m:r>
                <m:rPr>
                  <m:sty m:val="p"/>
                </m:rPr>
                <m:t>+</m:t>
              </m:r>
              <m:r>
                <m:t>2</m:t>
              </m:r>
              <m:r>
                <m:t>ψ</m:t>
              </m:r>
              <m:r>
                <m:t> </m:t>
              </m:r>
              <m:r>
                <m:t>I</m:t>
              </m:r>
              <m:sSub>
                <m:e>
                  <m:r>
                    <m:t>M</m:t>
                  </m:r>
                </m:e>
                <m:sub>
                  <m:r>
                    <m:t>I</m:t>
                  </m:r>
                  <m:r>
                    <m:t>R</m:t>
                  </m:r>
                </m:sub>
              </m:sSub>
              <m:r>
                <m:t> </m:t>
              </m:r>
              <m:r>
                <m:t>I</m:t>
              </m:r>
              <m:sSub>
                <m:e>
                  <m:r>
                    <m:t>M</m:t>
                  </m:r>
                </m:e>
                <m:sub>
                  <m:r>
                    <m:t>F</m:t>
                  </m:r>
                  <m:r>
                    <m:t>X</m:t>
                  </m:r>
                </m:sub>
              </m:sSub>
            </m:e>
          </m:rad>
          <m:r>
            <m:rPr>
              <m:sty m:val="p"/>
            </m:rPr>
            <m:t>=</m:t>
          </m:r>
          <m:r>
            <m:t>1</m:t>
          </m:r>
          <m:r>
            <m:rPr>
              <m:sty m:val="p"/>
            </m:rPr>
            <m:t>,</m:t>
          </m:r>
          <m:r>
            <m:t>191</m:t>
          </m:r>
          <m:r>
            <m:rPr>
              <m:sty m:val="p"/>
            </m:rPr>
            <m:t>,</m:t>
          </m:r>
          <m:r>
            <m:t>034</m:t>
          </m:r>
          <m:r>
            <m:rPr>
              <m:sty m:val="p"/>
            </m:rPr>
            <m:t>,</m:t>
          </m:r>
        </m:oMath>
      </m:oMathPara>
    </w:p>
    <w:p>
      <w:pPr>
        <w:pStyle w:val="FirstParagraph"/>
      </w:pPr>
      <w:r>
        <w:t xml:space="preserve">against 1,213,557 for the simple sum of the two risk classes. The two-trade IM is therefore 1,191,034; the engine returns exactly this number.</w:t>
      </w:r>
    </w:p>
    <w:bookmarkEnd w:id="29"/>
    <w:bookmarkStart w:id="30" w:name="vega-margin"/>
    <w:p>
      <w:pPr>
        <w:pStyle w:val="Heading2"/>
      </w:pPr>
      <w:r>
        <w:rPr>
          <w:rStyle w:val="SectionNumber"/>
        </w:rPr>
        <w:t xml:space="preserve">5.5</w:t>
      </w:r>
      <w:r>
        <w:tab/>
      </w:r>
      <w:r>
        <w:t xml:space="preserve">Vega margin</w:t>
      </w:r>
    </w:p>
    <w:p>
      <w:pPr>
        <w:pStyle w:val="FirstParagraph"/>
      </w:pPr>
      <w:r>
        <w:t xml:space="preserve">An option's value depends on implied volatility, so SIMM adds a vega margin. For interest rates the vega risk factor is the implied volatility of a swaption expiry (12 expiry vertices). For each factor the weighted vega risk is</w:t>
      </w:r>
      <w:r>
        <w:t xml:space="preserve"> </w:t>
      </w:r>
      <m:oMath>
        <m:r>
          <m:t>V</m:t>
        </m:r>
        <m:sSub>
          <m:e>
            <m:r>
              <m:t>R</m:t>
            </m:r>
          </m:e>
          <m:sub>
            <m:r>
              <m:t>k</m:t>
            </m:r>
          </m:sub>
        </m:sSub>
        <m:r>
          <m:rPr>
            <m:sty m:val="p"/>
          </m:rPr>
          <m:t>=</m:t>
        </m:r>
        <m:r>
          <m:t>V</m:t>
        </m:r>
        <m:r>
          <m:t>R</m:t>
        </m:r>
        <m:r>
          <m:t>W</m:t>
        </m:r>
        <m:r>
          <m:rPr>
            <m:sty m:val="p"/>
          </m:rPr>
          <m:t>⋅</m:t>
        </m:r>
        <m:r>
          <m:rPr>
            <m:sty m:val="p"/>
          </m:rPr>
          <m:t>(</m:t>
        </m:r>
        <m:nary>
          <m:naryPr>
            <m:chr m:val="∑"/>
            <m:limLoc m:val="undOvr"/>
            <m:subHide m:val="off"/>
            <m:supHide m:val="on"/>
          </m:naryPr>
          <m:sub>
            <m:r>
              <m:t>i</m:t>
            </m:r>
          </m:sub>
          <m:sup>
            <m:r>
              <m:t>​</m:t>
            </m:r>
          </m:sup>
          <m:e>
            <m:r>
              <m:t>V</m:t>
            </m:r>
          </m:e>
        </m:nary>
        <m:sSub>
          <m:e>
            <m:r>
              <m:t>R</m:t>
            </m:r>
          </m:e>
          <m:sub>
            <m:r>
              <m:t>i</m:t>
            </m:r>
            <m:r>
              <m:t>k</m:t>
            </m:r>
          </m:sub>
        </m:sSub>
        <m:r>
          <m:rPr>
            <m:sty m:val="p"/>
          </m:rPr>
          <m:t>)</m:t>
        </m:r>
        <m:r>
          <m:rPr>
            <m:sty m:val="p"/>
          </m:rPr>
          <m:t>⋅</m:t>
        </m:r>
        <m:r>
          <m:t>V</m:t>
        </m:r>
        <m:r>
          <m:t>C</m:t>
        </m:r>
        <m:sSub>
          <m:e>
            <m:r>
              <m:t>R</m:t>
            </m:r>
          </m:e>
          <m:sub>
            <m:r>
              <m:t>b</m:t>
            </m:r>
          </m:sub>
        </m:sSub>
      </m:oMath>
      <w:r>
        <w:t xml:space="preserve">, where</w:t>
      </w:r>
      <w:r>
        <w:t xml:space="preserve"> </w:t>
      </w:r>
      <m:oMath>
        <m:r>
          <m:t>V</m:t>
        </m:r>
        <m:sSub>
          <m:e>
            <m:r>
              <m:t>R</m:t>
            </m:r>
          </m:e>
          <m:sub>
            <m:r>
              <m:t>i</m:t>
            </m:r>
            <m:r>
              <m:t>k</m:t>
            </m:r>
          </m:sub>
        </m:sSub>
      </m:oMath>
      <w:r>
        <w:t xml:space="preserve"> </w:t>
      </w:r>
      <w:r>
        <w:t xml:space="preserve">is the vega of instrument</w:t>
      </w:r>
      <w:r>
        <w:t xml:space="preserve"> </w:t>
      </w:r>
      <m:oMath>
        <m:r>
          <m:t>i</m:t>
        </m:r>
      </m:oMath>
      <w:r>
        <w:t xml:space="preserve"> </w:t>
      </w:r>
      <w:r>
        <w:t xml:space="preserve">times its implied volatility ("vega risk exposure"),</w:t>
      </w:r>
      <w:r>
        <w:t xml:space="preserve"> </w:t>
      </w:r>
      <m:oMath>
        <m:r>
          <m:t>V</m:t>
        </m:r>
        <m:r>
          <m:t>R</m:t>
        </m:r>
        <m:r>
          <m:t>W</m:t>
        </m:r>
      </m:oMath>
      <w:r>
        <w:t xml:space="preserve"> </w:t>
      </w:r>
      <w:r>
        <w:t xml:space="preserve">the vega risk weight (0.20 for IR) and</w:t>
      </w:r>
      <w:r>
        <w:t xml:space="preserve"> </w:t>
      </w:r>
      <m:oMath>
        <m:r>
          <m:t>V</m:t>
        </m:r>
        <m:r>
          <m:t>C</m:t>
        </m:r>
        <m:sSub>
          <m:e>
            <m:r>
              <m:t>R</m:t>
            </m:r>
          </m:e>
          <m:sub>
            <m:r>
              <m:t>b</m:t>
            </m:r>
          </m:sub>
        </m:sSub>
      </m:oMath>
      <w:r>
        <w:t xml:space="preserve"> </w:t>
      </w:r>
      <w:r>
        <w:t xml:space="preserve">the vega concentration factor, defined like</w:t>
      </w:r>
      <w:r>
        <w:t xml:space="preserve"> </w:t>
      </w:r>
      <m:oMath>
        <m:r>
          <m:t>C</m:t>
        </m:r>
        <m:r>
          <m:t>R</m:t>
        </m:r>
      </m:oMath>
      <w:r>
        <w:t xml:space="preserve"> </w:t>
      </w:r>
      <w:r>
        <w:t xml:space="preserve">with the vega thresholds. For IR the same 12 by 12 tenor correlation is used in</w:t>
      </w:r>
      <w:r>
        <w:t xml:space="preserve"> </w:t>
      </w:r>
      <m:oMath>
        <m:sSub>
          <m:e>
            <m:r>
              <m:t>K</m:t>
            </m:r>
          </m:e>
          <m:sub>
            <m:r>
              <m:t>b</m:t>
            </m:r>
          </m:sub>
        </m:sSub>
        <m:r>
          <m:rPr>
            <m:sty m:val="p"/>
          </m:rPr>
          <m:t>=</m:t>
        </m:r>
        <m:rad>
          <m:radPr>
            <m:degHide m:val="on"/>
          </m:radPr>
          <m:deg/>
          <m:e>
            <m:r>
              <m:rPr>
                <m:sty m:val="p"/>
              </m:rPr>
              <m:t>∑</m:t>
            </m:r>
            <m:r>
              <m:t>V</m:t>
            </m:r>
            <m:sSubSup>
              <m:e>
                <m:r>
                  <m:t>R</m:t>
                </m:r>
              </m:e>
              <m:sub>
                <m:r>
                  <m:t>k</m:t>
                </m:r>
              </m:sub>
              <m:sup>
                <m:r>
                  <m:t>2</m:t>
                </m:r>
              </m:sup>
            </m:sSubSup>
            <m:r>
              <m:rPr>
                <m:sty m:val="p"/>
              </m:rPr>
              <m:t>+</m:t>
            </m:r>
            <m:r>
              <m:rPr>
                <m:sty m:val="p"/>
              </m:rPr>
              <m:t>∑</m:t>
            </m:r>
            <m:r>
              <m:rPr>
                <m:sty m:val="p"/>
              </m:rPr>
              <m:t>∑</m:t>
            </m:r>
            <m:sSub>
              <m:e>
                <m:r>
                  <m:t>ρ</m:t>
                </m:r>
              </m:e>
              <m:sub>
                <m:r>
                  <m:t>k</m:t>
                </m:r>
                <m:r>
                  <m:t>l</m:t>
                </m:r>
              </m:sub>
            </m:sSub>
            <m:r>
              <m:t>V</m:t>
            </m:r>
            <m:sSub>
              <m:e>
                <m:r>
                  <m:t>R</m:t>
                </m:r>
              </m:e>
              <m:sub>
                <m:r>
                  <m:t>k</m:t>
                </m:r>
              </m:sub>
            </m:sSub>
            <m:r>
              <m:t>V</m:t>
            </m:r>
            <m:sSub>
              <m:e>
                <m:r>
                  <m:t>R</m:t>
                </m:r>
              </m:e>
              <m:sub>
                <m:r>
                  <m:t>l</m:t>
                </m:r>
              </m:sub>
            </m:sSub>
          </m:e>
        </m:rad>
      </m:oMath>
      <w:r>
        <w:t xml:space="preserve"> </w:t>
      </w:r>
      <w:r>
        <w:t xml:space="preserve">(the correlation adjustment</w:t>
      </w:r>
      <w:r>
        <w:t xml:space="preserve"> </w:t>
      </w:r>
      <m:oMath>
        <m:sSub>
          <m:e>
            <m:r>
              <m:t>f</m:t>
            </m:r>
          </m:e>
          <m:sub>
            <m:r>
              <m:t>k</m:t>
            </m:r>
            <m:r>
              <m:t>l</m:t>
            </m:r>
          </m:sub>
        </m:sSub>
      </m:oMath>
      <w:r>
        <w:t xml:space="preserve"> </w:t>
      </w:r>
      <w:r>
        <w:t xml:space="preserve">is 1 for interest rates), buckets are combined with</w:t>
      </w:r>
      <w:r>
        <w:t xml:space="preserve"> </w:t>
      </w:r>
      <m:oMath>
        <m:r>
          <m:t>γ</m:t>
        </m:r>
        <m:r>
          <m:rPr>
            <m:sty m:val="p"/>
          </m:rPr>
          <m:t>=</m:t>
        </m:r>
        <m:r>
          <m:t>35</m:t>
        </m:r>
        <m:r>
          <m:rPr>
            <m:sty m:val="p"/>
          </m:rPr>
          <m:t>%</m:t>
        </m:r>
      </m:oMath>
      <w:r>
        <w:t xml:space="preserve"> </w:t>
      </w:r>
      <w:r>
        <w:t xml:space="preserve">and</w:t>
      </w:r>
      <w:r>
        <w:t xml:space="preserve"> </w:t>
      </w:r>
      <m:oMath>
        <m:sSub>
          <m:e>
            <m:r>
              <m:t>g</m:t>
            </m:r>
          </m:e>
          <m:sub>
            <m:r>
              <m:t>b</m:t>
            </m:r>
            <m:r>
              <m:t>c</m:t>
            </m:r>
          </m:sub>
        </m:sSub>
        <m:r>
          <m:rPr>
            <m:sty m:val="p"/>
          </m:rPr>
          <m:t>=</m:t>
        </m:r>
        <m:r>
          <m:rPr>
            <m:sty m:val="p"/>
          </m:rPr>
          <m:t>min</m:t>
        </m:r>
        <m:r>
          <m:rPr>
            <m:sty m:val="p"/>
          </m:rPr>
          <m:t>(</m:t>
        </m:r>
        <m:r>
          <m:t>V</m:t>
        </m:r>
        <m:r>
          <m:t>C</m:t>
        </m:r>
        <m:sSub>
          <m:e>
            <m:r>
              <m:t>R</m:t>
            </m:r>
          </m:e>
          <m:sub>
            <m:r>
              <m:t>b</m:t>
            </m:r>
          </m:sub>
        </m:sSub>
        <m:r>
          <m:rPr>
            <m:sty m:val="p"/>
          </m:rPr>
          <m:t>,</m:t>
        </m:r>
        <m:r>
          <m:t>V</m:t>
        </m:r>
        <m:r>
          <m:t>C</m:t>
        </m:r>
        <m:sSub>
          <m:e>
            <m:r>
              <m:t>R</m:t>
            </m:r>
          </m:e>
          <m:sub>
            <m:r>
              <m:t>c</m:t>
            </m:r>
          </m:sub>
        </m:sSub>
        <m:r>
          <m:rPr>
            <m:sty m:val="p"/>
          </m:rPr>
          <m:t>)</m:t>
        </m:r>
        <m:r>
          <m:rPr>
            <m:sty m:val="p"/>
          </m:rPr>
          <m:t>/</m:t>
        </m:r>
        <m:r>
          <m:rPr>
            <m:sty m:val="p"/>
          </m:rPr>
          <m:t>max</m:t>
        </m:r>
        <m:r>
          <m:rPr>
            <m:sty m:val="p"/>
          </m:rPr>
          <m:t>(</m:t>
        </m:r>
        <m:r>
          <m:t>V</m:t>
        </m:r>
        <m:r>
          <m:t>C</m:t>
        </m:r>
        <m:sSub>
          <m:e>
            <m:r>
              <m:t>R</m:t>
            </m:r>
          </m:e>
          <m:sub>
            <m:r>
              <m:t>b</m:t>
            </m:r>
          </m:sub>
        </m:sSub>
        <m:r>
          <m:rPr>
            <m:sty m:val="p"/>
          </m:rPr>
          <m:t>,</m:t>
        </m:r>
        <m:r>
          <m:t>V</m:t>
        </m:r>
        <m:r>
          <m:t>C</m:t>
        </m:r>
        <m:sSub>
          <m:e>
            <m:r>
              <m:t>R</m:t>
            </m:r>
          </m:e>
          <m:sub>
            <m:r>
              <m:t>c</m:t>
            </m:r>
          </m:sub>
        </m:sSub>
        <m:r>
          <m:rPr>
            <m:sty m:val="p"/>
          </m:rPr>
          <m:t>)</m:t>
        </m:r>
      </m:oMath>
      <w:r>
        <w:t xml:space="preserve">.</w:t>
      </w:r>
    </w:p>
    <w:p>
      <w:pPr>
        <w:pStyle w:val="BodyText"/>
      </w:pPr>
      <w:r>
        <w:t xml:space="preserve">For FX, the factors are currency pairs and the implied volatility that enters is not the market vol but</w:t>
      </w:r>
    </w:p>
    <w:p>
      <w:pPr>
        <w:pStyle w:val="BodyText"/>
      </w:pPr>
      <m:oMathPara>
        <m:oMathParaPr>
          <m:jc m:val="center"/>
        </m:oMathParaPr>
        <m:oMath>
          <m:sSub>
            <m:e>
              <m:r>
                <m:t>σ</m:t>
              </m:r>
            </m:e>
            <m:sub>
              <m:r>
                <m:t>S</m:t>
              </m:r>
              <m:r>
                <m:t>I</m:t>
              </m:r>
              <m:r>
                <m:t>M</m:t>
              </m:r>
              <m:r>
                <m:t>M</m:t>
              </m:r>
            </m:sub>
          </m:sSub>
          <m:r>
            <m:rPr>
              <m:sty m:val="p"/>
            </m:rPr>
            <m:t>=</m:t>
          </m:r>
          <m:f>
            <m:fPr>
              <m:type m:val="bar"/>
            </m:fPr>
            <m:num>
              <m:r>
                <m:t>R</m:t>
              </m:r>
              <m:r>
                <m:t>W</m:t>
              </m:r>
              <m:rad>
                <m:radPr>
                  <m:degHide m:val="on"/>
                </m:radPr>
                <m:deg/>
                <m:e>
                  <m:r>
                    <m:t>365</m:t>
                  </m:r>
                  <m:r>
                    <m:rPr>
                      <m:sty m:val="p"/>
                    </m:rPr>
                    <m:t>/</m:t>
                  </m:r>
                  <m:r>
                    <m:t>14</m:t>
                  </m:r>
                </m:e>
              </m:rad>
            </m:num>
            <m:den>
              <m:sSup>
                <m:e>
                  <m:r>
                    <m:rPr>
                      <m:sty m:val="p"/>
                    </m:rPr>
                    <m:t>Φ</m:t>
                  </m:r>
                </m:e>
                <m:sup>
                  <m:r>
                    <m:rPr>
                      <m:sty m:val="p"/>
                    </m:rPr>
                    <m:t>−</m:t>
                  </m:r>
                  <m:r>
                    <m:t>1</m:t>
                  </m:r>
                </m:sup>
              </m:sSup>
              <m:r>
                <m:rPr>
                  <m:sty m:val="p"/>
                </m:rPr>
                <m:t>(</m:t>
              </m:r>
              <m:r>
                <m:t>99</m:t>
              </m:r>
              <m:r>
                <m:rPr>
                  <m:sty m:val="p"/>
                </m:rPr>
                <m:t>%</m:t>
              </m:r>
              <m:r>
                <m:rPr>
                  <m:sty m:val="p"/>
                </m:rPr>
                <m:t>)</m:t>
              </m:r>
            </m:den>
          </m:f>
          <m:r>
            <m:rPr>
              <m:sty m:val="p"/>
            </m:rPr>
            <m:t>,</m:t>
          </m:r>
        </m:oMath>
      </m:oMathPara>
    </w:p>
    <w:p>
      <w:pPr>
        <w:pStyle w:val="FirstParagraph"/>
      </w:pPr>
      <w:r>
        <w:t xml:space="preserve">which turns the delta risk weight (a 10-day, 99 percent move in percent) into an annualised vol. For EUR/USD,</w:t>
      </w:r>
      <w:r>
        <w:t xml:space="preserve"> </w:t>
      </w:r>
      <m:oMath>
        <m:sSub>
          <m:e>
            <m:r>
              <m:t>σ</m:t>
            </m:r>
          </m:e>
          <m:sub>
            <m:r>
              <m:t>S</m:t>
            </m:r>
            <m:r>
              <m:t>I</m:t>
            </m:r>
            <m:r>
              <m:t>M</m:t>
            </m:r>
            <m:r>
              <m:t>M</m:t>
            </m:r>
          </m:sub>
        </m:sSub>
        <m:r>
          <m:rPr>
            <m:sty m:val="p"/>
          </m:rPr>
          <m:t>=</m:t>
        </m:r>
        <m:r>
          <m:t>16.24</m:t>
        </m:r>
      </m:oMath>
      <w:r>
        <w:t xml:space="preserve"> </w:t>
      </w:r>
      <w:r>
        <w:t xml:space="preserve">in v2.8+2512 (15.58% in v2.8+2506). The weighted FX vega risk is</w:t>
      </w:r>
      <w:r>
        <w:t xml:space="preserve"> </w:t>
      </w:r>
      <m:oMath>
        <m:r>
          <m:t>V</m:t>
        </m:r>
        <m:sSub>
          <m:e>
            <m:r>
              <m:t>R</m:t>
            </m:r>
          </m:e>
          <m:sub>
            <m:r>
              <m:t>i</m:t>
            </m:r>
            <m:r>
              <m:t>k</m:t>
            </m:r>
          </m:sub>
        </m:sSub>
        <m:r>
          <m:rPr>
            <m:sty m:val="p"/>
          </m:rPr>
          <m:t>=</m:t>
        </m:r>
        <m:r>
          <m:t>H</m:t>
        </m:r>
        <m:r>
          <m:t>V</m:t>
        </m:r>
        <m:sSub>
          <m:e>
            <m:r>
              <m:t>R</m:t>
            </m:r>
          </m:e>
          <m:sub>
            <m:r>
              <m:t>F</m:t>
            </m:r>
            <m:r>
              <m:t>X</m:t>
            </m:r>
          </m:sub>
        </m:sSub>
        <m:r>
          <m:t> </m:t>
        </m:r>
        <m:sSub>
          <m:e>
            <m:r>
              <m:t>σ</m:t>
            </m:r>
          </m:e>
          <m:sub>
            <m:r>
              <m:t>S</m:t>
            </m:r>
            <m:r>
              <m:t>I</m:t>
            </m:r>
            <m:r>
              <m:t>M</m:t>
            </m:r>
            <m:r>
              <m:t>M</m:t>
            </m:r>
          </m:sub>
        </m:sSub>
        <m:r>
          <m:t> </m:t>
        </m:r>
        <m:sSub>
          <m:e>
            <m:r>
              <m:rPr>
                <m:nor/>
                <m:sty m:val="p"/>
              </m:rPr>
              <m:t>vega</m:t>
            </m:r>
          </m:e>
          <m:sub>
            <m:r>
              <m:t>i</m:t>
            </m:r>
          </m:sub>
        </m:sSub>
      </m:oMath>
      <w:r>
        <w:t xml:space="preserve">, then</w:t>
      </w:r>
      <w:r>
        <w:t xml:space="preserve"> </w:t>
      </w:r>
      <m:oMath>
        <m:r>
          <m:t>V</m:t>
        </m:r>
        <m:sSub>
          <m:e>
            <m:r>
              <m:t>R</m:t>
            </m:r>
          </m:e>
          <m:sub>
            <m:r>
              <m:t>k</m:t>
            </m:r>
          </m:sub>
        </m:sSub>
        <m:r>
          <m:rPr>
            <m:sty m:val="p"/>
          </m:rPr>
          <m:t>=</m:t>
        </m:r>
        <m:r>
          <m:t>V</m:t>
        </m:r>
        <m:r>
          <m:t>R</m:t>
        </m:r>
        <m:sSub>
          <m:e>
            <m:r>
              <m:t>W</m:t>
            </m:r>
          </m:e>
          <m:sub>
            <m:r>
              <m:t>F</m:t>
            </m:r>
            <m:r>
              <m:t>X</m:t>
            </m:r>
          </m:sub>
        </m:sSub>
        <m:r>
          <m:t> </m:t>
        </m:r>
        <m:nary>
          <m:naryPr>
            <m:chr m:val="∑"/>
            <m:limLoc m:val="undOvr"/>
            <m:subHide m:val="off"/>
            <m:supHide m:val="on"/>
          </m:naryPr>
          <m:sub>
            <m:r>
              <m:t>i</m:t>
            </m:r>
          </m:sub>
          <m:sup>
            <m:r>
              <m:t>​</m:t>
            </m:r>
          </m:sup>
          <m:e>
            <m:r>
              <m:t>V</m:t>
            </m:r>
          </m:e>
        </m:nary>
        <m:sSub>
          <m:e>
            <m:r>
              <m:t>R</m:t>
            </m:r>
          </m:e>
          <m:sub>
            <m:r>
              <m:t>i</m:t>
            </m:r>
            <m:r>
              <m:t>k</m:t>
            </m:r>
          </m:sub>
        </m:sSub>
        <m:r>
          <m:t> </m:t>
        </m:r>
        <m:r>
          <m:t>V</m:t>
        </m:r>
        <m:r>
          <m:t>C</m:t>
        </m:r>
        <m:sSub>
          <m:e>
            <m:r>
              <m:t>R</m:t>
            </m:r>
          </m:e>
          <m:sub>
            <m:r>
              <m:t>k</m:t>
            </m:r>
          </m:sub>
        </m:sSub>
      </m:oMath>
      <w:r>
        <w:t xml:space="preserve">, and</w:t>
      </w:r>
      <w:r>
        <w:t xml:space="preserve"> </w:t>
      </w:r>
      <m:oMath>
        <m:r>
          <m:t>K</m:t>
        </m:r>
        <m:r>
          <m:rPr>
            <m:sty m:val="p"/>
          </m:rPr>
          <m:t>=</m:t>
        </m:r>
        <m:rad>
          <m:radPr>
            <m:degHide m:val="on"/>
          </m:radPr>
          <m:deg/>
          <m:e>
            <m:r>
              <m:rPr>
                <m:sty m:val="p"/>
              </m:rPr>
              <m:t>∑</m:t>
            </m:r>
            <m:r>
              <m:t>V</m:t>
            </m:r>
            <m:sSubSup>
              <m:e>
                <m:r>
                  <m:t>R</m:t>
                </m:r>
              </m:e>
              <m:sub>
                <m:r>
                  <m:t>k</m:t>
                </m:r>
              </m:sub>
              <m:sup>
                <m:r>
                  <m:t>2</m:t>
                </m:r>
              </m:sup>
            </m:sSubSup>
            <m:r>
              <m:rPr>
                <m:sty m:val="p"/>
              </m:rPr>
              <m:t>+</m:t>
            </m:r>
            <m:r>
              <m:rPr>
                <m:sty m:val="p"/>
              </m:rPr>
              <m:t>∑</m:t>
            </m:r>
            <m:r>
              <m:rPr>
                <m:sty m:val="p"/>
              </m:rPr>
              <m:t>∑</m:t>
            </m:r>
            <m:r>
              <m:t>ρ</m:t>
            </m:r>
            <m:sSub>
              <m:e>
                <m:r>
                  <m:t>f</m:t>
                </m:r>
              </m:e>
              <m:sub>
                <m:r>
                  <m:t>k</m:t>
                </m:r>
                <m:r>
                  <m:t>l</m:t>
                </m:r>
              </m:sub>
            </m:sSub>
            <m:r>
              <m:t>V</m:t>
            </m:r>
            <m:sSub>
              <m:e>
                <m:r>
                  <m:t>R</m:t>
                </m:r>
              </m:e>
              <m:sub>
                <m:r>
                  <m:t>k</m:t>
                </m:r>
              </m:sub>
            </m:sSub>
            <m:r>
              <m:t>V</m:t>
            </m:r>
            <m:sSub>
              <m:e>
                <m:r>
                  <m:t>R</m:t>
                </m:r>
              </m:e>
              <m:sub>
                <m:r>
                  <m:t>l</m:t>
                </m:r>
              </m:sub>
            </m:sSub>
          </m:e>
        </m:rad>
      </m:oMath>
      <w:r>
        <w:t xml:space="preserve"> </w:t>
      </w:r>
      <w:r>
        <w:t xml:space="preserve">with</w:t>
      </w:r>
      <w:r>
        <w:t xml:space="preserve"> </w:t>
      </w:r>
      <m:oMath>
        <m:r>
          <m:t>ρ</m:t>
        </m:r>
        <m:r>
          <m:rPr>
            <m:sty m:val="p"/>
          </m:rPr>
          <m:t>=</m:t>
        </m:r>
        <m:r>
          <m:t>50</m:t>
        </m:r>
        <m:r>
          <m:rPr>
            <m:sty m:val="p"/>
          </m:rPr>
          <m:t>%</m:t>
        </m:r>
      </m:oMath>
      <w:r>
        <w:t xml:space="preserve"> </w:t>
      </w:r>
      <w:r>
        <w:t xml:space="preserve">and</w:t>
      </w:r>
      <w:r>
        <w:t xml:space="preserve"> </w:t>
      </w:r>
      <m:oMath>
        <m:sSub>
          <m:e>
            <m:r>
              <m:t>f</m:t>
            </m:r>
          </m:e>
          <m:sub>
            <m:r>
              <m:t>k</m:t>
            </m:r>
            <m:r>
              <m:t>l</m:t>
            </m:r>
          </m:sub>
        </m:sSub>
        <m:r>
          <m:rPr>
            <m:sty m:val="p"/>
          </m:rPr>
          <m:t>=</m:t>
        </m:r>
        <m:r>
          <m:rPr>
            <m:sty m:val="p"/>
          </m:rPr>
          <m:t>min</m:t>
        </m:r>
        <m:r>
          <m:rPr>
            <m:sty m:val="p"/>
          </m:rPr>
          <m:t>(</m:t>
        </m:r>
        <m:r>
          <m:t>V</m:t>
        </m:r>
        <m:r>
          <m:t>C</m:t>
        </m:r>
        <m:sSub>
          <m:e>
            <m:r>
              <m:t>R</m:t>
            </m:r>
          </m:e>
          <m:sub>
            <m:r>
              <m:t>k</m:t>
            </m:r>
          </m:sub>
        </m:sSub>
        <m:r>
          <m:rPr>
            <m:sty m:val="p"/>
          </m:rPr>
          <m:t>,</m:t>
        </m:r>
        <m:r>
          <m:t>V</m:t>
        </m:r>
        <m:r>
          <m:t>C</m:t>
        </m:r>
        <m:sSub>
          <m:e>
            <m:r>
              <m:t>R</m:t>
            </m:r>
          </m:e>
          <m:sub>
            <m:r>
              <m:t>l</m:t>
            </m:r>
          </m:sub>
        </m:sSub>
        <m:r>
          <m:rPr>
            <m:sty m:val="p"/>
          </m:rPr>
          <m:t>)</m:t>
        </m:r>
        <m:r>
          <m:rPr>
            <m:sty m:val="p"/>
          </m:rPr>
          <m:t>/</m:t>
        </m:r>
        <m:r>
          <m:rPr>
            <m:sty m:val="p"/>
          </m:rPr>
          <m:t>max</m:t>
        </m:r>
        <m:r>
          <m:rPr>
            <m:sty m:val="p"/>
          </m:rPr>
          <m:t>(</m:t>
        </m:r>
        <m:r>
          <m:t>V</m:t>
        </m:r>
        <m:r>
          <m:t>C</m:t>
        </m:r>
        <m:sSub>
          <m:e>
            <m:r>
              <m:t>R</m:t>
            </m:r>
          </m:e>
          <m:sub>
            <m:r>
              <m:t>k</m:t>
            </m:r>
          </m:sub>
        </m:sSub>
        <m:r>
          <m:rPr>
            <m:sty m:val="p"/>
          </m:rPr>
          <m:t>,</m:t>
        </m:r>
        <m:r>
          <m:t>V</m:t>
        </m:r>
        <m:r>
          <m:t>C</m:t>
        </m:r>
        <m:sSub>
          <m:e>
            <m:r>
              <m:t>R</m:t>
            </m:r>
          </m:e>
          <m:sub>
            <m:r>
              <m:t>l</m:t>
            </m:r>
          </m:sub>
        </m:sSub>
        <m:r>
          <m:rPr>
            <m:sty m:val="p"/>
          </m:rPr>
          <m:t>)</m:t>
        </m:r>
      </m:oMath>
      <w:r>
        <w:t xml:space="preserve">. HVR is the "historical volatility ratio": it scales the vega risk to reflect how the implied vol used in the weighting compares with the vol history on which the weights were calibrated.</w:t>
      </w:r>
    </w:p>
    <w:bookmarkEnd w:id="30"/>
    <w:bookmarkStart w:id="31" w:name="curvature-margin"/>
    <w:p>
      <w:pPr>
        <w:pStyle w:val="Heading2"/>
      </w:pPr>
      <w:r>
        <w:rPr>
          <w:rStyle w:val="SectionNumber"/>
        </w:rPr>
        <w:t xml:space="preserve">5.6</w:t>
      </w:r>
      <w:r>
        <w:tab/>
      </w:r>
      <w:r>
        <w:t xml:space="preserve">Curvature margin</w:t>
      </w:r>
    </w:p>
    <w:p>
      <w:pPr>
        <w:pStyle w:val="FirstParagraph"/>
      </w:pPr>
      <w:r>
        <w:t xml:space="preserve">Vega measures first-order sensitivity to volatility, but an option's delta changes when the price moves (gamma). SIMM approximates that gamma risk from vega. The curvature risk exposure of a risk factor is</w:t>
      </w:r>
    </w:p>
    <w:p>
      <w:pPr>
        <w:pStyle w:val="BodyText"/>
      </w:pPr>
      <m:oMathPara>
        <m:oMathParaPr>
          <m:jc m:val="center"/>
        </m:oMathParaPr>
        <m:oMath>
          <m:r>
            <m:t>C</m:t>
          </m:r>
          <m:r>
            <m:t>V</m:t>
          </m:r>
          <m:sSub>
            <m:e>
              <m:r>
                <m:t>R</m:t>
              </m:r>
            </m:e>
            <m:sub>
              <m:r>
                <m:t>i</m:t>
              </m:r>
              <m:r>
                <m:t>k</m:t>
              </m:r>
            </m:sub>
          </m:sSub>
          <m:r>
            <m:rPr>
              <m:sty m:val="p"/>
            </m:rPr>
            <m:t>=</m:t>
          </m:r>
          <m:nary>
            <m:naryPr>
              <m:chr m:val="∑"/>
              <m:limLoc m:val="undOvr"/>
              <m:subHide m:val="off"/>
              <m:supHide m:val="on"/>
            </m:naryPr>
            <m:sub>
              <m:r>
                <m:t>j</m:t>
              </m:r>
            </m:sub>
            <m:sup>
              <m:r>
                <m:t>​</m:t>
              </m:r>
            </m:sup>
            <m:e>
              <m:r>
                <m:t>S</m:t>
              </m:r>
            </m:e>
          </m:nary>
          <m:r>
            <m:t>F</m:t>
          </m:r>
          <m:r>
            <m:rPr>
              <m:sty m:val="p"/>
            </m:rPr>
            <m:t>(</m:t>
          </m:r>
          <m:sSub>
            <m:e>
              <m:r>
                <m:t>t</m:t>
              </m:r>
            </m:e>
            <m:sub>
              <m:r>
                <m:t>k</m:t>
              </m:r>
              <m:r>
                <m:t>j</m:t>
              </m:r>
            </m:sub>
          </m:sSub>
          <m:r>
            <m:rPr>
              <m:sty m:val="p"/>
            </m:rPr>
            <m:t>)</m:t>
          </m:r>
          <m:r>
            <m:t> </m:t>
          </m:r>
          <m:sSub>
            <m:e>
              <m:r>
                <m:t>σ</m:t>
              </m:r>
            </m:e>
            <m:sub>
              <m:r>
                <m:t>k</m:t>
              </m:r>
              <m:r>
                <m:t>j</m:t>
              </m:r>
            </m:sub>
          </m:sSub>
          <m:r>
            <m:t> </m:t>
          </m:r>
          <m:f>
            <m:fPr>
              <m:type m:val="bar"/>
            </m:fPr>
            <m:num>
              <m:r>
                <m:rPr>
                  <m:sty m:val="p"/>
                </m:rPr>
                <m:t>∂</m:t>
              </m:r>
              <m:sSub>
                <m:e>
                  <m:r>
                    <m:t>V</m:t>
                  </m:r>
                </m:e>
                <m:sub>
                  <m:r>
                    <m:t>i</m:t>
                  </m:r>
                </m:sub>
              </m:sSub>
            </m:num>
            <m:den>
              <m:r>
                <m:rPr>
                  <m:sty m:val="p"/>
                </m:rPr>
                <m:t>∂</m:t>
              </m:r>
              <m:r>
                <m:t>σ</m:t>
              </m:r>
            </m:den>
          </m:f>
          <m:r>
            <m:rPr>
              <m:sty m:val="p"/>
            </m:rPr>
            <m:t>,</m:t>
          </m:r>
          <m:r>
            <m:t>  </m:t>
          </m:r>
          <m:r>
            <m:t>S</m:t>
          </m:r>
          <m:r>
            <m:t>F</m:t>
          </m:r>
          <m:r>
            <m:rPr>
              <m:sty m:val="p"/>
            </m:rPr>
            <m:t>(</m:t>
          </m:r>
          <m:r>
            <m:t>t</m:t>
          </m:r>
          <m:r>
            <m:rPr>
              <m:sty m:val="p"/>
            </m:rPr>
            <m:t>)</m:t>
          </m:r>
          <m:r>
            <m:rPr>
              <m:sty m:val="p"/>
            </m:rPr>
            <m:t>=</m:t>
          </m:r>
          <m:r>
            <m:t>0.5</m:t>
          </m:r>
          <m:r>
            <m:t> </m:t>
          </m:r>
          <m:r>
            <m:rPr>
              <m:sty m:val="p"/>
            </m:rPr>
            <m:t>min</m:t>
          </m:r>
          <m:r>
            <m:t>​</m:t>
          </m:r>
          <m:d>
            <m:dPr>
              <m:begChr m:val="("/>
              <m:sepChr m:val=""/>
              <m:endChr m:val=")"/>
              <m:grow/>
            </m:dPr>
            <m:e>
              <m:r>
                <m:t>1</m:t>
              </m:r>
              <m:r>
                <m:rPr>
                  <m:sty m:val="p"/>
                </m:rPr>
                <m:t>,</m:t>
              </m:r>
              <m:f>
                <m:fPr>
                  <m:type m:val="bar"/>
                </m:fPr>
                <m:num>
                  <m:r>
                    <m:t>14</m:t>
                  </m:r>
                  <m:r>
                    <m:t> </m:t>
                  </m:r>
                  <m:r>
                    <m:rPr>
                      <m:nor/>
                      <m:sty m:val="p"/>
                    </m:rPr>
                    <m:t>days</m:t>
                  </m:r>
                </m:num>
                <m:den>
                  <m:r>
                    <m:t>t</m:t>
                  </m:r>
                  <m:r>
                    <m:t> </m:t>
                  </m:r>
                  <m:r>
                    <m:rPr>
                      <m:nor/>
                      <m:sty m:val="p"/>
                    </m:rPr>
                    <m:t>days</m:t>
                  </m:r>
                </m:den>
              </m:f>
            </m:e>
          </m:d>
          <m:r>
            <m:rPr>
              <m:sty m:val="p"/>
            </m:rPr>
            <m:t>,</m:t>
          </m:r>
        </m:oMath>
      </m:oMathPara>
    </w:p>
    <w:p>
      <w:pPr>
        <w:pStyle w:val="FirstParagraph"/>
      </w:pPr>
      <w:r>
        <w:t xml:space="preserve">where</w:t>
      </w:r>
      <w:r>
        <w:t xml:space="preserve"> </w:t>
      </w:r>
      <m:oMath>
        <m:r>
          <m:t>t</m:t>
        </m:r>
      </m:oMath>
      <w:r>
        <w:t xml:space="preserve"> </w:t>
      </w:r>
      <w:r>
        <w:t xml:space="preserve">is the option expiry in calendar days (12 months = 365 days, other tenors pro rata). The scaling function converts vega into gamma for vanilla options and falls with expiry: 50% at two weeks, 7.7% at three months, 0.2% at ten years. Within a bucket,</w:t>
      </w:r>
      <w:r>
        <w:t xml:space="preserve"> </w:t>
      </w:r>
      <m:oMath>
        <m:sSub>
          <m:e>
            <m:r>
              <m:t>K</m:t>
            </m:r>
          </m:e>
          <m:sub>
            <m:r>
              <m:t>b</m:t>
            </m:r>
          </m:sub>
        </m:sSub>
      </m:oMath>
      <w:r>
        <w:t xml:space="preserve"> </w:t>
      </w:r>
      <w:r>
        <w:t xml:space="preserve">uses the squared correlations</w:t>
      </w:r>
      <w:r>
        <w:t xml:space="preserve"> </w:t>
      </w:r>
      <m:oMath>
        <m:sSubSup>
          <m:e>
            <m:r>
              <m:t>ρ</m:t>
            </m:r>
          </m:e>
          <m:sub>
            <m:r>
              <m:t>k</m:t>
            </m:r>
            <m:r>
              <m:t>l</m:t>
            </m:r>
          </m:sub>
          <m:sup>
            <m:r>
              <m:t>2</m:t>
            </m:r>
          </m:sup>
        </m:sSubSup>
      </m:oMath>
      <w:r>
        <w:t xml:space="preserve">; across buckets,</w:t>
      </w:r>
      <w:r>
        <w:t xml:space="preserve"> </w:t>
      </w:r>
      <m:oMath>
        <m:sSubSup>
          <m:e>
            <m:r>
              <m:t>γ</m:t>
            </m:r>
          </m:e>
          <m:sub>
            <m:r>
              <m:t>b</m:t>
            </m:r>
            <m:r>
              <m:t>c</m:t>
            </m:r>
          </m:sub>
          <m:sup>
            <m:r>
              <m:t>2</m:t>
            </m:r>
          </m:sup>
        </m:sSubSup>
      </m:oMath>
      <w:r>
        <w:t xml:space="preserve">. Then</w:t>
      </w:r>
    </w:p>
    <w:p>
      <w:pPr>
        <w:pStyle w:val="BodyText"/>
      </w:pPr>
      <m:oMathPara>
        <m:oMathParaPr>
          <m:jc m:val="center"/>
        </m:oMathParaPr>
        <m:oMath>
          <m:r>
            <m:t>θ</m:t>
          </m:r>
          <m:r>
            <m:rPr>
              <m:sty m:val="p"/>
            </m:rPr>
            <m:t>=</m:t>
          </m:r>
          <m:r>
            <m:rPr>
              <m:sty m:val="p"/>
            </m:rPr>
            <m:t>min</m:t>
          </m:r>
          <m:r>
            <m:t>​</m:t>
          </m:r>
          <m:d>
            <m:dPr>
              <m:begChr m:val="("/>
              <m:sepChr m:val=""/>
              <m:endChr m:val=")"/>
              <m:grow/>
            </m:dPr>
            <m:e>
              <m:f>
                <m:fPr>
                  <m:type m:val="bar"/>
                </m:fPr>
                <m:num>
                  <m:r>
                    <m:rPr>
                      <m:sty m:val="p"/>
                    </m:rPr>
                    <m:t>∑</m:t>
                  </m:r>
                  <m:r>
                    <m:t>C</m:t>
                  </m:r>
                  <m:r>
                    <m:t>V</m:t>
                  </m:r>
                  <m:r>
                    <m:t>R</m:t>
                  </m:r>
                </m:num>
                <m:den>
                  <m:r>
                    <m:rPr>
                      <m:sty m:val="p"/>
                    </m:rPr>
                    <m:t>∑</m:t>
                  </m:r>
                  <m:r>
                    <m:rPr>
                      <m:sty m:val="p"/>
                    </m:rPr>
                    <m:t>|</m:t>
                  </m:r>
                  <m:r>
                    <m:t>C</m:t>
                  </m:r>
                  <m:r>
                    <m:t>V</m:t>
                  </m:r>
                  <m:r>
                    <m:t>R</m:t>
                  </m:r>
                  <m:r>
                    <m:rPr>
                      <m:sty m:val="p"/>
                    </m:rPr>
                    <m:t>|</m:t>
                  </m:r>
                </m:den>
              </m:f>
              <m:r>
                <m:rPr>
                  <m:sty m:val="p"/>
                </m:rPr>
                <m:t>,</m:t>
              </m:r>
              <m:r>
                <m:t>0</m:t>
              </m:r>
            </m:e>
          </m:d>
          <m:r>
            <m:rPr>
              <m:sty m:val="p"/>
            </m:rPr>
            <m:t>,</m:t>
          </m:r>
          <m:r>
            <m:t> </m:t>
          </m:r>
          <m:r>
            <m:t>λ</m:t>
          </m:r>
          <m:r>
            <m:rPr>
              <m:sty m:val="p"/>
            </m:rPr>
            <m:t>=</m:t>
          </m:r>
          <m:r>
            <m:rPr>
              <m:sty m:val="p"/>
            </m:rPr>
            <m:t>(</m:t>
          </m:r>
          <m:sSup>
            <m:e>
              <m:r>
                <m:rPr>
                  <m:sty m:val="p"/>
                </m:rPr>
                <m:t>Φ</m:t>
              </m:r>
            </m:e>
            <m:sup>
              <m:r>
                <m:rPr>
                  <m:sty m:val="p"/>
                </m:rPr>
                <m:t>−</m:t>
              </m:r>
              <m:r>
                <m:t>1</m:t>
              </m:r>
            </m:sup>
          </m:sSup>
          <m:r>
            <m:rPr>
              <m:sty m:val="p"/>
            </m:rPr>
            <m:t>(</m:t>
          </m:r>
          <m:r>
            <m:t>99.5</m:t>
          </m:r>
          <m:r>
            <m:rPr>
              <m:sty m:val="p"/>
            </m:rPr>
            <m:t>%</m:t>
          </m:r>
          <m:sSup>
            <m:e>
              <m:r>
                <m:rPr>
                  <m:sty m:val="p"/>
                </m:rPr>
                <m:t>)</m:t>
              </m:r>
            </m:e>
            <m:sup>
              <m:r>
                <m:t>2</m:t>
              </m:r>
            </m:sup>
          </m:sSup>
          <m:r>
            <m:rPr>
              <m:sty m:val="p"/>
            </m:rPr>
            <m:t>−</m:t>
          </m:r>
          <m:r>
            <m:t>1</m:t>
          </m:r>
          <m:r>
            <m:rPr>
              <m:sty m:val="p"/>
            </m:rPr>
            <m:t>)</m:t>
          </m:r>
          <m:r>
            <m:rPr>
              <m:sty m:val="p"/>
            </m:rPr>
            <m:t>(</m:t>
          </m:r>
          <m:r>
            <m:t>1</m:t>
          </m:r>
          <m:r>
            <m:rPr>
              <m:sty m:val="p"/>
            </m:rPr>
            <m:t>+</m:t>
          </m:r>
          <m:r>
            <m:t>θ</m:t>
          </m:r>
          <m:r>
            <m:rPr>
              <m:sty m:val="p"/>
            </m:rPr>
            <m:t>)</m:t>
          </m:r>
          <m:r>
            <m:rPr>
              <m:sty m:val="p"/>
            </m:rPr>
            <m:t>−</m:t>
          </m:r>
          <m:r>
            <m:t>θ</m:t>
          </m:r>
          <m:r>
            <m:rPr>
              <m:sty m:val="p"/>
            </m:rPr>
            <m:t>,</m:t>
          </m:r>
          <m:r>
            <m:t> </m:t>
          </m:r>
          <m:r>
            <m:rPr>
              <m:nor/>
              <m:sty m:val="p"/>
            </m:rPr>
            <m:t>CurvatureMargin</m:t>
          </m:r>
          <m:r>
            <m:rPr>
              <m:sty m:val="p"/>
            </m:rPr>
            <m:t>=</m:t>
          </m:r>
          <m:r>
            <m:rPr>
              <m:sty m:val="p"/>
            </m:rPr>
            <m:t>max</m:t>
          </m:r>
          <m:r>
            <m:t>​</m:t>
          </m:r>
          <m:d>
            <m:dPr>
              <m:begChr m:val="("/>
              <m:sepChr m:val=""/>
              <m:endChr m:val=")"/>
              <m:grow/>
            </m:dPr>
            <m:e>
              <m:r>
                <m:rPr>
                  <m:sty m:val="p"/>
                </m:rPr>
                <m:t>∑</m:t>
              </m:r>
              <m:r>
                <m:t>C</m:t>
              </m:r>
              <m:r>
                <m:t>V</m:t>
              </m:r>
              <m:r>
                <m:t>R</m:t>
              </m:r>
              <m:r>
                <m:rPr>
                  <m:sty m:val="p"/>
                </m:rPr>
                <m:t>+</m:t>
              </m:r>
              <m:r>
                <m:t>λ</m:t>
              </m:r>
              <m:rad>
                <m:radPr>
                  <m:degHide m:val="on"/>
                </m:radPr>
                <m:deg/>
                <m:e>
                  <m:nary>
                    <m:naryPr>
                      <m:chr m:val="∑"/>
                      <m:limLoc m:val="undOvr"/>
                      <m:subHide m:val="off"/>
                      <m:supHide m:val="on"/>
                    </m:naryPr>
                    <m:sub>
                      <m:r>
                        <m:t>b</m:t>
                      </m:r>
                    </m:sub>
                    <m:sup>
                      <m:r>
                        <m:t>​</m:t>
                      </m:r>
                    </m:sup>
                    <m:e>
                      <m:sSubSup>
                        <m:e>
                          <m:r>
                            <m:t>K</m:t>
                          </m:r>
                        </m:e>
                        <m:sub>
                          <m:r>
                            <m:t>b</m:t>
                          </m:r>
                        </m:sub>
                        <m:sup>
                          <m:r>
                            <m:t>2</m:t>
                          </m:r>
                        </m:sup>
                      </m:sSubSup>
                    </m:e>
                  </m:nary>
                  <m:r>
                    <m:rPr>
                      <m:sty m:val="p"/>
                    </m:rPr>
                    <m:t>+</m:t>
                  </m:r>
                  <m:nary>
                    <m:naryPr>
                      <m:chr m:val="∑"/>
                      <m:limLoc m:val="undOvr"/>
                      <m:subHide m:val="off"/>
                      <m:supHide m:val="on"/>
                    </m:naryPr>
                    <m:sub>
                      <m:r>
                        <m:t>b</m:t>
                      </m:r>
                    </m:sub>
                    <m:sup>
                      <m:r>
                        <m:t>​</m:t>
                      </m:r>
                    </m:sup>
                    <m:e>
                      <m:nary>
                        <m:naryPr>
                          <m:chr m:val="∑"/>
                          <m:limLoc m:val="undOvr"/>
                          <m:subHide m:val="off"/>
                          <m:supHide m:val="on"/>
                        </m:naryPr>
                        <m:sub>
                          <m:r>
                            <m:t>c</m:t>
                          </m:r>
                          <m:r>
                            <m:rPr>
                              <m:sty m:val="p"/>
                            </m:rPr>
                            <m:t>≠</m:t>
                          </m:r>
                          <m:r>
                            <m:t>b</m:t>
                          </m:r>
                        </m:sub>
                        <m:sup>
                          <m:r>
                            <m:t>​</m:t>
                          </m:r>
                        </m:sup>
                        <m:e>
                          <m:sSubSup>
                            <m:e>
                              <m:r>
                                <m:t>γ</m:t>
                              </m:r>
                            </m:e>
                            <m:sub>
                              <m:r>
                                <m:t>b</m:t>
                              </m:r>
                              <m:r>
                                <m:t>c</m:t>
                              </m:r>
                            </m:sub>
                            <m:sup>
                              <m:r>
                                <m:t>2</m:t>
                              </m:r>
                            </m:sup>
                          </m:sSubSup>
                        </m:e>
                      </m:nary>
                    </m:e>
                  </m:nary>
                  <m:sSub>
                    <m:e>
                      <m:r>
                        <m:t>S</m:t>
                      </m:r>
                    </m:e>
                    <m:sub>
                      <m:r>
                        <m:t>b</m:t>
                      </m:r>
                    </m:sub>
                  </m:sSub>
                  <m:sSub>
                    <m:e>
                      <m:r>
                        <m:t>S</m:t>
                      </m:r>
                    </m:e>
                    <m:sub>
                      <m:r>
                        <m:t>c</m:t>
                      </m:r>
                    </m:sub>
                  </m:sSub>
                </m:e>
              </m:rad>
              <m:r>
                <m:rPr>
                  <m:sty m:val="p"/>
                </m:rPr>
                <m:t>,</m:t>
              </m:r>
              <m:r>
                <m:t>0</m:t>
              </m:r>
            </m:e>
          </m:d>
          <m:r>
            <m:rPr>
              <m:sty m:val="p"/>
            </m:rPr>
            <m:t>.</m:t>
          </m:r>
        </m:oMath>
      </m:oMathPara>
    </w:p>
    <w:p>
      <w:pPr>
        <w:pStyle w:val="FirstParagraph"/>
      </w:pPr>
      <w:r>
        <w:t xml:space="preserve">For a net positive exposure</w:t>
      </w:r>
      <w:r>
        <w:t xml:space="preserve"> </w:t>
      </w:r>
      <m:oMath>
        <m:r>
          <m:t>θ</m:t>
        </m:r>
        <m:r>
          <m:rPr>
            <m:sty m:val="p"/>
          </m:rPr>
          <m:t>=</m:t>
        </m:r>
        <m:r>
          <m:t>0</m:t>
        </m:r>
      </m:oMath>
      <w:r>
        <w:t xml:space="preserve"> </w:t>
      </w:r>
      <w:r>
        <w:t xml:space="preserve">and</w:t>
      </w:r>
      <w:r>
        <w:t xml:space="preserve"> </w:t>
      </w:r>
      <m:oMath>
        <m:r>
          <m:t>λ</m:t>
        </m:r>
        <m:r>
          <m:rPr>
            <m:sty m:val="p"/>
          </m:rPr>
          <m:t>=</m:t>
        </m:r>
        <m:sSup>
          <m:e>
            <m:r>
              <m:rPr>
                <m:sty m:val="p"/>
              </m:rPr>
              <m:t>Φ</m:t>
            </m:r>
          </m:e>
          <m:sup>
            <m:r>
              <m:rPr>
                <m:sty m:val="p"/>
              </m:rPr>
              <m:t>−</m:t>
            </m:r>
            <m:r>
              <m:t>1</m:t>
            </m:r>
          </m:sup>
        </m:sSup>
        <m:r>
          <m:rPr>
            <m:sty m:val="p"/>
          </m:rPr>
          <m:t>(</m:t>
        </m:r>
        <m:r>
          <m:t>99.5</m:t>
        </m:r>
        <m:r>
          <m:rPr>
            <m:sty m:val="p"/>
          </m:rPr>
          <m:t>%</m:t>
        </m:r>
        <m:sSup>
          <m:e>
            <m:r>
              <m:rPr>
                <m:sty m:val="p"/>
              </m:rPr>
              <m:t>)</m:t>
            </m:r>
          </m:e>
          <m:sup>
            <m:r>
              <m:t>2</m:t>
            </m:r>
          </m:sup>
        </m:sSup>
        <m:r>
          <m:rPr>
            <m:sty m:val="p"/>
          </m:rPr>
          <m:t>−</m:t>
        </m:r>
        <m:r>
          <m:t>1</m:t>
        </m:r>
        <m:r>
          <m:rPr>
            <m:sty m:val="p"/>
          </m:rPr>
          <m:t>=</m:t>
        </m:r>
        <m:r>
          <m:t>5.6349</m:t>
        </m:r>
      </m:oMath>
      <w:r>
        <w:t xml:space="preserve">; for a net negative exposure</w:t>
      </w:r>
      <w:r>
        <w:t xml:space="preserve"> </w:t>
      </w:r>
      <m:oMath>
        <m:r>
          <m:t>θ</m:t>
        </m:r>
      </m:oMath>
      <w:r>
        <w:t xml:space="preserve"> </w:t>
      </w:r>
      <w:r>
        <w:t xml:space="preserve">moves towards</w:t>
      </w:r>
      <w:r>
        <w:t xml:space="preserve"> </w:t>
      </w:r>
      <m:oMath>
        <m:r>
          <m:rPr>
            <m:sty m:val="p"/>
          </m:rPr>
          <m:t>−</m:t>
        </m:r>
        <m:r>
          <m:t>1</m:t>
        </m:r>
      </m:oMath>
      <w:r>
        <w:t xml:space="preserve"> </w:t>
      </w:r>
      <w:r>
        <w:t xml:space="preserve">and</w:t>
      </w:r>
      <w:r>
        <w:t xml:space="preserve"> </w:t>
      </w:r>
      <m:oMath>
        <m:r>
          <m:t>λ</m:t>
        </m:r>
      </m:oMath>
      <w:r>
        <w:t xml:space="preserve"> </w:t>
      </w:r>
      <w:r>
        <w:t xml:space="preserve">towards 1. The IR curvature margin is multiplied by</w:t>
      </w:r>
      <w:r>
        <w:t xml:space="preserve"> </w:t>
      </w:r>
      <m:oMath>
        <m:r>
          <m:t>H</m:t>
        </m:r>
        <m:r>
          <m:t>V</m:t>
        </m:r>
        <m:sSubSup>
          <m:e>
            <m:r>
              <m:t>R</m:t>
            </m:r>
          </m:e>
          <m:sub>
            <m:r>
              <m:t>I</m:t>
            </m:r>
            <m:r>
              <m:t>R</m:t>
            </m:r>
          </m:sub>
          <m:sup>
            <m:r>
              <m:rPr>
                <m:sty m:val="p"/>
              </m:rPr>
              <m:t>−</m:t>
            </m:r>
            <m:r>
              <m:t>2</m:t>
            </m:r>
          </m:sup>
        </m:sSubSup>
        <m:r>
          <m:rPr>
            <m:sty m:val="p"/>
          </m:rPr>
          <m:t>=</m:t>
        </m:r>
        <m:r>
          <m:t>1.826</m:t>
        </m:r>
      </m:oMath>
      <w:r>
        <w:t xml:space="preserve">.</w:t>
      </w:r>
    </w:p>
    <w:p>
      <w:pPr>
        <w:pStyle w:val="BodyText"/>
      </w:pPr>
      <w:r>
        <w:rPr>
          <w:b/>
          <w:bCs/>
        </w:rPr>
        <w:t xml:space="preserve">Curvature example.</w:t>
      </w:r>
      <w:r>
        <w:t xml:space="preserve"> </w:t>
      </w:r>
      <w:r>
        <w:t xml:space="preserve">Take the EUR/USD 3-month call, FXO_EURUSD_C3M. Its CRIF vega amount is USD 4,484.87 (vega times the market vol 0.0758), so the vega per unit of vol is 59,194.04. The SIMM vol is</w:t>
      </w:r>
      <w:r>
        <w:t xml:space="preserve"> </w:t>
      </w:r>
      <m:oMath>
        <m:sSub>
          <m:e>
            <m:r>
              <m:t>σ</m:t>
            </m:r>
          </m:e>
          <m:sub>
            <m:r>
              <m:t>S</m:t>
            </m:r>
            <m:r>
              <m:t>I</m:t>
            </m:r>
            <m:r>
              <m:t>M</m:t>
            </m:r>
            <m:r>
              <m:t>M</m:t>
            </m:r>
          </m:sub>
        </m:sSub>
        <m:r>
          <m:rPr>
            <m:sty m:val="p"/>
          </m:rPr>
          <m:t>=</m:t>
        </m:r>
        <m:r>
          <m:t>0.1624</m:t>
        </m:r>
      </m:oMath>
      <w:r>
        <w:t xml:space="preserve">. The FX vega margin is</w:t>
      </w:r>
      <w:r>
        <w:t xml:space="preserve"> </w:t>
      </w:r>
      <m:oMath>
        <m:r>
          <m:t>V</m:t>
        </m:r>
        <m:r>
          <m:t>R</m:t>
        </m:r>
        <m:r>
          <m:t>W</m:t>
        </m:r>
        <m:r>
          <m:rPr>
            <m:sty m:val="p"/>
          </m:rPr>
          <m:t>⋅</m:t>
        </m:r>
        <m:r>
          <m:t>H</m:t>
        </m:r>
        <m:r>
          <m:t>V</m:t>
        </m:r>
        <m:r>
          <m:t>R</m:t>
        </m:r>
        <m:r>
          <m:rPr>
            <m:sty m:val="p"/>
          </m:rPr>
          <m:t>⋅</m:t>
        </m:r>
        <m:sSub>
          <m:e>
            <m:r>
              <m:t>σ</m:t>
            </m:r>
          </m:e>
          <m:sub>
            <m:r>
              <m:t>S</m:t>
            </m:r>
            <m:r>
              <m:t>I</m:t>
            </m:r>
            <m:r>
              <m:t>M</m:t>
            </m:r>
            <m:r>
              <m:t>M</m:t>
            </m:r>
          </m:sub>
        </m:sSub>
        <m:r>
          <m:rPr>
            <m:sty m:val="p"/>
          </m:rPr>
          <m:t>⋅</m:t>
        </m:r>
        <m:r>
          <m:rPr>
            <m:nor/>
            <m:sty m:val="p"/>
          </m:rPr>
          <m:t>vega</m:t>
        </m:r>
        <m:r>
          <m:rPr>
            <m:sty m:val="p"/>
          </m:rPr>
          <m:t>=</m:t>
        </m:r>
        <m:r>
          <m:t>0.33</m:t>
        </m:r>
        <m:r>
          <m:rPr>
            <m:sty m:val="p"/>
          </m:rPr>
          <m:t>×</m:t>
        </m:r>
        <m:r>
          <m:t>0.67</m:t>
        </m:r>
        <m:r>
          <m:rPr>
            <m:sty m:val="p"/>
          </m:rPr>
          <m:t>×</m:t>
        </m:r>
        <m:r>
          <m:t>0.1624</m:t>
        </m:r>
        <m:r>
          <m:rPr>
            <m:sty m:val="p"/>
          </m:rPr>
          <m:t>×</m:t>
        </m:r>
        <m:r>
          <m:t>59</m:t>
        </m:r>
        <m:r>
          <m:rPr>
            <m:sty m:val="p"/>
          </m:rPr>
          <m:t>,</m:t>
        </m:r>
        <m:r>
          <m:t>194.04</m:t>
        </m:r>
        <m:r>
          <m:rPr>
            <m:sty m:val="p"/>
          </m:rPr>
          <m:t>=</m:t>
        </m:r>
        <m:r>
          <m:t>2</m:t>
        </m:r>
        <m:r>
          <m:rPr>
            <m:sty m:val="p"/>
          </m:rPr>
          <m:t>,</m:t>
        </m:r>
        <m:r>
          <m:t>125.72</m:t>
        </m:r>
      </m:oMath>
      <w:r>
        <w:t xml:space="preserve">. For curvature, three months is 91.25 days, so</w:t>
      </w:r>
      <w:r>
        <w:t xml:space="preserve"> </w:t>
      </w:r>
      <m:oMath>
        <m:r>
          <m:t>S</m:t>
        </m:r>
        <m:r>
          <m:t>F</m:t>
        </m:r>
        <m:r>
          <m:rPr>
            <m:sty m:val="p"/>
          </m:rPr>
          <m:t>=</m:t>
        </m:r>
        <m:r>
          <m:t>0.5</m:t>
        </m:r>
        <m:r>
          <m:rPr>
            <m:sty m:val="p"/>
          </m:rPr>
          <m:t>×</m:t>
        </m:r>
        <m:r>
          <m:t>14</m:t>
        </m:r>
        <m:r>
          <m:rPr>
            <m:sty m:val="p"/>
          </m:rPr>
          <m:t>/</m:t>
        </m:r>
        <m:r>
          <m:t>91.25</m:t>
        </m:r>
        <m:r>
          <m:rPr>
            <m:sty m:val="p"/>
          </m:rPr>
          <m:t>=</m:t>
        </m:r>
        <m:r>
          <m:t>0.0767</m:t>
        </m:r>
      </m:oMath>
      <w:r>
        <w:t xml:space="preserve"> </w:t>
      </w:r>
      <w:r>
        <w:t xml:space="preserve">and</w:t>
      </w:r>
      <w:r>
        <w:t xml:space="preserve"> </w:t>
      </w:r>
      <m:oMath>
        <m:r>
          <m:t>C</m:t>
        </m:r>
        <m:r>
          <m:t>V</m:t>
        </m:r>
        <m:r>
          <m:t>R</m:t>
        </m:r>
        <m:r>
          <m:rPr>
            <m:sty m:val="p"/>
          </m:rPr>
          <m:t>=</m:t>
        </m:r>
        <m:r>
          <m:t>0.0767</m:t>
        </m:r>
        <m:r>
          <m:rPr>
            <m:sty m:val="p"/>
          </m:rPr>
          <m:t>×</m:t>
        </m:r>
        <m:r>
          <m:t>0.1624</m:t>
        </m:r>
        <m:r>
          <m:rPr>
            <m:sty m:val="p"/>
          </m:rPr>
          <m:t>×</m:t>
        </m:r>
        <m:r>
          <m:t>59</m:t>
        </m:r>
        <m:r>
          <m:rPr>
            <m:sty m:val="p"/>
          </m:rPr>
          <m:t>,</m:t>
        </m:r>
        <m:r>
          <m:t>194.04</m:t>
        </m:r>
        <m:r>
          <m:rPr>
            <m:sty m:val="p"/>
          </m:rPr>
          <m:t>=</m:t>
        </m:r>
        <m:r>
          <m:t>737.53</m:t>
        </m:r>
      </m:oMath>
      <w:r>
        <w:t xml:space="preserve">. With one factor,</w:t>
      </w:r>
      <w:r>
        <w:t xml:space="preserve"> </w:t>
      </w:r>
      <m:oMath>
        <m:r>
          <m:t>K</m:t>
        </m:r>
        <m:r>
          <m:rPr>
            <m:sty m:val="p"/>
          </m:rPr>
          <m:t>=</m:t>
        </m:r>
        <m:r>
          <m:rPr>
            <m:sty m:val="p"/>
          </m:rPr>
          <m:t>|</m:t>
        </m:r>
        <m:r>
          <m:t>C</m:t>
        </m:r>
        <m:r>
          <m:t>V</m:t>
        </m:r>
        <m:r>
          <m:t>R</m:t>
        </m:r>
        <m:r>
          <m:rPr>
            <m:sty m:val="p"/>
          </m:rPr>
          <m:t>|</m:t>
        </m:r>
      </m:oMath>
      <w:r>
        <w:t xml:space="preserve">. Long option:</w:t>
      </w:r>
      <w:r>
        <w:t xml:space="preserve"> </w:t>
      </w:r>
      <m:oMath>
        <m:r>
          <m:t>θ</m:t>
        </m:r>
        <m:r>
          <m:rPr>
            <m:sty m:val="p"/>
          </m:rPr>
          <m:t>=</m:t>
        </m:r>
        <m:r>
          <m:t>0</m:t>
        </m:r>
      </m:oMath>
      <w:r>
        <w:t xml:space="preserve">,</w:t>
      </w:r>
      <w:r>
        <w:t xml:space="preserve"> </w:t>
      </w:r>
      <m:oMath>
        <m:r>
          <m:t>λ</m:t>
        </m:r>
        <m:r>
          <m:rPr>
            <m:sty m:val="p"/>
          </m:rPr>
          <m:t>=</m:t>
        </m:r>
        <m:r>
          <m:t>5.6349</m:t>
        </m:r>
      </m:oMath>
      <w:r>
        <w:t xml:space="preserve">, margin</w:t>
      </w:r>
      <w:r>
        <w:t xml:space="preserve"> </w:t>
      </w:r>
      <m:oMath>
        <m:r>
          <m:rPr>
            <m:sty m:val="p"/>
          </m:rPr>
          <m:t>=</m:t>
        </m:r>
        <m:r>
          <m:t>C</m:t>
        </m:r>
        <m:r>
          <m:t>V</m:t>
        </m:r>
        <m:r>
          <m:t>R</m:t>
        </m:r>
        <m:r>
          <m:rPr>
            <m:sty m:val="p"/>
          </m:rPr>
          <m:t>+</m:t>
        </m:r>
        <m:r>
          <m:t>λ</m:t>
        </m:r>
        <m:r>
          <m:t>K</m:t>
        </m:r>
        <m:r>
          <m:rPr>
            <m:sty m:val="p"/>
          </m:rPr>
          <m:t>=</m:t>
        </m:r>
        <m:r>
          <m:t>4</m:t>
        </m:r>
        <m:r>
          <m:rPr>
            <m:sty m:val="p"/>
          </m:rPr>
          <m:t>,</m:t>
        </m:r>
        <m:r>
          <m:t>893.47</m:t>
        </m:r>
      </m:oMath>
      <w:r>
        <w:t xml:space="preserve">. The same option sold:</w:t>
      </w:r>
      <w:r>
        <w:t xml:space="preserve"> </w:t>
      </w:r>
      <m:oMath>
        <m:r>
          <m:t>C</m:t>
        </m:r>
        <m:r>
          <m:t>V</m:t>
        </m:r>
        <m:r>
          <m:t>R</m:t>
        </m:r>
      </m:oMath>
      <w:r>
        <w:t xml:space="preserve"> </w:t>
      </w:r>
      <w:r>
        <w:t xml:space="preserve">is negative,</w:t>
      </w:r>
      <w:r>
        <w:t xml:space="preserve"> </w:t>
      </w:r>
      <m:oMath>
        <m:r>
          <m:t>θ</m:t>
        </m:r>
        <m:r>
          <m:rPr>
            <m:sty m:val="p"/>
          </m:rPr>
          <m:t>=</m:t>
        </m:r>
        <m:r>
          <m:rPr>
            <m:sty m:val="p"/>
          </m:rPr>
          <m:t>−</m:t>
        </m:r>
        <m:r>
          <m:t>1</m:t>
        </m:r>
      </m:oMath>
      <w:r>
        <w:t xml:space="preserve">,</w:t>
      </w:r>
      <w:r>
        <w:t xml:space="preserve"> </w:t>
      </w:r>
      <m:oMath>
        <m:r>
          <m:t>λ</m:t>
        </m:r>
        <m:r>
          <m:rPr>
            <m:sty m:val="p"/>
          </m:rPr>
          <m:t>=</m:t>
        </m:r>
        <m:r>
          <m:t>1.0</m:t>
        </m:r>
      </m:oMath>
      <w:r>
        <w:t xml:space="preserve">, and the margin is</w:t>
      </w:r>
      <w:r>
        <w:t xml:space="preserve"> </w:t>
      </w:r>
      <m:oMath>
        <m:r>
          <m:rPr>
            <m:sty m:val="p"/>
          </m:rPr>
          <m:t>max</m:t>
        </m:r>
        <m:r>
          <m:rPr>
            <m:sty m:val="p"/>
          </m:rPr>
          <m:t>(</m:t>
        </m:r>
        <m:r>
          <m:rPr>
            <m:sty m:val="p"/>
          </m:rPr>
          <m:t>−</m:t>
        </m:r>
        <m:r>
          <m:rPr>
            <m:sty m:val="p"/>
          </m:rPr>
          <m:t>|</m:t>
        </m:r>
        <m:r>
          <m:t>C</m:t>
        </m:r>
        <m:r>
          <m:t>V</m:t>
        </m:r>
        <m:r>
          <m:t>R</m:t>
        </m:r>
        <m:r>
          <m:rPr>
            <m:sty m:val="p"/>
          </m:rPr>
          <m:t>|</m:t>
        </m:r>
        <m:r>
          <m:rPr>
            <m:sty m:val="p"/>
          </m:rPr>
          <m:t>+</m:t>
        </m:r>
        <m:r>
          <m:t>1</m:t>
        </m:r>
        <m:r>
          <m:rPr>
            <m:sty m:val="p"/>
          </m:rPr>
          <m:t>⋅</m:t>
        </m:r>
        <m:r>
          <m:rPr>
            <m:sty m:val="p"/>
          </m:rPr>
          <m:t>|</m:t>
        </m:r>
        <m:r>
          <m:t>C</m:t>
        </m:r>
        <m:r>
          <m:t>V</m:t>
        </m:r>
        <m:r>
          <m:t>R</m:t>
        </m:r>
        <m:r>
          <m:rPr>
            <m:sty m:val="p"/>
          </m:rPr>
          <m:t>|</m:t>
        </m:r>
        <m:r>
          <m:rPr>
            <m:sty m:val="p"/>
          </m:rPr>
          <m:t>,</m:t>
        </m:r>
        <m:r>
          <m:t>0</m:t>
        </m:r>
        <m:r>
          <m:rPr>
            <m:sty m:val="p"/>
          </m:rPr>
          <m:t>)</m:t>
        </m:r>
        <m:r>
          <m:rPr>
            <m:sty m:val="p"/>
          </m:rPr>
          <m:t>=</m:t>
        </m:r>
        <m:r>
          <m:t>0.00</m:t>
        </m:r>
      </m:oMath>
      <w:r>
        <w:t xml:space="preserve">. The engine implements the formula as printed in the methodology, in which the sign of</w:t>
      </w:r>
      <w:r>
        <w:t xml:space="preserve"> </w:t>
      </w:r>
      <m:oMath>
        <m:r>
          <m:t>C</m:t>
        </m:r>
        <m:r>
          <m:t>V</m:t>
        </m:r>
        <m:r>
          <m:t>R</m:t>
        </m:r>
      </m:oMath>
      <w:r>
        <w:t xml:space="preserve"> </w:t>
      </w:r>
      <w:r>
        <w:t xml:space="preserve">follows the sign of vega; the economic reading of this sign convention was not independently validated against ISDA's calculator (finding F-14 covers the related IR vega reading).</w:t>
      </w:r>
    </w:p>
    <w:bookmarkEnd w:id="31"/>
    <w:bookmarkStart w:id="38" w:name="aggregation-to-the-product-class"/>
    <w:p>
      <w:pPr>
        <w:pStyle w:val="Heading2"/>
      </w:pPr>
      <w:r>
        <w:rPr>
          <w:rStyle w:val="SectionNumber"/>
        </w:rPr>
        <w:t xml:space="preserve">5.7</w:t>
      </w:r>
      <w:r>
        <w:tab/>
      </w:r>
      <w:r>
        <w:t xml:space="preserve">Aggregation to the product class</w:t>
      </w:r>
    </w:p>
    <w:p>
      <w:pPr>
        <w:pStyle w:val="FirstParagraph"/>
      </w:pPr>
      <w:r>
        <w:t xml:space="preserve">The margin of a risk class is the sum of its delta, vega and curvature margins, and the RatesFX product class combines the risk classes with the matrix</w:t>
      </w:r>
      <w:r>
        <w:t xml:space="preserve"> </w:t>
      </w:r>
      <m:oMath>
        <m:r>
          <m:t>ψ</m:t>
        </m:r>
      </m:oMath>
      <w:r>
        <w:t xml:space="preserve">:</w:t>
      </w:r>
    </w:p>
    <w:p>
      <w:pPr>
        <w:pStyle w:val="BodyText"/>
      </w:pPr>
      <m:oMathPara>
        <m:oMathParaPr>
          <m:jc m:val="center"/>
        </m:oMathParaPr>
        <m:oMath>
          <m:r>
            <m:t>I</m:t>
          </m:r>
          <m:sSub>
            <m:e>
              <m:r>
                <m:t>M</m:t>
              </m:r>
            </m:e>
            <m:sub>
              <m:r>
                <m:t>R</m:t>
              </m:r>
              <m:r>
                <m:t>a</m:t>
              </m:r>
              <m:r>
                <m:t>t</m:t>
              </m:r>
              <m:r>
                <m:t>e</m:t>
              </m:r>
              <m:r>
                <m:t>s</m:t>
              </m:r>
              <m:r>
                <m:t>F</m:t>
              </m:r>
              <m:r>
                <m:t>X</m:t>
              </m:r>
            </m:sub>
          </m:sSub>
          <m:r>
            <m:rPr>
              <m:sty m:val="p"/>
            </m:rPr>
            <m:t>=</m:t>
          </m:r>
          <m:rad>
            <m:radPr>
              <m:degHide m:val="on"/>
            </m:radPr>
            <m:deg/>
            <m:e>
              <m:nary>
                <m:naryPr>
                  <m:chr m:val="∑"/>
                  <m:limLoc m:val="undOvr"/>
                  <m:subHide m:val="off"/>
                  <m:supHide m:val="on"/>
                </m:naryPr>
                <m:sub>
                  <m:r>
                    <m:t>r</m:t>
                  </m:r>
                </m:sub>
                <m:sup>
                  <m:r>
                    <m:t>​</m:t>
                  </m:r>
                </m:sup>
                <m:e>
                  <m:r>
                    <m:t>I</m:t>
                  </m:r>
                </m:e>
              </m:nary>
              <m:sSubSup>
                <m:e>
                  <m:r>
                    <m:t>M</m:t>
                  </m:r>
                </m:e>
                <m:sub>
                  <m:r>
                    <m:t>r</m:t>
                  </m:r>
                </m:sub>
                <m:sup>
                  <m:r>
                    <m:t>2</m:t>
                  </m:r>
                </m:sup>
              </m:sSubSup>
              <m:r>
                <m:rPr>
                  <m:sty m:val="p"/>
                </m:rPr>
                <m:t>+</m:t>
              </m:r>
              <m:nary>
                <m:naryPr>
                  <m:chr m:val="∑"/>
                  <m:limLoc m:val="undOvr"/>
                  <m:subHide m:val="off"/>
                  <m:supHide m:val="on"/>
                </m:naryPr>
                <m:sub>
                  <m:r>
                    <m:t>r</m:t>
                  </m:r>
                </m:sub>
                <m:sup>
                  <m:r>
                    <m:t>​</m:t>
                  </m:r>
                </m:sup>
                <m:e>
                  <m:nary>
                    <m:naryPr>
                      <m:chr m:val="∑"/>
                      <m:limLoc m:val="undOvr"/>
                      <m:subHide m:val="off"/>
                      <m:supHide m:val="on"/>
                    </m:naryPr>
                    <m:sub>
                      <m:r>
                        <m:t>s</m:t>
                      </m:r>
                      <m:r>
                        <m:rPr>
                          <m:sty m:val="p"/>
                        </m:rPr>
                        <m:t>≠</m:t>
                      </m:r>
                      <m:r>
                        <m:t>r</m:t>
                      </m:r>
                    </m:sub>
                    <m:sup>
                      <m:r>
                        <m:t>​</m:t>
                      </m:r>
                    </m:sup>
                    <m:e>
                      <m:sSub>
                        <m:e>
                          <m:r>
                            <m:t>ψ</m:t>
                          </m:r>
                        </m:e>
                        <m:sub>
                          <m:r>
                            <m:t>r</m:t>
                          </m:r>
                          <m:r>
                            <m:t>s</m:t>
                          </m:r>
                        </m:sub>
                      </m:sSub>
                    </m:e>
                  </m:nary>
                </m:e>
              </m:nary>
              <m:r>
                <m:t> </m:t>
              </m:r>
              <m:r>
                <m:t>I</m:t>
              </m:r>
              <m:sSub>
                <m:e>
                  <m:r>
                    <m:t>M</m:t>
                  </m:r>
                </m:e>
                <m:sub>
                  <m:r>
                    <m:t>r</m:t>
                  </m:r>
                </m:sub>
              </m:sSub>
              <m:r>
                <m:t>I</m:t>
              </m:r>
              <m:sSub>
                <m:e>
                  <m:r>
                    <m:t>M</m:t>
                  </m:r>
                </m:e>
                <m:sub>
                  <m:r>
                    <m:t>s</m:t>
                  </m:r>
                </m:sub>
              </m:sSub>
            </m:e>
          </m:rad>
          <m:r>
            <m:rPr>
              <m:sty m:val="p"/>
            </m:rPr>
            <m:t>,</m:t>
          </m:r>
          <m:r>
            <m:t>  </m:t>
          </m:r>
          <m:sSub>
            <m:e>
              <m:r>
                <m:t>ψ</m:t>
              </m:r>
            </m:e>
            <m:sub>
              <m:r>
                <m:t>I</m:t>
              </m:r>
              <m:r>
                <m:t>R</m:t>
              </m:r>
              <m:r>
                <m:rPr>
                  <m:sty m:val="p"/>
                </m:rPr>
                <m:t>,</m:t>
              </m:r>
              <m:r>
                <m:t>F</m:t>
              </m:r>
              <m:r>
                <m:t>X</m:t>
              </m:r>
            </m:sub>
          </m:sSub>
          <m:r>
            <m:rPr>
              <m:sty m:val="p"/>
            </m:rPr>
            <m:t>=</m:t>
          </m:r>
          <m:r>
            <m:t>15</m:t>
          </m:r>
          <m:r>
            <m:rPr>
              <m:sty m:val="p"/>
            </m:rPr>
            <m:t>%</m:t>
          </m:r>
          <m:r>
            <m:t> </m:t>
          </m:r>
          <m:r>
            <m:rPr>
              <m:sty m:val="p"/>
            </m:rPr>
            <m:t>(</m:t>
          </m:r>
          <m:r>
            <m:rPr>
              <m:nor/>
              <m:sty m:val="p"/>
            </m:rPr>
            <m:t>v2.8+2512</m:t>
          </m:r>
          <m:r>
            <m:rPr>
              <m:sty m:val="p"/>
            </m:rPr>
            <m:t>)</m:t>
          </m:r>
          <m:r>
            <m:rPr>
              <m:sty m:val="p"/>
            </m:rPr>
            <m:t>,</m:t>
          </m:r>
          <m:r>
            <m:t> </m:t>
          </m:r>
          <m:r>
            <m:t>10</m:t>
          </m:r>
          <m:r>
            <m:rPr>
              <m:sty m:val="p"/>
            </m:rPr>
            <m:t>%</m:t>
          </m:r>
          <m:r>
            <m:t> </m:t>
          </m:r>
          <m:r>
            <m:rPr>
              <m:sty m:val="p"/>
            </m:rPr>
            <m:t>(</m:t>
          </m:r>
          <m:r>
            <m:rPr>
              <m:nor/>
              <m:sty m:val="p"/>
            </m:rPr>
            <m:t>v2.8+2506</m:t>
          </m:r>
          <m:r>
            <m:rPr>
              <m:sty m:val="p"/>
            </m:rPr>
            <m:t>)</m:t>
          </m:r>
          <m:r>
            <m:rPr>
              <m:sty m:val="p"/>
            </m:rPr>
            <m:t>.</m:t>
          </m:r>
        </m:oMath>
      </m:oMathPara>
    </w:p>
    <w:p>
      <w:pPr>
        <w:pStyle w:val="FirstParagraph"/>
      </w:pPr>
      <w:r>
        <w:t xml:space="preserve">The full six by six</w:t>
      </w:r>
      <w:r>
        <w:t xml:space="preserve"> </w:t>
      </w:r>
      <m:oMath>
        <m:r>
          <m:t>ψ</m:t>
        </m:r>
      </m:oMath>
      <w:r>
        <w:t xml:space="preserve"> </w:t>
      </w:r>
      <w:r>
        <w:t xml:space="preserve">matrix is stored and is positive semidefinite (smallest eigenvalue 0.331 for 2512); only the IR-FX entry is used. The complete IM of the book is below.</w:t>
      </w:r>
    </w:p>
    <w:p>
      <w:pPr>
        <w:pStyle w:val="TableCaption"/>
      </w:pPr>
      <w:r>
        <w:t xml:space="preserve">SIMM-style IM of the sample book by risk class and margin type, both parameter versions, at 30 Sep 2026.</w:t>
      </w:r>
    </w:p>
    <w:tbl>
      <w:tblPr>
        <w:tblStyle w:val="Table"/>
        <w:tblW w:type="pct" w:w="5000"/>
        <w:tblLayout w:type="fixed"/>
        <w:tblLook w:firstRow="1" w:lastRow="0" w:firstColumn="0" w:lastColumn="0" w:noHBand="0" w:noVBand="0" w:val="0020"/>
        <w:tblCaption w:val="SIMM-style IM of the sample book by risk class and margin type, both parameter versions, at 30 Sep 2026."/>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Risk class</w:t>
            </w:r>
          </w:p>
        </w:tc>
        <w:tc>
          <w:tcPr/>
          <w:p>
            <w:pPr>
              <w:pStyle w:val="Compact"/>
              <w:jc w:val="left"/>
            </w:pPr>
            <w:r>
              <w:rPr>
                <w:sz w:val="17"/>
              </w:rPr>
              <w:t xml:space="preserve">Margin type</w:t>
            </w:r>
          </w:p>
        </w:tc>
        <w:tc>
          <w:tcPr/>
          <w:p>
            <w:pPr>
              <w:pStyle w:val="Compact"/>
              <w:jc w:val="right"/>
            </w:pPr>
            <w:r>
              <w:rPr>
                <w:sz w:val="17"/>
              </w:rPr>
              <w:t xml:space="preserve">v2.8+2512 (USD)</w:t>
            </w:r>
          </w:p>
        </w:tc>
        <w:tc>
          <w:tcPr/>
          <w:p>
            <w:pPr>
              <w:pStyle w:val="Compact"/>
              <w:jc w:val="right"/>
            </w:pPr>
            <w:r>
              <w:rPr>
                <w:sz w:val="17"/>
              </w:rPr>
              <w:t xml:space="preserve">v2.8+2506 (USD)</w:t>
            </w:r>
          </w:p>
        </w:tc>
        <w:tc>
          <w:tcPr/>
          <w:p>
            <w:pPr>
              <w:pStyle w:val="Compact"/>
              <w:jc w:val="right"/>
            </w:pPr>
            <w:r>
              <w:rPr>
                <w:sz w:val="17"/>
              </w:rPr>
              <w:t xml:space="preserve">Difference (USD)</w:t>
            </w:r>
          </w:p>
        </w:tc>
      </w:tr>
      <w:tr>
        <w:tc>
          <w:tcPr/>
          <w:p>
            <w:pPr>
              <w:pStyle w:val="Compact"/>
              <w:jc w:val="left"/>
            </w:pPr>
            <w:r>
              <w:rPr>
                <w:sz w:val="17"/>
              </w:rPr>
              <w:t xml:space="preserve">IR</w:t>
            </w:r>
          </w:p>
        </w:tc>
        <w:tc>
          <w:tcPr/>
          <w:p>
            <w:pPr>
              <w:pStyle w:val="Compact"/>
              <w:jc w:val="left"/>
            </w:pPr>
            <w:r>
              <w:rPr>
                <w:sz w:val="17"/>
              </w:rPr>
              <w:t xml:space="preserve">Delta</w:t>
            </w:r>
          </w:p>
        </w:tc>
        <w:tc>
          <w:tcPr/>
          <w:p>
            <w:pPr>
              <w:pStyle w:val="Compact"/>
              <w:jc w:val="right"/>
            </w:pPr>
            <w:r>
              <w:rPr>
                <w:sz w:val="17"/>
              </w:rPr>
              <w:t xml:space="preserve">1,718,578</w:t>
            </w:r>
          </w:p>
        </w:tc>
        <w:tc>
          <w:tcPr/>
          <w:p>
            <w:pPr>
              <w:pStyle w:val="Compact"/>
              <w:jc w:val="right"/>
            </w:pPr>
            <w:r>
              <w:rPr>
                <w:sz w:val="17"/>
              </w:rPr>
              <w:t xml:space="preserve">1,718,578</w:t>
            </w:r>
          </w:p>
        </w:tc>
        <w:tc>
          <w:tcPr/>
          <w:p>
            <w:pPr>
              <w:pStyle w:val="Compact"/>
              <w:jc w:val="right"/>
            </w:pPr>
            <w:r>
              <w:rPr>
                <w:sz w:val="17"/>
              </w:rPr>
              <w:t xml:space="preserve">0</w:t>
            </w:r>
          </w:p>
        </w:tc>
      </w:tr>
      <w:tr>
        <w:tc>
          <w:tcPr/>
          <w:p>
            <w:pPr>
              <w:pStyle w:val="Compact"/>
              <w:jc w:val="left"/>
            </w:pPr>
            <w:r>
              <w:rPr>
                <w:sz w:val="17"/>
              </w:rPr>
              <w:t xml:space="preserve">IR</w:t>
            </w:r>
          </w:p>
        </w:tc>
        <w:tc>
          <w:tcPr/>
          <w:p>
            <w:pPr>
              <w:pStyle w:val="Compact"/>
              <w:jc w:val="left"/>
            </w:pPr>
            <w:r>
              <w:rPr>
                <w:sz w:val="17"/>
              </w:rPr>
              <w:t xml:space="preserve">Vega</w:t>
            </w:r>
          </w:p>
        </w:tc>
        <w:tc>
          <w:tcPr/>
          <w:p>
            <w:pPr>
              <w:pStyle w:val="Compact"/>
              <w:jc w:val="right"/>
            </w:pPr>
            <w:r>
              <w:rPr>
                <w:sz w:val="17"/>
              </w:rPr>
              <w:t xml:space="preserve">440,143</w:t>
            </w:r>
          </w:p>
        </w:tc>
        <w:tc>
          <w:tcPr/>
          <w:p>
            <w:pPr>
              <w:pStyle w:val="Compact"/>
              <w:jc w:val="right"/>
            </w:pPr>
            <w:r>
              <w:rPr>
                <w:sz w:val="17"/>
              </w:rPr>
              <w:t xml:space="preserve">440,143</w:t>
            </w:r>
          </w:p>
        </w:tc>
        <w:tc>
          <w:tcPr/>
          <w:p>
            <w:pPr>
              <w:pStyle w:val="Compact"/>
              <w:jc w:val="right"/>
            </w:pPr>
            <w:r>
              <w:rPr>
                <w:sz w:val="17"/>
              </w:rPr>
              <w:t xml:space="preserve">0</w:t>
            </w:r>
          </w:p>
        </w:tc>
      </w:tr>
      <w:tr>
        <w:tc>
          <w:tcPr/>
          <w:p>
            <w:pPr>
              <w:pStyle w:val="Compact"/>
              <w:jc w:val="left"/>
            </w:pPr>
            <w:r>
              <w:rPr>
                <w:sz w:val="17"/>
              </w:rPr>
              <w:t xml:space="preserve">IR</w:t>
            </w:r>
          </w:p>
        </w:tc>
        <w:tc>
          <w:tcPr/>
          <w:p>
            <w:pPr>
              <w:pStyle w:val="Compact"/>
              <w:jc w:val="left"/>
            </w:pPr>
            <w:r>
              <w:rPr>
                <w:sz w:val="17"/>
              </w:rPr>
              <w:t xml:space="preserve">Curvature</w:t>
            </w:r>
          </w:p>
        </w:tc>
        <w:tc>
          <w:tcPr/>
          <w:p>
            <w:pPr>
              <w:pStyle w:val="Compact"/>
              <w:jc w:val="right"/>
            </w:pPr>
            <w:r>
              <w:rPr>
                <w:sz w:val="17"/>
              </w:rPr>
              <w:t xml:space="preserve">209,934</w:t>
            </w:r>
          </w:p>
        </w:tc>
        <w:tc>
          <w:tcPr/>
          <w:p>
            <w:pPr>
              <w:pStyle w:val="Compact"/>
              <w:jc w:val="right"/>
            </w:pPr>
            <w:r>
              <w:rPr>
                <w:sz w:val="17"/>
              </w:rPr>
              <w:t xml:space="preserve">209,934</w:t>
            </w:r>
          </w:p>
        </w:tc>
        <w:tc>
          <w:tcPr/>
          <w:p>
            <w:pPr>
              <w:pStyle w:val="Compact"/>
              <w:jc w:val="right"/>
            </w:pPr>
            <w:r>
              <w:rPr>
                <w:sz w:val="17"/>
              </w:rPr>
              <w:t xml:space="preserve">0</w:t>
            </w:r>
          </w:p>
        </w:tc>
      </w:tr>
      <w:tr>
        <w:tc>
          <w:tcPr/>
          <w:p>
            <w:pPr>
              <w:pStyle w:val="Compact"/>
              <w:jc w:val="left"/>
            </w:pPr>
            <w:r>
              <w:rPr>
                <w:sz w:val="17"/>
              </w:rPr>
              <w:t xml:space="preserve">IR</w:t>
            </w:r>
          </w:p>
        </w:tc>
        <w:tc>
          <w:tcPr/>
          <w:p>
            <w:pPr>
              <w:pStyle w:val="Compact"/>
              <w:jc w:val="left"/>
            </w:pPr>
            <w:r>
              <w:rPr>
                <w:b/>
                <w:bCs/>
                <w:sz w:val="17"/>
              </w:rPr>
              <w:t xml:space="preserve">Risk class IM</w:t>
            </w:r>
          </w:p>
        </w:tc>
        <w:tc>
          <w:tcPr/>
          <w:p>
            <w:pPr>
              <w:pStyle w:val="Compact"/>
              <w:jc w:val="right"/>
            </w:pPr>
            <w:r>
              <w:rPr>
                <w:b/>
                <w:bCs/>
                <w:sz w:val="17"/>
              </w:rPr>
              <w:t xml:space="preserve">2,368,655</w:t>
            </w:r>
          </w:p>
        </w:tc>
        <w:tc>
          <w:tcPr/>
          <w:p>
            <w:pPr>
              <w:pStyle w:val="Compact"/>
              <w:jc w:val="right"/>
            </w:pPr>
            <w:r>
              <w:rPr>
                <w:b/>
                <w:bCs/>
                <w:sz w:val="17"/>
              </w:rPr>
              <w:t xml:space="preserve">2,368,655</w:t>
            </w:r>
          </w:p>
        </w:tc>
        <w:tc>
          <w:tcPr/>
          <w:p>
            <w:pPr>
              <w:pStyle w:val="Compact"/>
              <w:jc w:val="right"/>
            </w:pPr>
            <w:r>
              <w:rPr>
                <w:b/>
                <w:bCs/>
                <w:sz w:val="17"/>
              </w:rPr>
              <w:t xml:space="preserve">0</w:t>
            </w:r>
          </w:p>
        </w:tc>
      </w:tr>
      <w:tr>
        <w:tc>
          <w:tcPr/>
          <w:p>
            <w:pPr>
              <w:pStyle w:val="Compact"/>
              <w:jc w:val="left"/>
            </w:pPr>
            <w:r>
              <w:rPr>
                <w:sz w:val="17"/>
              </w:rPr>
              <w:t xml:space="preserve">FX</w:t>
            </w:r>
          </w:p>
        </w:tc>
        <w:tc>
          <w:tcPr/>
          <w:p>
            <w:pPr>
              <w:pStyle w:val="Compact"/>
              <w:jc w:val="left"/>
            </w:pPr>
            <w:r>
              <w:rPr>
                <w:sz w:val="17"/>
              </w:rPr>
              <w:t xml:space="preserve">Delta</w:t>
            </w:r>
          </w:p>
        </w:tc>
        <w:tc>
          <w:tcPr/>
          <w:p>
            <w:pPr>
              <w:pStyle w:val="Compact"/>
              <w:jc w:val="right"/>
            </w:pPr>
            <w:r>
              <w:rPr>
                <w:sz w:val="17"/>
              </w:rPr>
              <w:t xml:space="preserve">3,678,282</w:t>
            </w:r>
          </w:p>
        </w:tc>
        <w:tc>
          <w:tcPr/>
          <w:p>
            <w:pPr>
              <w:pStyle w:val="Compact"/>
              <w:jc w:val="right"/>
            </w:pPr>
            <w:r>
              <w:rPr>
                <w:sz w:val="17"/>
              </w:rPr>
              <w:t xml:space="preserve">3,529,163</w:t>
            </w:r>
          </w:p>
        </w:tc>
        <w:tc>
          <w:tcPr/>
          <w:p>
            <w:pPr>
              <w:pStyle w:val="Compact"/>
              <w:jc w:val="right"/>
            </w:pPr>
            <w:r>
              <w:rPr>
                <w:sz w:val="17"/>
              </w:rPr>
              <w:t xml:space="preserve">149,120</w:t>
            </w:r>
          </w:p>
        </w:tc>
      </w:tr>
      <w:tr>
        <w:tc>
          <w:tcPr/>
          <w:p>
            <w:pPr>
              <w:pStyle w:val="Compact"/>
              <w:jc w:val="left"/>
            </w:pPr>
            <w:r>
              <w:rPr>
                <w:sz w:val="17"/>
              </w:rPr>
              <w:t xml:space="preserve">FX</w:t>
            </w:r>
          </w:p>
        </w:tc>
        <w:tc>
          <w:tcPr/>
          <w:p>
            <w:pPr>
              <w:pStyle w:val="Compact"/>
              <w:jc w:val="left"/>
            </w:pPr>
            <w:r>
              <w:rPr>
                <w:sz w:val="17"/>
              </w:rPr>
              <w:t xml:space="preserve">Vega</w:t>
            </w:r>
          </w:p>
        </w:tc>
        <w:tc>
          <w:tcPr/>
          <w:p>
            <w:pPr>
              <w:pStyle w:val="Compact"/>
              <w:jc w:val="right"/>
            </w:pPr>
            <w:r>
              <w:rPr>
                <w:sz w:val="17"/>
              </w:rPr>
              <w:t xml:space="preserve">442,605</w:t>
            </w:r>
          </w:p>
        </w:tc>
        <w:tc>
          <w:tcPr/>
          <w:p>
            <w:pPr>
              <w:pStyle w:val="Compact"/>
              <w:jc w:val="right"/>
            </w:pPr>
            <w:r>
              <w:rPr>
                <w:sz w:val="17"/>
              </w:rPr>
              <w:t xml:space="preserve">444,061</w:t>
            </w:r>
          </w:p>
        </w:tc>
        <w:tc>
          <w:tcPr/>
          <w:p>
            <w:pPr>
              <w:pStyle w:val="Compact"/>
              <w:jc w:val="right"/>
            </w:pPr>
            <w:r>
              <w:rPr>
                <w:sz w:val="17"/>
              </w:rPr>
              <w:t xml:space="preserve">-1,455</w:t>
            </w:r>
          </w:p>
        </w:tc>
      </w:tr>
      <w:tr>
        <w:tc>
          <w:tcPr/>
          <w:p>
            <w:pPr>
              <w:pStyle w:val="Compact"/>
              <w:jc w:val="left"/>
            </w:pPr>
            <w:r>
              <w:rPr>
                <w:sz w:val="17"/>
              </w:rPr>
              <w:t xml:space="preserve">FX</w:t>
            </w:r>
          </w:p>
        </w:tc>
        <w:tc>
          <w:tcPr/>
          <w:p>
            <w:pPr>
              <w:pStyle w:val="Compact"/>
              <w:jc w:val="left"/>
            </w:pPr>
            <w:r>
              <w:rPr>
                <w:sz w:val="17"/>
              </w:rPr>
              <w:t xml:space="preserve">Curvature</w:t>
            </w:r>
          </w:p>
        </w:tc>
        <w:tc>
          <w:tcPr/>
          <w:p>
            <w:pPr>
              <w:pStyle w:val="Compact"/>
              <w:jc w:val="right"/>
            </w:pPr>
            <w:r>
              <w:rPr>
                <w:sz w:val="17"/>
              </w:rPr>
              <w:t xml:space="preserve">462,486</w:t>
            </w:r>
          </w:p>
        </w:tc>
        <w:tc>
          <w:tcPr/>
          <w:p>
            <w:pPr>
              <w:pStyle w:val="Compact"/>
              <w:jc w:val="right"/>
            </w:pPr>
            <w:r>
              <w:rPr>
                <w:sz w:val="17"/>
              </w:rPr>
              <w:t xml:space="preserve">443,736</w:t>
            </w:r>
          </w:p>
        </w:tc>
        <w:tc>
          <w:tcPr/>
          <w:p>
            <w:pPr>
              <w:pStyle w:val="Compact"/>
              <w:jc w:val="right"/>
            </w:pPr>
            <w:r>
              <w:rPr>
                <w:sz w:val="17"/>
              </w:rPr>
              <w:t xml:space="preserve">18,749</w:t>
            </w:r>
          </w:p>
        </w:tc>
      </w:tr>
      <w:tr>
        <w:tc>
          <w:tcPr/>
          <w:p>
            <w:pPr>
              <w:pStyle w:val="Compact"/>
              <w:jc w:val="left"/>
            </w:pPr>
            <w:r>
              <w:rPr>
                <w:sz w:val="17"/>
              </w:rPr>
              <w:t xml:space="preserve">FX</w:t>
            </w:r>
          </w:p>
        </w:tc>
        <w:tc>
          <w:tcPr/>
          <w:p>
            <w:pPr>
              <w:pStyle w:val="Compact"/>
              <w:jc w:val="left"/>
            </w:pPr>
            <w:r>
              <w:rPr>
                <w:b/>
                <w:bCs/>
                <w:sz w:val="17"/>
              </w:rPr>
              <w:t xml:space="preserve">Risk class IM</w:t>
            </w:r>
          </w:p>
        </w:tc>
        <w:tc>
          <w:tcPr/>
          <w:p>
            <w:pPr>
              <w:pStyle w:val="Compact"/>
              <w:jc w:val="right"/>
            </w:pPr>
            <w:r>
              <w:rPr>
                <w:b/>
                <w:bCs/>
                <w:sz w:val="17"/>
              </w:rPr>
              <w:t xml:space="preserve">4,583,373</w:t>
            </w:r>
          </w:p>
        </w:tc>
        <w:tc>
          <w:tcPr/>
          <w:p>
            <w:pPr>
              <w:pStyle w:val="Compact"/>
              <w:jc w:val="right"/>
            </w:pPr>
            <w:r>
              <w:rPr>
                <w:b/>
                <w:bCs/>
                <w:sz w:val="17"/>
              </w:rPr>
              <w:t xml:space="preserve">4,416,959</w:t>
            </w:r>
          </w:p>
        </w:tc>
        <w:tc>
          <w:tcPr/>
          <w:p>
            <w:pPr>
              <w:pStyle w:val="Compact"/>
              <w:jc w:val="right"/>
            </w:pPr>
            <w:r>
              <w:rPr>
                <w:b/>
                <w:bCs/>
                <w:sz w:val="17"/>
              </w:rPr>
              <w:t xml:space="preserve">166,414</w:t>
            </w:r>
          </w:p>
        </w:tc>
      </w:tr>
      <w:tr>
        <w:tc>
          <w:tcPr/>
          <w:p>
            <w:pPr>
              <w:pStyle w:val="Compact"/>
              <w:jc w:val="left"/>
            </w:pPr>
            <w:r>
              <w:rPr>
                <w:sz w:val="17"/>
              </w:rPr>
              <w:t xml:space="preserve">RatesFX</w:t>
            </w:r>
          </w:p>
        </w:tc>
        <w:tc>
          <w:tcPr/>
          <w:p>
            <w:pPr>
              <w:pStyle w:val="Compact"/>
              <w:jc w:val="left"/>
            </w:pPr>
            <w:r>
              <w:rPr>
                <w:b/>
                <w:bCs/>
                <w:sz w:val="17"/>
              </w:rPr>
              <w:t xml:space="preserve">Product class SIMM</w:t>
            </w:r>
          </w:p>
        </w:tc>
        <w:tc>
          <w:tcPr/>
          <w:p>
            <w:pPr>
              <w:pStyle w:val="Compact"/>
              <w:jc w:val="right"/>
            </w:pPr>
            <w:r>
              <w:rPr>
                <w:b/>
                <w:bCs/>
                <w:sz w:val="17"/>
              </w:rPr>
              <w:t xml:space="preserve">5,465,781</w:t>
            </w:r>
          </w:p>
        </w:tc>
        <w:tc>
          <w:tcPr/>
          <w:p>
            <w:pPr>
              <w:pStyle w:val="Compact"/>
              <w:jc w:val="right"/>
            </w:pPr>
            <w:r>
              <w:rPr>
                <w:b/>
                <w:bCs/>
                <w:sz w:val="17"/>
              </w:rPr>
              <w:t xml:space="preserve">5,216,561</w:t>
            </w:r>
          </w:p>
        </w:tc>
        <w:tc>
          <w:tcPr/>
          <w:p>
            <w:pPr>
              <w:pStyle w:val="Compact"/>
              <w:jc w:val="right"/>
            </w:pPr>
            <w:r>
              <w:rPr>
                <w:b/>
                <w:bCs/>
                <w:sz w:val="17"/>
              </w:rPr>
              <w:t xml:space="preserve">249,220</w:t>
            </w:r>
          </w:p>
        </w:tc>
      </w:tr>
    </w:tbl>
    <w:p>
      <w:pPr>
        <w:pStyle w:val="CaptionedFigure"/>
      </w:pPr>
      <w:r>
        <w:drawing>
          <wp:inline>
            <wp:extent cx="5334000" cy="3000375"/>
            <wp:effectExtent b="0" l="0" r="0" t="0"/>
            <wp:docPr descr="SIMM-style IM by risk class and margin type." title="" id="33" name="Picture"/>
            <a:graphic>
              <a:graphicData uri="http://schemas.openxmlformats.org/drawingml/2006/picture">
                <pic:pic>
                  <pic:nvPicPr>
                    <pic:cNvPr descr="../python/outputs/charts/im_by_risk_class_margin_type.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SIMM-style IM by risk class and margin type.</w:t>
      </w:r>
    </w:p>
    <w:p>
      <w:pPr>
        <w:pStyle w:val="CaptionedFigure"/>
      </w:pPr>
      <w:r>
        <w:drawing>
          <wp:inline>
            <wp:extent cx="5334000" cy="2400300"/>
            <wp:effectExtent b="0" l="0" r="0" t="0"/>
            <wp:docPr descr="The same margin types under the two parameter versions." title="" id="36" name="Picture"/>
            <a:graphic>
              <a:graphicData uri="http://schemas.openxmlformats.org/drawingml/2006/picture">
                <pic:pic>
                  <pic:nvPicPr>
                    <pic:cNvPr descr="../python/outputs/charts/im_2512_vs_2506.png" id="37" name="Picture"/>
                    <pic:cNvPicPr>
                      <a:picLocks noChangeArrowheads="1" noChangeAspect="1"/>
                    </pic:cNvPicPr>
                  </pic:nvPicPr>
                  <pic:blipFill>
                    <a:blip r:embed="rId35"/>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The same margin types under the two parameter versions.</w:t>
      </w:r>
    </w:p>
    <w:p>
      <w:pPr>
        <w:pStyle w:val="BodyText"/>
      </w:pPr>
      <w:r>
        <w:t xml:space="preserve">Adding the risk classes gives USD 6,952,028 and the IR-FX correlation reduces it to USD 5,465,781, a diversification benefit of USD 1,486,247. The 2512 version is higher than 2506 by USD 249,220 and the whole difference comes from the FX parameters (risk weight 7.4 against 7.1, vega parameters, FX concentration thresholds and the larger IR-FX correlation); the IR margins are identical because the IR parameters did not change.</w:t>
      </w:r>
    </w:p>
    <w:bookmarkEnd w:id="38"/>
    <w:bookmarkStart w:id="39" w:name="parameter-provenance"/>
    <w:p>
      <w:pPr>
        <w:pStyle w:val="Heading2"/>
      </w:pPr>
      <w:r>
        <w:rPr>
          <w:rStyle w:val="SectionNumber"/>
        </w:rPr>
        <w:t xml:space="preserve">5.8</w:t>
      </w:r>
      <w:r>
        <w:tab/>
      </w:r>
      <w:r>
        <w:t xml:space="preserve">Parameter provenance</w:t>
      </w:r>
    </w:p>
    <w:p>
      <w:pPr>
        <w:pStyle w:val="FirstParagraph"/>
      </w:pPr>
      <w:r>
        <w:t xml:space="preserve">The parameter file</w:t>
      </w:r>
      <w:r>
        <w:t xml:space="preserve"> </w:t>
      </w:r>
      <w:r>
        <w:rPr>
          <w:rStyle w:val="VerbatimChar"/>
        </w:rPr>
        <w:t xml:space="preserve">data/parameters/simm_parameters.csv</w:t>
      </w:r>
      <w:r>
        <w:t xml:space="preserve"> </w:t>
      </w:r>
      <w:r>
        <w:t xml:space="preserve">has 685 rows (342 for v2.8+2512 and 343 for v2.8+2506). Every row carries its source document, section, paragraph, table, PDF page, URL, retrieval date, the sha256 of the retrieved PDF and its verification status; all rows are VERIFIED_PRIMARY. They were transcribed from the public ISDA PDFs by two independent text extractors compared programmatically per table and then read against page images. No illustrative values are used for the in-scope parameters. Items still unverified: the ISDA credit, equity and commodity tables (out of scope), and the reading that IR vega uses the same tenor correlation matrix (the methodology text has no separate IR vega expiry correlation table, so this rests on the text and not on ISDA's calculator).</w:t>
      </w:r>
    </w:p>
    <w:bookmarkEnd w:id="39"/>
    <w:bookmarkStart w:id="40" w:name="euler-allocation"/>
    <w:p>
      <w:pPr>
        <w:pStyle w:val="Heading2"/>
      </w:pPr>
      <w:r>
        <w:rPr>
          <w:rStyle w:val="SectionNumber"/>
        </w:rPr>
        <w:t xml:space="preserve">5.9</w:t>
      </w:r>
      <w:r>
        <w:tab/>
      </w:r>
      <w:r>
        <w:t xml:space="preserve">Euler allocation</w:t>
      </w:r>
    </w:p>
    <w:p>
      <w:pPr>
        <w:pStyle w:val="FirstParagraph"/>
      </w:pPr>
      <w:r>
        <w:rPr>
          <w:rStyle w:val="VerbatimChar"/>
        </w:rPr>
        <w:t xml:space="preserve">allocation.euler_contributions</w:t>
      </w:r>
      <w:r>
        <w:t xml:space="preserve"> </w:t>
      </w:r>
      <w:r>
        <w:t xml:space="preserve">splits the IM among trades (or risk factors) by the directional derivative of the IM when that group's CRIF rows are scaled by</w:t>
      </w:r>
      <w:r>
        <w:t xml:space="preserve"> </w:t>
      </w:r>
      <m:oMath>
        <m:r>
          <m:rPr>
            <m:sty m:val="p"/>
          </m:rPr>
          <m:t>(</m:t>
        </m:r>
        <m:r>
          <m:t>1</m:t>
        </m:r>
        <m:r>
          <m:rPr>
            <m:sty m:val="p"/>
          </m:rPr>
          <m:t>+</m:t>
        </m:r>
        <m:r>
          <m:t>ϵ</m:t>
        </m:r>
        <m:r>
          <m:rPr>
            <m:sty m:val="p"/>
          </m:rPr>
          <m:t>)</m:t>
        </m:r>
      </m:oMath>
      <w:r>
        <w:t xml:space="preserve">. When every concentration factor is 1, IM is homogeneous of degree one in the sensitivities, so by Euler's theorem the contributions sum exactly to the IM; with</w:t>
      </w:r>
      <w:r>
        <w:t xml:space="preserve"> </w:t>
      </w:r>
      <m:oMath>
        <m:r>
          <m:t>C</m:t>
        </m:r>
        <m:r>
          <m:t>R</m:t>
        </m:r>
        <m:r>
          <m:rPr>
            <m:sty m:val="p"/>
          </m:rPr>
          <m:t>&gt;</m:t>
        </m:r>
        <m:r>
          <m:t>1</m:t>
        </m:r>
      </m:oMath>
      <w:r>
        <w:t xml:space="preserve"> </w:t>
      </w:r>
      <w:r>
        <w:t xml:space="preserve">they do not, and</w:t>
      </w:r>
      <w:r>
        <w:t xml:space="preserve"> </w:t>
      </w:r>
      <w:r>
        <w:rPr>
          <w:rStyle w:val="VerbatimChar"/>
        </w:rPr>
        <w:t xml:space="preserve">euler_check</w:t>
      </w:r>
      <w:r>
        <w:t xml:space="preserve"> </w:t>
      </w:r>
      <w:r>
        <w:t xml:space="preserve">reports the gap. The contributions are used in the dispute reconciliation (Section 11).</w:t>
      </w:r>
    </w:p>
    <w:bookmarkEnd w:id="40"/>
    <w:bookmarkEnd w:id="41"/>
    <w:bookmarkStart w:id="48" w:name="Xcebf4aa3f49ae3b4d2b40774d3b36af78fb1322"/>
    <w:p>
      <w:pPr>
        <w:pStyle w:val="Heading1"/>
      </w:pPr>
      <w:r>
        <w:rPr>
          <w:rStyle w:val="SectionNumber"/>
        </w:rPr>
        <w:t xml:space="preserve">6</w:t>
      </w:r>
      <w:r>
        <w:tab/>
      </w:r>
      <w:r>
        <w:t xml:space="preserve">Schedule IM, net-to-gross ratio and SIMM against the schedule</w:t>
      </w:r>
    </w:p>
    <w:bookmarkStart w:id="42" w:name="the-standardised-schedule"/>
    <w:p>
      <w:pPr>
        <w:pStyle w:val="Heading2"/>
      </w:pPr>
      <w:r>
        <w:rPr>
          <w:rStyle w:val="SectionNumber"/>
        </w:rPr>
        <w:t xml:space="preserve">6.1</w:t>
      </w:r>
      <w:r>
        <w:tab/>
      </w:r>
      <w:r>
        <w:t xml:space="preserve">The standardised schedule</w:t>
      </w:r>
    </w:p>
    <w:p>
      <w:pPr>
        <w:pStyle w:val="FirstParagraph"/>
      </w:pPr>
      <w:r>
        <w:t xml:space="preserve">The schedule route needs no model. Each trade's notional is multiplied by a rate that depends on the asset class and, for interest rates, the duration; the results are summed to the gross IM</w:t>
      </w:r>
      <w:r>
        <w:t xml:space="preserve"> </w:t>
      </w:r>
      <m:oMath>
        <m:r>
          <m:t>G</m:t>
        </m:r>
      </m:oMath>
      <w:r>
        <w:t xml:space="preserve">. For the interest rate class the BCBS-IOSCO and US schedules give 1% for 0 to 2 years, 2% for 2 to 5 years and 4% for 5 years and above; FX is 6%; the US rule also has explicit cross-currency swap rows of 1%, 2% and 4% by duration (BCBS-IOSCO April 2020, Appendix A; the cross-currency rows are in 12 CFR Part 45, Appendix A, not in the BCBS-IOSCO appendix). The engine reads these from</w:t>
      </w:r>
      <w:r>
        <w:t xml:space="preserve"> </w:t>
      </w:r>
      <w:r>
        <w:rPr>
          <w:rStyle w:val="VerbatimChar"/>
        </w:rPr>
        <w:t xml:space="preserve">data/parameters/schedule_im.csv</w:t>
      </w:r>
      <w:r>
        <w:t xml:space="preserve">. Implementation assumptions, stated in</w:t>
      </w:r>
      <w:r>
        <w:t xml:space="preserve"> </w:t>
      </w:r>
      <w:r>
        <w:rPr>
          <w:rStyle w:val="VerbatimChar"/>
        </w:rPr>
        <w:t xml:space="preserve">schedule_im.py</w:t>
      </w:r>
      <w:r>
        <w:t xml:space="preserve">: bucket edges are lower-inclusive (a 2-year trade is in the 2 to 5 bucket); a swaption's duration is expiry plus underlying tenor; and notionals are converted to USD at the market FX rate.</w:t>
      </w:r>
    </w:p>
    <w:p>
      <w:pPr>
        <w:pStyle w:val="TableCaption"/>
      </w:pPr>
      <w:r>
        <w:t xml:space="preserve">Gross schedule IM of the sample book by asset class and rate.</w:t>
      </w:r>
    </w:p>
    <w:tbl>
      <w:tblPr>
        <w:tblStyle w:val="Table"/>
        <w:tblW w:type="pct" w:w="5000"/>
        <w:tblLayout w:type="fixed"/>
        <w:tblLook w:firstRow="1" w:lastRow="0" w:firstColumn="0" w:lastColumn="0" w:noHBand="0" w:noVBand="0" w:val="0020"/>
        <w:tblCaption w:val="Gross schedule IM of the sample book by asset class and rat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36"/>
        <w:gridCol w:w="1492"/>
        <w:gridCol w:w="688"/>
        <w:gridCol w:w="1951"/>
        <w:gridCol w:w="1951"/>
      </w:tblGrid>
      <w:tr>
        <w:trPr>
          <w:tblHeader w:val="on"/>
        </w:trPr>
        <w:tc>
          <w:tcPr/>
          <w:p>
            <w:pPr>
              <w:pStyle w:val="Compact"/>
              <w:jc w:val="left"/>
            </w:pPr>
            <w:r>
              <w:rPr>
                <w:sz w:val="17"/>
              </w:rPr>
              <w:t xml:space="preserve">Asset class</w:t>
            </w:r>
          </w:p>
        </w:tc>
        <w:tc>
          <w:tcPr/>
          <w:p>
            <w:pPr>
              <w:pStyle w:val="Compact"/>
              <w:jc w:val="right"/>
            </w:pPr>
            <w:r>
              <w:rPr>
                <w:sz w:val="17"/>
              </w:rPr>
              <w:t xml:space="preserve">Schedule rate</w:t>
            </w:r>
          </w:p>
        </w:tc>
        <w:tc>
          <w:tcPr/>
          <w:p>
            <w:pPr>
              <w:pStyle w:val="Compact"/>
              <w:jc w:val="right"/>
            </w:pPr>
            <w:r>
              <w:rPr>
                <w:sz w:val="17"/>
              </w:rPr>
              <w:t xml:space="preserve">Trades</w:t>
            </w:r>
          </w:p>
        </w:tc>
        <w:tc>
          <w:tcPr/>
          <w:p>
            <w:pPr>
              <w:pStyle w:val="Compact"/>
              <w:jc w:val="right"/>
            </w:pPr>
            <w:r>
              <w:rPr>
                <w:sz w:val="17"/>
              </w:rPr>
              <w:t xml:space="preserve">USD notional (mm)</w:t>
            </w:r>
          </w:p>
        </w:tc>
        <w:tc>
          <w:tcPr/>
          <w:p>
            <w:pPr>
              <w:pStyle w:val="Compact"/>
              <w:jc w:val="right"/>
            </w:pPr>
            <w:r>
              <w:rPr>
                <w:sz w:val="17"/>
              </w:rPr>
              <w:t xml:space="preserve">Gross IM (USD mm)</w:t>
            </w:r>
          </w:p>
        </w:tc>
      </w:tr>
      <w:tr>
        <w:tc>
          <w:tcPr/>
          <w:p>
            <w:pPr>
              <w:pStyle w:val="Compact"/>
              <w:jc w:val="left"/>
            </w:pPr>
            <w:r>
              <w:rPr>
                <w:sz w:val="17"/>
              </w:rPr>
              <w:t xml:space="preserve">Foreign exchange</w:t>
            </w:r>
          </w:p>
        </w:tc>
        <w:tc>
          <w:tcPr/>
          <w:p>
            <w:pPr>
              <w:pStyle w:val="Compact"/>
              <w:jc w:val="right"/>
            </w:pPr>
            <w:r>
              <w:rPr>
                <w:sz w:val="17"/>
              </w:rPr>
              <w:t xml:space="preserve">6%</w:t>
            </w:r>
          </w:p>
        </w:tc>
        <w:tc>
          <w:tcPr/>
          <w:p>
            <w:pPr>
              <w:pStyle w:val="Compact"/>
              <w:jc w:val="right"/>
            </w:pPr>
            <w:r>
              <w:rPr>
                <w:sz w:val="17"/>
              </w:rPr>
              <w:t xml:space="preserve">8</w:t>
            </w:r>
          </w:p>
        </w:tc>
        <w:tc>
          <w:tcPr/>
          <w:p>
            <w:pPr>
              <w:pStyle w:val="Compact"/>
              <w:jc w:val="right"/>
            </w:pPr>
            <w:r>
              <w:rPr>
                <w:sz w:val="17"/>
              </w:rPr>
              <w:t xml:space="preserve">145.8</w:t>
            </w:r>
          </w:p>
        </w:tc>
        <w:tc>
          <w:tcPr/>
          <w:p>
            <w:pPr>
              <w:pStyle w:val="Compact"/>
              <w:jc w:val="right"/>
            </w:pPr>
            <w:r>
              <w:rPr>
                <w:sz w:val="17"/>
              </w:rPr>
              <w:t xml:space="preserve">8.74</w:t>
            </w:r>
          </w:p>
        </w:tc>
      </w:tr>
      <w:tr>
        <w:tc>
          <w:tcPr/>
          <w:p>
            <w:pPr>
              <w:pStyle w:val="Compact"/>
              <w:jc w:val="left"/>
            </w:pPr>
            <w:r>
              <w:rPr>
                <w:sz w:val="17"/>
              </w:rPr>
              <w:t xml:space="preserve">Interest rate</w:t>
            </w:r>
          </w:p>
        </w:tc>
        <w:tc>
          <w:tcPr/>
          <w:p>
            <w:pPr>
              <w:pStyle w:val="Compact"/>
              <w:jc w:val="right"/>
            </w:pPr>
            <w:r>
              <w:rPr>
                <w:sz w:val="17"/>
              </w:rPr>
              <w:t xml:space="preserve">2%</w:t>
            </w:r>
          </w:p>
        </w:tc>
        <w:tc>
          <w:tcPr/>
          <w:p>
            <w:pPr>
              <w:pStyle w:val="Compact"/>
              <w:jc w:val="right"/>
            </w:pPr>
            <w:r>
              <w:rPr>
                <w:sz w:val="17"/>
              </w:rPr>
              <w:t xml:space="preserve">2</w:t>
            </w:r>
          </w:p>
        </w:tc>
        <w:tc>
          <w:tcPr/>
          <w:p>
            <w:pPr>
              <w:pStyle w:val="Compact"/>
              <w:jc w:val="right"/>
            </w:pPr>
            <w:r>
              <w:rPr>
                <w:sz w:val="17"/>
              </w:rPr>
              <w:t xml:space="preserve">87.8</w:t>
            </w:r>
          </w:p>
        </w:tc>
        <w:tc>
          <w:tcPr/>
          <w:p>
            <w:pPr>
              <w:pStyle w:val="Compact"/>
              <w:jc w:val="right"/>
            </w:pPr>
            <w:r>
              <w:rPr>
                <w:sz w:val="17"/>
              </w:rPr>
              <w:t xml:space="preserve">1.76</w:t>
            </w:r>
          </w:p>
        </w:tc>
      </w:tr>
      <w:tr>
        <w:tc>
          <w:tcPr/>
          <w:p>
            <w:pPr>
              <w:pStyle w:val="Compact"/>
              <w:jc w:val="left"/>
            </w:pPr>
            <w:r>
              <w:rPr>
                <w:sz w:val="17"/>
              </w:rPr>
              <w:t xml:space="preserve">Interest rate</w:t>
            </w:r>
          </w:p>
        </w:tc>
        <w:tc>
          <w:tcPr/>
          <w:p>
            <w:pPr>
              <w:pStyle w:val="Compact"/>
              <w:jc w:val="right"/>
            </w:pPr>
            <w:r>
              <w:rPr>
                <w:sz w:val="17"/>
              </w:rPr>
              <w:t xml:space="preserve">4%</w:t>
            </w:r>
          </w:p>
        </w:tc>
        <w:tc>
          <w:tcPr/>
          <w:p>
            <w:pPr>
              <w:pStyle w:val="Compact"/>
              <w:jc w:val="right"/>
            </w:pPr>
            <w:r>
              <w:rPr>
                <w:sz w:val="17"/>
              </w:rPr>
              <w:t xml:space="preserve">10</w:t>
            </w:r>
          </w:p>
        </w:tc>
        <w:tc>
          <w:tcPr/>
          <w:p>
            <w:pPr>
              <w:pStyle w:val="Compact"/>
              <w:jc w:val="right"/>
            </w:pPr>
            <w:r>
              <w:rPr>
                <w:sz w:val="17"/>
              </w:rPr>
              <w:t xml:space="preserve">301.9</w:t>
            </w:r>
          </w:p>
        </w:tc>
        <w:tc>
          <w:tcPr/>
          <w:p>
            <w:pPr>
              <w:pStyle w:val="Compact"/>
              <w:jc w:val="right"/>
            </w:pPr>
            <w:r>
              <w:rPr>
                <w:sz w:val="17"/>
              </w:rPr>
              <w:t xml:space="preserve">12.08</w:t>
            </w:r>
          </w:p>
        </w:tc>
      </w:tr>
    </w:tbl>
    <w:bookmarkEnd w:id="42"/>
    <w:bookmarkStart w:id="43" w:name="netting-through-the-ngr"/>
    <w:p>
      <w:pPr>
        <w:pStyle w:val="Heading2"/>
      </w:pPr>
      <w:r>
        <w:rPr>
          <w:rStyle w:val="SectionNumber"/>
        </w:rPr>
        <w:t xml:space="preserve">6.2</w:t>
      </w:r>
      <w:r>
        <w:tab/>
      </w:r>
      <w:r>
        <w:t xml:space="preserve">Netting through the NGR</w:t>
      </w:r>
    </w:p>
    <w:p>
      <w:pPr>
        <w:pStyle w:val="FirstParagraph"/>
      </w:pPr>
      <w:r>
        <w:t xml:space="preserve">The schedule gives only partial credit for netting:</w:t>
      </w:r>
    </w:p>
    <w:p>
      <w:pPr>
        <w:pStyle w:val="BodyText"/>
      </w:pPr>
      <m:oMathPara>
        <m:oMathParaPr>
          <m:jc m:val="center"/>
        </m:oMathParaPr>
        <m:oMath>
          <m:r>
            <m:rPr>
              <m:nor/>
              <m:sty m:val="p"/>
            </m:rPr>
            <m:t>Net IM</m:t>
          </m:r>
          <m:r>
            <m:rPr>
              <m:sty m:val="p"/>
            </m:rPr>
            <m:t>=</m:t>
          </m:r>
          <m:r>
            <m:t>0.4</m:t>
          </m:r>
          <m:r>
            <m:t> </m:t>
          </m:r>
          <m:r>
            <m:t>G</m:t>
          </m:r>
          <m:r>
            <m:rPr>
              <m:sty m:val="p"/>
            </m:rPr>
            <m:t>+</m:t>
          </m:r>
          <m:r>
            <m:t>0.6</m:t>
          </m:r>
          <m:r>
            <m:t> </m:t>
          </m:r>
          <m:r>
            <m:rPr>
              <m:nor/>
              <m:sty m:val="p"/>
            </m:rPr>
            <m:t>NGR</m:t>
          </m:r>
          <m:r>
            <m:t> </m:t>
          </m:r>
          <m:r>
            <m:t>G</m:t>
          </m:r>
          <m:r>
            <m:rPr>
              <m:sty m:val="p"/>
            </m:rPr>
            <m:t>,</m:t>
          </m:r>
          <m:r>
            <m:t>  </m:t>
          </m:r>
          <m:r>
            <m:rPr>
              <m:nor/>
              <m:sty m:val="p"/>
            </m:rPr>
            <m:t>NGR</m:t>
          </m:r>
          <m:r>
            <m:rPr>
              <m:sty m:val="p"/>
            </m:rPr>
            <m:t>=</m:t>
          </m:r>
          <m:f>
            <m:fPr>
              <m:type m:val="bar"/>
            </m:fPr>
            <m:num>
              <m:r>
                <m:rPr>
                  <m:sty m:val="p"/>
                </m:rPr>
                <m:t>max</m:t>
              </m:r>
              <m:d>
                <m:dPr>
                  <m:begChr m:val="("/>
                  <m:sepChr m:val=""/>
                  <m:endChr m:val=")"/>
                  <m:grow/>
                </m:dPr>
                <m:e>
                  <m:nary>
                    <m:naryPr>
                      <m:chr m:val="∑"/>
                      <m:limLoc m:val="undOvr"/>
                      <m:subHide m:val="off"/>
                      <m:supHide m:val="on"/>
                    </m:naryPr>
                    <m:sub>
                      <m:r>
                        <m:t>i</m:t>
                      </m:r>
                    </m:sub>
                    <m:sup>
                      <m:r>
                        <m:t>​</m:t>
                      </m:r>
                    </m:sup>
                    <m:e>
                      <m:r>
                        <m:t>M</m:t>
                      </m:r>
                    </m:e>
                  </m:nary>
                  <m:r>
                    <m:t>t</m:t>
                  </m:r>
                  <m:sSub>
                    <m:e>
                      <m:r>
                        <m:t>M</m:t>
                      </m:r>
                    </m:e>
                    <m:sub>
                      <m:r>
                        <m:t>i</m:t>
                      </m:r>
                    </m:sub>
                  </m:sSub>
                  <m:r>
                    <m:rPr>
                      <m:sty m:val="p"/>
                    </m:rPr>
                    <m:t>,</m:t>
                  </m:r>
                  <m:r>
                    <m:t>0</m:t>
                  </m:r>
                </m:e>
              </m:d>
            </m:num>
            <m:den>
              <m:nary>
                <m:naryPr>
                  <m:chr m:val="∑"/>
                  <m:limLoc m:val="undOvr"/>
                  <m:subHide m:val="off"/>
                  <m:supHide m:val="on"/>
                </m:naryPr>
                <m:sub>
                  <m:r>
                    <m:t>i</m:t>
                  </m:r>
                </m:sub>
                <m:sup>
                  <m:r>
                    <m:t>​</m:t>
                  </m:r>
                </m:sup>
                <m:e>
                  <m:r>
                    <m:rPr>
                      <m:sty m:val="p"/>
                    </m:rPr>
                    <m:t>max</m:t>
                  </m:r>
                </m:e>
              </m:nary>
              <m:r>
                <m:rPr>
                  <m:sty m:val="p"/>
                </m:rPr>
                <m:t>(</m:t>
              </m:r>
              <m:r>
                <m:t>M</m:t>
              </m:r>
              <m:r>
                <m:t>t</m:t>
              </m:r>
              <m:sSub>
                <m:e>
                  <m:r>
                    <m:t>M</m:t>
                  </m:r>
                </m:e>
                <m:sub>
                  <m:r>
                    <m:t>i</m:t>
                  </m:r>
                </m:sub>
              </m:sSub>
              <m:r>
                <m:rPr>
                  <m:sty m:val="p"/>
                </m:rPr>
                <m:t>,</m:t>
              </m:r>
              <m:r>
                <m:t>0</m:t>
              </m:r>
              <m:r>
                <m:rPr>
                  <m:sty m:val="p"/>
                </m:rPr>
                <m:t>)</m:t>
              </m:r>
            </m:den>
          </m:f>
          <m:r>
            <m:rPr>
              <m:sty m:val="p"/>
            </m:rPr>
            <m:t>,</m:t>
          </m:r>
        </m:oMath>
      </m:oMathPara>
    </w:p>
    <w:p>
      <w:pPr>
        <w:pStyle w:val="FirstParagraph"/>
      </w:pPr>
      <w:r>
        <w:t xml:space="preserve">the ratio of net to gross current replacement cost, set to 1 when gross replacement cost is zero (12 CFR Part 45, Appendix A, footnote 1). Intuition: if all trades have positive value for the receiver, nothing offsets and NGR = 1; if positive and negative values cancel completely, NGR = 0 and the net IM falls to 40% of gross. For the sample book the net value is USD 11,681,326 and the sum of positive values is USD 15,716,628, so NGR = 0.743. The gross IM is USD 22,577,637 and the net IM is USD 19,099,501, which is 84.6% of gross.</w:t>
      </w:r>
    </w:p>
    <w:bookmarkEnd w:id="43"/>
    <w:bookmarkStart w:id="47" w:name="simm-against-the-schedule"/>
    <w:p>
      <w:pPr>
        <w:pStyle w:val="Heading2"/>
      </w:pPr>
      <w:r>
        <w:rPr>
          <w:rStyle w:val="SectionNumber"/>
        </w:rPr>
        <w:t xml:space="preserve">6.3</w:t>
      </w:r>
      <w:r>
        <w:tab/>
      </w:r>
      <w:r>
        <w:t xml:space="preserve">SIMM against the schedule</w:t>
      </w:r>
    </w:p>
    <w:p>
      <w:pPr>
        <w:pStyle w:val="FirstParagraph"/>
      </w:pPr>
      <w:r>
        <w:t xml:space="preserve">The comparison on four dates (the first and last dates of the history, the middle of the stress window and the scenario day):</w:t>
      </w:r>
    </w:p>
    <w:p>
      <w:pPr>
        <w:pStyle w:val="TableCaption"/>
      </w:pPr>
      <w:r>
        <w:t xml:space="preserve">SIMM-style IM and schedule IM on four dates.</w:t>
      </w:r>
    </w:p>
    <w:tbl>
      <w:tblPr>
        <w:tblStyle w:val="Table"/>
        <w:tblW w:type="pct" w:w="5000"/>
        <w:tblLayout w:type="fixed"/>
        <w:tblLook w:firstRow="1" w:lastRow="0" w:firstColumn="0" w:lastColumn="0" w:noHBand="0" w:noVBand="0" w:val="0020"/>
        <w:tblCaption w:val="SIMM-style IM and schedule IM on four date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70"/>
        <w:gridCol w:w="757"/>
        <w:gridCol w:w="1308"/>
        <w:gridCol w:w="1584"/>
        <w:gridCol w:w="344"/>
        <w:gridCol w:w="1446"/>
        <w:gridCol w:w="1308"/>
      </w:tblGrid>
      <w:tr>
        <w:trPr>
          <w:tblHeader w:val="on"/>
        </w:trPr>
        <w:tc>
          <w:tcPr/>
          <w:p>
            <w:pPr>
              <w:pStyle w:val="Compact"/>
              <w:jc w:val="left"/>
            </w:pPr>
            <w:r>
              <w:rPr>
                <w:sz w:val="17"/>
              </w:rPr>
              <w:t xml:space="preserve">Date label</w:t>
            </w:r>
          </w:p>
        </w:tc>
        <w:tc>
          <w:tcPr/>
          <w:p>
            <w:pPr>
              <w:pStyle w:val="Compact"/>
              <w:jc w:val="right"/>
            </w:pPr>
            <w:r>
              <w:rPr>
                <w:sz w:val="17"/>
              </w:rPr>
              <w:t xml:space="preserve">Date</w:t>
            </w:r>
          </w:p>
        </w:tc>
        <w:tc>
          <w:tcPr/>
          <w:p>
            <w:pPr>
              <w:pStyle w:val="Compact"/>
              <w:jc w:val="right"/>
            </w:pPr>
            <w:r>
              <w:rPr>
                <w:sz w:val="17"/>
              </w:rPr>
              <w:t xml:space="preserve">SIMM-style (USD mm)</w:t>
            </w:r>
          </w:p>
        </w:tc>
        <w:tc>
          <w:tcPr/>
          <w:p>
            <w:pPr>
              <w:pStyle w:val="Compact"/>
              <w:jc w:val="right"/>
            </w:pPr>
            <w:r>
              <w:rPr>
                <w:sz w:val="17"/>
              </w:rPr>
              <w:t xml:space="preserve">Schedule gross (USD mm)</w:t>
            </w:r>
          </w:p>
        </w:tc>
        <w:tc>
          <w:tcPr/>
          <w:p>
            <w:pPr>
              <w:pStyle w:val="Compact"/>
              <w:jc w:val="right"/>
            </w:pPr>
            <w:r>
              <w:rPr>
                <w:sz w:val="17"/>
              </w:rPr>
              <w:t xml:space="preserve">NGR</w:t>
            </w:r>
          </w:p>
        </w:tc>
        <w:tc>
          <w:tcPr/>
          <w:p>
            <w:pPr>
              <w:pStyle w:val="Compact"/>
              <w:jc w:val="right"/>
            </w:pPr>
            <w:r>
              <w:rPr>
                <w:sz w:val="17"/>
              </w:rPr>
              <w:t xml:space="preserve">Schedule net (USD mm)</w:t>
            </w:r>
          </w:p>
        </w:tc>
        <w:tc>
          <w:tcPr/>
          <w:p>
            <w:pPr>
              <w:pStyle w:val="Compact"/>
              <w:jc w:val="right"/>
            </w:pPr>
            <w:r>
              <w:rPr>
                <w:sz w:val="17"/>
              </w:rPr>
              <w:t xml:space="preserve">SIMM / schedule net</w:t>
            </w:r>
          </w:p>
        </w:tc>
      </w:tr>
      <w:tr>
        <w:tc>
          <w:tcPr/>
          <w:p>
            <w:pPr>
              <w:pStyle w:val="Compact"/>
              <w:jc w:val="left"/>
            </w:pPr>
            <w:r>
              <w:rPr>
                <w:sz w:val="17"/>
              </w:rPr>
              <w:t xml:space="preserve">first date</w:t>
            </w:r>
          </w:p>
        </w:tc>
        <w:tc>
          <w:tcPr/>
          <w:p>
            <w:pPr>
              <w:pStyle w:val="Compact"/>
              <w:jc w:val="right"/>
            </w:pPr>
            <w:r>
              <w:rPr>
                <w:sz w:val="17"/>
              </w:rPr>
              <w:t xml:space="preserve">1 Oct 2018</w:t>
            </w:r>
          </w:p>
        </w:tc>
        <w:tc>
          <w:tcPr/>
          <w:p>
            <w:pPr>
              <w:pStyle w:val="Compact"/>
              <w:jc w:val="right"/>
            </w:pPr>
            <w:r>
              <w:rPr>
                <w:sz w:val="17"/>
              </w:rPr>
              <w:t xml:space="preserve">4.53</w:t>
            </w:r>
          </w:p>
        </w:tc>
        <w:tc>
          <w:tcPr/>
          <w:p>
            <w:pPr>
              <w:pStyle w:val="Compact"/>
              <w:jc w:val="right"/>
            </w:pPr>
            <w:r>
              <w:rPr>
                <w:sz w:val="17"/>
              </w:rPr>
              <w:t xml:space="preserve">22.60</w:t>
            </w:r>
          </w:p>
        </w:tc>
        <w:tc>
          <w:tcPr/>
          <w:p>
            <w:pPr>
              <w:pStyle w:val="Compact"/>
              <w:jc w:val="right"/>
            </w:pPr>
            <w:r>
              <w:rPr>
                <w:sz w:val="17"/>
              </w:rPr>
              <w:t xml:space="preserve">0.508</w:t>
            </w:r>
          </w:p>
        </w:tc>
        <w:tc>
          <w:tcPr/>
          <w:p>
            <w:pPr>
              <w:pStyle w:val="Compact"/>
              <w:jc w:val="right"/>
            </w:pPr>
            <w:r>
              <w:rPr>
                <w:sz w:val="17"/>
              </w:rPr>
              <w:t xml:space="preserve">15.93</w:t>
            </w:r>
          </w:p>
        </w:tc>
        <w:tc>
          <w:tcPr/>
          <w:p>
            <w:pPr>
              <w:pStyle w:val="Compact"/>
              <w:jc w:val="right"/>
            </w:pPr>
            <w:r>
              <w:rPr>
                <w:sz w:val="17"/>
              </w:rPr>
              <w:t xml:space="preserve">28.5%</w:t>
            </w:r>
          </w:p>
        </w:tc>
      </w:tr>
      <w:tr>
        <w:tc>
          <w:tcPr/>
          <w:p>
            <w:pPr>
              <w:pStyle w:val="Compact"/>
              <w:jc w:val="left"/>
            </w:pPr>
            <w:r>
              <w:rPr>
                <w:sz w:val="17"/>
              </w:rPr>
              <w:t xml:space="preserve">stress window mid</w:t>
            </w:r>
          </w:p>
        </w:tc>
        <w:tc>
          <w:tcPr/>
          <w:p>
            <w:pPr>
              <w:pStyle w:val="Compact"/>
              <w:jc w:val="right"/>
            </w:pPr>
            <w:r>
              <w:rPr>
                <w:sz w:val="17"/>
              </w:rPr>
              <w:t xml:space="preserve">23 Aug 2019</w:t>
            </w:r>
          </w:p>
        </w:tc>
        <w:tc>
          <w:tcPr/>
          <w:p>
            <w:pPr>
              <w:pStyle w:val="Compact"/>
              <w:jc w:val="right"/>
            </w:pPr>
            <w:r>
              <w:rPr>
                <w:sz w:val="17"/>
              </w:rPr>
              <w:t xml:space="preserve">3.72</w:t>
            </w:r>
          </w:p>
        </w:tc>
        <w:tc>
          <w:tcPr/>
          <w:p>
            <w:pPr>
              <w:pStyle w:val="Compact"/>
              <w:jc w:val="right"/>
            </w:pPr>
            <w:r>
              <w:rPr>
                <w:sz w:val="17"/>
              </w:rPr>
              <w:t xml:space="preserve">19.89</w:t>
            </w:r>
          </w:p>
        </w:tc>
        <w:tc>
          <w:tcPr/>
          <w:p>
            <w:pPr>
              <w:pStyle w:val="Compact"/>
              <w:jc w:val="right"/>
            </w:pPr>
            <w:r>
              <w:rPr>
                <w:sz w:val="17"/>
              </w:rPr>
              <w:t xml:space="preserve">0.259</w:t>
            </w:r>
          </w:p>
        </w:tc>
        <w:tc>
          <w:tcPr/>
          <w:p>
            <w:pPr>
              <w:pStyle w:val="Compact"/>
              <w:jc w:val="right"/>
            </w:pPr>
            <w:r>
              <w:rPr>
                <w:sz w:val="17"/>
              </w:rPr>
              <w:t xml:space="preserve">11.05</w:t>
            </w:r>
          </w:p>
        </w:tc>
        <w:tc>
          <w:tcPr/>
          <w:p>
            <w:pPr>
              <w:pStyle w:val="Compact"/>
              <w:jc w:val="right"/>
            </w:pPr>
            <w:r>
              <w:rPr>
                <w:sz w:val="17"/>
              </w:rPr>
              <w:t xml:space="preserve">33.7%</w:t>
            </w:r>
          </w:p>
        </w:tc>
      </w:tr>
      <w:tr>
        <w:tc>
          <w:tcPr/>
          <w:p>
            <w:pPr>
              <w:pStyle w:val="Compact"/>
              <w:jc w:val="left"/>
            </w:pPr>
            <w:r>
              <w:rPr>
                <w:sz w:val="17"/>
              </w:rPr>
              <w:t xml:space="preserve">scenario day</w:t>
            </w:r>
          </w:p>
        </w:tc>
        <w:tc>
          <w:tcPr/>
          <w:p>
            <w:pPr>
              <w:pStyle w:val="Compact"/>
              <w:jc w:val="right"/>
            </w:pPr>
            <w:r>
              <w:rPr>
                <w:sz w:val="17"/>
              </w:rPr>
              <w:t xml:space="preserve">10 Jul 2026</w:t>
            </w:r>
          </w:p>
        </w:tc>
        <w:tc>
          <w:tcPr/>
          <w:p>
            <w:pPr>
              <w:pStyle w:val="Compact"/>
              <w:jc w:val="right"/>
            </w:pPr>
            <w:r>
              <w:rPr>
                <w:sz w:val="17"/>
              </w:rPr>
              <w:t xml:space="preserve">5.26</w:t>
            </w:r>
          </w:p>
        </w:tc>
        <w:tc>
          <w:tcPr/>
          <w:p>
            <w:pPr>
              <w:pStyle w:val="Compact"/>
              <w:jc w:val="right"/>
            </w:pPr>
            <w:r>
              <w:rPr>
                <w:sz w:val="17"/>
              </w:rPr>
              <w:t xml:space="preserve">22.48</w:t>
            </w:r>
          </w:p>
        </w:tc>
        <w:tc>
          <w:tcPr/>
          <w:p>
            <w:pPr>
              <w:pStyle w:val="Compact"/>
              <w:jc w:val="right"/>
            </w:pPr>
            <w:r>
              <w:rPr>
                <w:sz w:val="17"/>
              </w:rPr>
              <w:t xml:space="preserve">0.706</w:t>
            </w:r>
          </w:p>
        </w:tc>
        <w:tc>
          <w:tcPr/>
          <w:p>
            <w:pPr>
              <w:pStyle w:val="Compact"/>
              <w:jc w:val="right"/>
            </w:pPr>
            <w:r>
              <w:rPr>
                <w:sz w:val="17"/>
              </w:rPr>
              <w:t xml:space="preserve">18.52</w:t>
            </w:r>
          </w:p>
        </w:tc>
        <w:tc>
          <w:tcPr/>
          <w:p>
            <w:pPr>
              <w:pStyle w:val="Compact"/>
              <w:jc w:val="right"/>
            </w:pPr>
            <w:r>
              <w:rPr>
                <w:sz w:val="17"/>
              </w:rPr>
              <w:t xml:space="preserve">28.4%</w:t>
            </w:r>
          </w:p>
        </w:tc>
      </w:tr>
      <w:tr>
        <w:tc>
          <w:tcPr/>
          <w:p>
            <w:pPr>
              <w:pStyle w:val="Compact"/>
              <w:jc w:val="left"/>
            </w:pPr>
            <w:r>
              <w:rPr>
                <w:sz w:val="17"/>
              </w:rPr>
              <w:t xml:space="preserve">last date</w:t>
            </w:r>
          </w:p>
        </w:tc>
        <w:tc>
          <w:tcPr/>
          <w:p>
            <w:pPr>
              <w:pStyle w:val="Compact"/>
              <w:jc w:val="right"/>
            </w:pPr>
            <w:r>
              <w:rPr>
                <w:sz w:val="17"/>
              </w:rPr>
              <w:t xml:space="preserve">30 Sep 2026</w:t>
            </w:r>
          </w:p>
        </w:tc>
        <w:tc>
          <w:tcPr/>
          <w:p>
            <w:pPr>
              <w:pStyle w:val="Compact"/>
              <w:jc w:val="right"/>
            </w:pPr>
            <w:r>
              <w:rPr>
                <w:sz w:val="17"/>
              </w:rPr>
              <w:t xml:space="preserve">5.47</w:t>
            </w:r>
          </w:p>
        </w:tc>
        <w:tc>
          <w:tcPr/>
          <w:p>
            <w:pPr>
              <w:pStyle w:val="Compact"/>
              <w:jc w:val="right"/>
            </w:pPr>
            <w:r>
              <w:rPr>
                <w:sz w:val="17"/>
              </w:rPr>
              <w:t xml:space="preserve">23.50</w:t>
            </w:r>
          </w:p>
        </w:tc>
        <w:tc>
          <w:tcPr/>
          <w:p>
            <w:pPr>
              <w:pStyle w:val="Compact"/>
              <w:jc w:val="right"/>
            </w:pPr>
            <w:r>
              <w:rPr>
                <w:sz w:val="17"/>
              </w:rPr>
              <w:t xml:space="preserve">0.743</w:t>
            </w:r>
          </w:p>
        </w:tc>
        <w:tc>
          <w:tcPr/>
          <w:p>
            <w:pPr>
              <w:pStyle w:val="Compact"/>
              <w:jc w:val="right"/>
            </w:pPr>
            <w:r>
              <w:rPr>
                <w:sz w:val="17"/>
              </w:rPr>
              <w:t xml:space="preserve">19.88</w:t>
            </w:r>
          </w:p>
        </w:tc>
        <w:tc>
          <w:tcPr/>
          <w:p>
            <w:pPr>
              <w:pStyle w:val="Compact"/>
              <w:jc w:val="right"/>
            </w:pPr>
            <w:r>
              <w:rPr>
                <w:sz w:val="17"/>
              </w:rPr>
              <w:t xml:space="preserve">27.5%</w:t>
            </w:r>
          </w:p>
        </w:tc>
      </w:tr>
    </w:tbl>
    <w:p>
      <w:pPr>
        <w:pStyle w:val="CaptionedFigure"/>
      </w:pPr>
      <w:r>
        <w:drawing>
          <wp:inline>
            <wp:extent cx="5334000" cy="3000375"/>
            <wp:effectExtent b="0" l="0" r="0" t="0"/>
            <wp:docPr descr="SIMM-style IM versus the standardised schedule IM." title="" id="45" name="Picture"/>
            <a:graphic>
              <a:graphicData uri="http://schemas.openxmlformats.org/drawingml/2006/picture">
                <pic:pic>
                  <pic:nvPicPr>
                    <pic:cNvPr descr="../python/outputs/charts/simm_vs_schedule.png" id="46" name="Picture"/>
                    <pic:cNvPicPr>
                      <a:picLocks noChangeArrowheads="1" noChangeAspect="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SIMM-style IM versus the standardised schedule IM.</w:t>
      </w:r>
    </w:p>
    <w:p>
      <w:pPr>
        <w:pStyle w:val="BodyText"/>
      </w:pPr>
      <w:r>
        <w:t xml:space="preserve">SIMM is far below the schedule: between 27.5% and 33.7% of the net schedule amount on these dates, and 24.2% of the gross schedule at the valuation date. This is the expected direction (a risk-sensitive model that recognises offsets should be cheaper than a flat conservative schedule, which is the reason firms seek model approval), and the magnitude is plausible, but it comes with two caveats. First, the sample is a hedged, mixed book where offsets are strong. Second, the IM here has not been calibrated against real stressed data. The schedule in this project is a benchmark and a ceiling to compare against, not a validated floor. Had SIMM exceeded the schedule, the pipeline would have raised a finding and not adjusted any number.</w:t>
      </w:r>
    </w:p>
    <w:bookmarkEnd w:id="47"/>
    <w:bookmarkEnd w:id="48"/>
    <w:bookmarkStart w:id="53" w:name="Xec7ae2951fe5a9f80fbf2a4c465b18e03c12c25"/>
    <w:p>
      <w:pPr>
        <w:pStyle w:val="Heading1"/>
      </w:pPr>
      <w:r>
        <w:rPr>
          <w:rStyle w:val="SectionNumber"/>
        </w:rPr>
        <w:t xml:space="preserve">7</w:t>
      </w:r>
      <w:r>
        <w:tab/>
      </w:r>
      <w:r>
        <w:t xml:space="preserve">Historical-simulation VaR IM and the calibration window</w:t>
      </w:r>
    </w:p>
    <w:bookmarkStart w:id="49" w:name="the-idea"/>
    <w:p>
      <w:pPr>
        <w:pStyle w:val="Heading2"/>
      </w:pPr>
      <w:r>
        <w:rPr>
          <w:rStyle w:val="SectionNumber"/>
        </w:rPr>
        <w:t xml:space="preserve">7.1</w:t>
      </w:r>
      <w:r>
        <w:tab/>
      </w:r>
      <w:r>
        <w:t xml:space="preserve">The idea</w:t>
      </w:r>
    </w:p>
    <w:p>
      <w:pPr>
        <w:pStyle w:val="FirstParagraph"/>
      </w:pPr>
      <w:r>
        <w:t xml:space="preserve">SIMM is a parametric approximation. The alternative is to simulate: take the changes in market risk factors that actually happened in a history window, apply them to today's market, fully revalue the portfolio under every scenario, and read off the 99th percentile of the loss. This is historical simulation (HS), and</w:t>
      </w:r>
      <w:r>
        <w:t xml:space="preserve"> </w:t>
      </w:r>
      <w:r>
        <w:rPr>
          <w:rStyle w:val="VerbatimChar"/>
        </w:rPr>
        <w:t xml:space="preserve">var_model.hs_im</w:t>
      </w:r>
      <w:r>
        <w:t xml:space="preserve"> </w:t>
      </w:r>
      <w:r>
        <w:t xml:space="preserve">implements it. It is used here as the champion model for the VaR IM backtest, because its design (99 percent, 10-day, stress included, equally weighted) is exactly the one the regulations describe, and as the benchmark that SIMM is compared with.</w:t>
      </w:r>
    </w:p>
    <w:p>
      <w:pPr>
        <w:pStyle w:val="BodyText"/>
      </w:pPr>
      <w:r>
        <w:t xml:space="preserve">For a date</w:t>
      </w:r>
      <w:r>
        <w:t xml:space="preserve"> </w:t>
      </w:r>
      <m:oMath>
        <m:r>
          <m:t>t</m:t>
        </m:r>
      </m:oMath>
      <w:r>
        <w:t xml:space="preserve"> </w:t>
      </w:r>
      <w:r>
        <w:t xml:space="preserve">and horizon</w:t>
      </w:r>
      <w:r>
        <w:t xml:space="preserve"> </w:t>
      </w:r>
      <m:oMath>
        <m:r>
          <m:t>h</m:t>
        </m:r>
      </m:oMath>
      <w:r>
        <w:t xml:space="preserve"> </w:t>
      </w:r>
      <w:r>
        <w:t xml:space="preserve">days, scenario</w:t>
      </w:r>
      <w:r>
        <w:t xml:space="preserve"> </w:t>
      </w:r>
      <m:oMath>
        <m:r>
          <m:t>s</m:t>
        </m:r>
      </m:oMath>
      <w:r>
        <w:t xml:space="preserve"> </w:t>
      </w:r>
      <w:r>
        <w:t xml:space="preserve">in the window applies the</w:t>
      </w:r>
      <w:r>
        <w:t xml:space="preserve"> </w:t>
      </w:r>
      <m:oMath>
        <m:r>
          <m:t>h</m:t>
        </m:r>
      </m:oMath>
      <w:r>
        <w:t xml:space="preserve">-day change of every factor observed in that scenario's period: additive changes to par and zero rates and the cross-currency basis, and multiplicative (log) changes to FX spots, normal vols and FX vols. The loss under the scenario is</w:t>
      </w:r>
    </w:p>
    <w:p>
      <w:pPr>
        <w:pStyle w:val="BodyText"/>
      </w:pPr>
      <m:oMathPara>
        <m:oMathParaPr>
          <m:jc m:val="center"/>
        </m:oMathParaPr>
        <m:oMath>
          <m:sSub>
            <m:e>
              <m:r>
                <m:t>L</m:t>
              </m:r>
            </m:e>
            <m:sub>
              <m:r>
                <m:t>s</m:t>
              </m:r>
            </m:sub>
          </m:sSub>
          <m:r>
            <m:rPr>
              <m:sty m:val="p"/>
            </m:rPr>
            <m:t>=</m:t>
          </m:r>
          <m:r>
            <m:rPr>
              <m:sty m:val="p"/>
            </m:rPr>
            <m:t>−</m:t>
          </m:r>
          <m:d>
            <m:dPr>
              <m:begChr m:val="["/>
              <m:sepChr m:val=""/>
              <m:endChr m:val="]"/>
              <m:grow/>
            </m:dPr>
            <m:e>
              <m:r>
                <m:t>V</m:t>
              </m:r>
              <m:r>
                <m:rPr>
                  <m:sty m:val="p"/>
                </m:rPr>
                <m:t>(</m:t>
              </m:r>
              <m:sSub>
                <m:e>
                  <m:r>
                    <m:rPr>
                      <m:nor/>
                      <m:sty m:val="p"/>
                    </m:rPr>
                    <m:t>state</m:t>
                  </m:r>
                </m:e>
                <m:sub>
                  <m:r>
                    <m:t>t</m:t>
                  </m:r>
                </m:sub>
              </m:sSub>
              <m:r>
                <m:rPr>
                  <m:sty m:val="p"/>
                </m:rPr>
                <m:t>⊕</m:t>
              </m:r>
              <m:sSub>
                <m:e>
                  <m:r>
                    <m:rPr>
                      <m:sty m:val="p"/>
                    </m:rPr>
                    <m:t>Δ</m:t>
                  </m:r>
                </m:e>
                <m:sub>
                  <m:r>
                    <m:t>s</m:t>
                  </m:r>
                </m:sub>
              </m:sSub>
              <m:r>
                <m:rPr>
                  <m:sty m:val="p"/>
                </m:rPr>
                <m:t>)</m:t>
              </m:r>
              <m:r>
                <m:rPr>
                  <m:sty m:val="p"/>
                </m:rPr>
                <m:t>−</m:t>
              </m:r>
              <m:r>
                <m:t>V</m:t>
              </m:r>
              <m:r>
                <m:rPr>
                  <m:sty m:val="p"/>
                </m:rPr>
                <m:t>(</m:t>
              </m:r>
              <m:sSub>
                <m:e>
                  <m:r>
                    <m:rPr>
                      <m:nor/>
                      <m:sty m:val="p"/>
                    </m:rPr>
                    <m:t>state</m:t>
                  </m:r>
                </m:e>
                <m:sub>
                  <m:r>
                    <m:t>t</m:t>
                  </m:r>
                </m:sub>
              </m:sSub>
              <m:r>
                <m:rPr>
                  <m:sty m:val="p"/>
                </m:rPr>
                <m:t>)</m:t>
              </m:r>
            </m:e>
          </m:d>
          <m:r>
            <m:rPr>
              <m:sty m:val="p"/>
            </m:rPr>
            <m:t>,</m:t>
          </m:r>
        </m:oMath>
      </m:oMathPara>
    </w:p>
    <w:p>
      <w:pPr>
        <w:pStyle w:val="FirstParagraph"/>
      </w:pPr>
      <w:r>
        <w:t xml:space="preserve">with full revaluation of every trade (no sensitivity approximation), and the IM is the 99th percentile of</w:t>
      </w:r>
      <w:r>
        <w:t xml:space="preserve"> </w:t>
      </w:r>
      <m:oMath>
        <m:r>
          <m:rPr>
            <m:sty m:val="p"/>
          </m:rPr>
          <m:t>{</m:t>
        </m:r>
        <m:sSub>
          <m:e>
            <m:r>
              <m:t>L</m:t>
            </m:r>
          </m:e>
          <m:sub>
            <m:r>
              <m:t>s</m:t>
            </m:r>
          </m:sub>
        </m:sSub>
        <m:r>
          <m:rPr>
            <m:sty m:val="p"/>
          </m:rPr>
          <m:t>}</m:t>
        </m:r>
      </m:oMath>
      <w:r>
        <w:t xml:space="preserve"> </w:t>
      </w:r>
      <w:r>
        <w:t xml:space="preserve">under the inverted CDF convention. Overlapping</w:t>
      </w:r>
      <w:r>
        <w:t xml:space="preserve"> </w:t>
      </w:r>
      <m:oMath>
        <m:r>
          <m:t>h</m:t>
        </m:r>
      </m:oMath>
      <w:r>
        <w:t xml:space="preserve">-day changes are used, so a 750-day window has 750 scenarios.</w:t>
      </w:r>
    </w:p>
    <w:bookmarkEnd w:id="49"/>
    <w:bookmarkStart w:id="50" w:name="the-calibration-window-in-the-eu-style"/>
    <w:p>
      <w:pPr>
        <w:pStyle w:val="Heading2"/>
      </w:pPr>
      <w:r>
        <w:rPr>
          <w:rStyle w:val="SectionNumber"/>
        </w:rPr>
        <w:t xml:space="preserve">7.2</w:t>
      </w:r>
      <w:r>
        <w:tab/>
      </w:r>
      <w:r>
        <w:t xml:space="preserve">The calibration window in the EU style</w:t>
      </w:r>
    </w:p>
    <w:p>
      <w:pPr>
        <w:pStyle w:val="FirstParagraph"/>
      </w:pPr>
      <w:r>
        <w:t xml:space="preserve">The window follows the pattern of Article 16 of the EU regulation (Delegated Regulation (EU) 2016/2251, Article 16): the newest</w:t>
      </w:r>
      <w:r>
        <w:t xml:space="preserve"> </w:t>
      </w:r>
      <w:r>
        <w:rPr>
          <w:rStyle w:val="VerbatimChar"/>
        </w:rPr>
        <w:t xml:space="preserve">config.WINDOW_DAYS</w:t>
      </w:r>
      <w:r>
        <w:t xml:space="preserve"> </w:t>
      </w:r>
      <w:r>
        <w:t xml:space="preserve">= 750 days, with equal weights, in which the oldest recent days are replaced by days from the stress window until at least 25 percent of the window is stressed (stressed meaning the regime label is stress, or the day comes from the forced stress window). The code,</w:t>
      </w:r>
      <w:r>
        <w:t xml:space="preserve"> </w:t>
      </w:r>
      <w:r>
        <w:rPr>
          <w:rStyle w:val="VerbatimChar"/>
        </w:rPr>
        <w:t xml:space="preserve">stress_replacement</w:t>
      </w:r>
      <w:r>
        <w:t xml:space="preserve">, finds for each date the smallest number</w:t>
      </w:r>
      <w:r>
        <w:t xml:space="preserve"> </w:t>
      </w:r>
      <m:oMath>
        <m:r>
          <m:t>m</m:t>
        </m:r>
      </m:oMath>
      <w:r>
        <w:t xml:space="preserve"> </w:t>
      </w:r>
      <w:r>
        <w:t xml:space="preserve">of replacements that reaches the 25 percent target. Over the backtest period (from 30 Aug 2021) the window keeps on average 738.9 recent days and adds 11.1 stress-window days; replacement was needed on 20.0% of dates (at most 119 days). The stressed share of the window ranges from 25.1% to 56.4% and averages 39.6%. When the recent history is itself stressed enough, nothing is replaced, which is the intended behaviour: the stress requirement is a floor, not an overlay.</w:t>
      </w:r>
    </w:p>
    <w:bookmarkEnd w:id="50"/>
    <w:bookmarkStart w:id="51" w:name="challenger-models"/>
    <w:p>
      <w:pPr>
        <w:pStyle w:val="Heading2"/>
      </w:pPr>
      <w:r>
        <w:rPr>
          <w:rStyle w:val="SectionNumber"/>
        </w:rPr>
        <w:t xml:space="preserve">7.3</w:t>
      </w:r>
      <w:r>
        <w:tab/>
      </w:r>
      <w:r>
        <w:t xml:space="preserve">Challenger models</w:t>
      </w:r>
    </w:p>
    <w:p>
      <w:pPr>
        <w:pStyle w:val="FirstParagraph"/>
      </w:pPr>
      <w:r>
        <w:t xml:space="preserve">Backtesting a single model tells you only whether it passes. To check that the tests can fail, three deliberately weaker challengers are built from the same revaluation matrix:</w:t>
      </w:r>
    </w:p>
    <w:p>
      <w:pPr>
        <w:pStyle w:val="Compact"/>
        <w:numPr>
          <w:ilvl w:val="0"/>
          <w:numId w:val="1004"/>
        </w:numPr>
      </w:pPr>
      <w:r>
        <w:rPr>
          <w:b/>
          <w:bCs/>
        </w:rPr>
        <w:t xml:space="preserve">EWMA:</w:t>
      </w:r>
      <w:r>
        <w:t xml:space="preserve"> </w:t>
      </w:r>
      <w:r>
        <w:t xml:space="preserve">the newest 250 scenarios weighted by</w:t>
      </w:r>
      <w:r>
        <w:t xml:space="preserve"> </w:t>
      </w:r>
      <m:oMath>
        <m:sSup>
          <m:e>
            <m:r>
              <m:t>λ</m:t>
            </m:r>
          </m:e>
          <m:sup>
            <m:r>
              <m:t>a</m:t>
            </m:r>
            <m:r>
              <m:t>g</m:t>
            </m:r>
            <m:r>
              <m:t>e</m:t>
            </m:r>
          </m:sup>
        </m:sSup>
      </m:oMath>
      <w:r>
        <w:t xml:space="preserve"> </w:t>
      </w:r>
      <w:r>
        <w:t xml:space="preserve">with</w:t>
      </w:r>
      <w:r>
        <w:t xml:space="preserve"> </w:t>
      </w:r>
      <m:oMath>
        <m:r>
          <m:t>λ</m:t>
        </m:r>
        <m:r>
          <m:rPr>
            <m:sty m:val="p"/>
          </m:rPr>
          <m:t>=</m:t>
        </m:r>
        <m:r>
          <m:t>0.97</m:t>
        </m:r>
      </m:oMath>
      <w:r>
        <w:t xml:space="preserve">, so recent scenarios dominate and stress memory fades.</w:t>
      </w:r>
    </w:p>
    <w:p>
      <w:pPr>
        <w:pStyle w:val="Compact"/>
        <w:numPr>
          <w:ilvl w:val="0"/>
          <w:numId w:val="1004"/>
        </w:numPr>
      </w:pPr>
      <w:r>
        <w:rPr>
          <w:b/>
          <w:bCs/>
        </w:rPr>
        <w:t xml:space="preserve">Plain 250-day:</w:t>
      </w:r>
      <w:r>
        <w:t xml:space="preserve"> </w:t>
      </w:r>
      <w:r>
        <w:t xml:space="preserve">the newest 250 scenarios, equally weighted, with no stress replacement.</w:t>
      </w:r>
    </w:p>
    <w:p>
      <w:pPr>
        <w:pStyle w:val="Compact"/>
        <w:numPr>
          <w:ilvl w:val="0"/>
          <w:numId w:val="1004"/>
        </w:numPr>
      </w:pPr>
      <w:r>
        <w:rPr>
          <w:b/>
          <w:bCs/>
        </w:rPr>
        <w:t xml:space="preserve">Champion times 0.7:</w:t>
      </w:r>
      <w:r>
        <w:t xml:space="preserve"> </w:t>
      </w:r>
      <w:r>
        <w:t xml:space="preserve">the champion IM scaled down by 30 percent, an under-margining model on purpose.</w:t>
      </w:r>
    </w:p>
    <w:p>
      <w:pPr>
        <w:pStyle w:val="FirstParagraph"/>
      </w:pPr>
      <w:r>
        <w:t xml:space="preserve">The champion's average 1-day IM over the backtest is USD 1.28 mm and its average 10-day IM is USD 3.93 mm, against USD 4.12 mm for the SIMM-style series.</w:t>
      </w:r>
    </w:p>
    <w:bookmarkEnd w:id="51"/>
    <w:bookmarkStart w:id="52" w:name="Xfdf6ec268e15621c7f5b440709ffbd776125a2a"/>
    <w:p>
      <w:pPr>
        <w:pStyle w:val="Heading2"/>
      </w:pPr>
      <w:r>
        <w:rPr>
          <w:rStyle w:val="SectionNumber"/>
        </w:rPr>
        <w:t xml:space="preserve">7.4</w:t>
      </w:r>
      <w:r>
        <w:tab/>
      </w:r>
      <w:r>
        <w:t xml:space="preserve">The SIMM-style series as a model under test</w:t>
      </w:r>
    </w:p>
    <w:p>
      <w:pPr>
        <w:pStyle w:val="FirstParagraph"/>
      </w:pPr>
      <w:r>
        <w:t xml:space="preserve">SIMM itself is backtested too:</w:t>
      </w:r>
      <w:r>
        <w:t xml:space="preserve"> </w:t>
      </w:r>
      <w:r>
        <w:rPr>
          <w:rStyle w:val="VerbatimChar"/>
        </w:rPr>
        <w:t xml:space="preserve">var_model.daily_simm_series</w:t>
      </w:r>
      <w:r>
        <w:t xml:space="preserve"> </w:t>
      </w:r>
      <w:r>
        <w:t xml:space="preserve">builds a CRIF and a SIMM IM on every date from that date's market with parameter set v2.8+2512 (using the Jacobian method, so the cost is manageable). Its 10-day IM is compared with the 10-day loss of the frozen book. SIMM is less responsive to the market than HS: its standard deviation over the period is USD 0.49 mm against USD 0.91 mm for the champion 10-day IM, and the correlation of the two series is only 0.02. This is a feature of a fixed-parameter, sensitivity-based method (the sensitivities change with the market but the weights do not), and it matters in the Christoffersen tests below.</w:t>
      </w:r>
    </w:p>
    <w:bookmarkEnd w:id="52"/>
    <w:bookmarkEnd w:id="53"/>
    <w:bookmarkStart w:id="60" w:name="backtesting-theory"/>
    <w:p>
      <w:pPr>
        <w:pStyle w:val="Heading1"/>
      </w:pPr>
      <w:r>
        <w:rPr>
          <w:rStyle w:val="SectionNumber"/>
        </w:rPr>
        <w:t xml:space="preserve">8</w:t>
      </w:r>
      <w:r>
        <w:tab/>
      </w:r>
      <w:r>
        <w:t xml:space="preserve">Backtesting theory</w:t>
      </w:r>
    </w:p>
    <w:bookmarkStart w:id="54" w:name="exceptions-and-what-a-backtest-tests"/>
    <w:p>
      <w:pPr>
        <w:pStyle w:val="Heading2"/>
      </w:pPr>
      <w:r>
        <w:rPr>
          <w:rStyle w:val="SectionNumber"/>
        </w:rPr>
        <w:t xml:space="preserve">8.1</w:t>
      </w:r>
      <w:r>
        <w:tab/>
      </w:r>
      <w:r>
        <w:t xml:space="preserve">Exceptions and what a backtest tests</w:t>
      </w:r>
    </w:p>
    <w:p>
      <w:pPr>
        <w:pStyle w:val="FirstParagraph"/>
      </w:pPr>
      <w:r>
        <w:t xml:space="preserve">A VaR model at confidence 99% claims that a loss exceeds the forecast on 1% of days. An</w:t>
      </w:r>
      <w:r>
        <w:t xml:space="preserve"> </w:t>
      </w:r>
      <w:r>
        <w:rPr>
          <w:b/>
          <w:bCs/>
        </w:rPr>
        <w:t xml:space="preserve">exception</w:t>
      </w:r>
      <w:r>
        <w:t xml:space="preserve"> </w:t>
      </w:r>
      <w:r>
        <w:t xml:space="preserve">(or breach) on day</w:t>
      </w:r>
      <w:r>
        <w:t xml:space="preserve"> </w:t>
      </w:r>
      <m:oMath>
        <m:r>
          <m:t>t</m:t>
        </m:r>
      </m:oMath>
      <w:r>
        <w:t xml:space="preserve"> </w:t>
      </w:r>
      <w:r>
        <w:t xml:space="preserve">is</w:t>
      </w:r>
      <w:r>
        <w:t xml:space="preserve"> </w:t>
      </w:r>
      <m:oMath>
        <m:sSub>
          <m:e>
            <m:r>
              <m:t>I</m:t>
            </m:r>
          </m:e>
          <m:sub>
            <m:r>
              <m:t>t</m:t>
            </m:r>
          </m:sub>
        </m:sSub>
        <m:r>
          <m:rPr>
            <m:sty m:val="p"/>
          </m:rPr>
          <m:t>=</m:t>
        </m:r>
        <m:r>
          <m:t>1</m:t>
        </m:r>
      </m:oMath>
      <w:r>
        <w:t xml:space="preserve"> </w:t>
      </w:r>
      <w:r>
        <w:t xml:space="preserve">if the realised loss exceeds the forecast made at the start of the day, else 0. If the model is right,</w:t>
      </w:r>
      <w:r>
        <w:t xml:space="preserve"> </w:t>
      </w:r>
      <m:oMath>
        <m:r>
          <m:rPr>
            <m:sty m:val="p"/>
          </m:rPr>
          <m:t>{</m:t>
        </m:r>
        <m:sSub>
          <m:e>
            <m:r>
              <m:t>I</m:t>
            </m:r>
          </m:e>
          <m:sub>
            <m:r>
              <m:t>t</m:t>
            </m:r>
          </m:sub>
        </m:sSub>
        <m:r>
          <m:rPr>
            <m:sty m:val="p"/>
          </m:rPr>
          <m:t>}</m:t>
        </m:r>
      </m:oMath>
      <w:r>
        <w:t xml:space="preserve"> </w:t>
      </w:r>
      <w:r>
        <w:t xml:space="preserve">is a sequence of independent Bernoulli variables with success probability</w:t>
      </w:r>
      <w:r>
        <w:t xml:space="preserve"> </w:t>
      </w:r>
      <m:oMath>
        <m:r>
          <m:t>p</m:t>
        </m:r>
        <m:r>
          <m:rPr>
            <m:sty m:val="p"/>
          </m:rPr>
          <m:t>=</m:t>
        </m:r>
        <m:r>
          <m:t>1</m:t>
        </m:r>
        <m:r>
          <m:rPr>
            <m:sty m:val="p"/>
          </m:rPr>
          <m:t>−</m:t>
        </m:r>
        <m:r>
          <m:t>0.99</m:t>
        </m:r>
        <m:r>
          <m:rPr>
            <m:sty m:val="p"/>
          </m:rPr>
          <m:t>=</m:t>
        </m:r>
        <m:r>
          <m:t>0.01</m:t>
        </m:r>
      </m:oMath>
      <w:r>
        <w:t xml:space="preserve">. A good backtest therefore checks two things: the proportion of exceptions (unconditional coverage) and whether they are independent over time (no clustering). The sequence of forecasts must be made before the outcome is known; the engine's IM at date</w:t>
      </w:r>
      <w:r>
        <w:t xml:space="preserve"> </w:t>
      </w:r>
      <m:oMath>
        <m:r>
          <m:t>t</m:t>
        </m:r>
      </m:oMath>
      <w:r>
        <w:t xml:space="preserve"> </w:t>
      </w:r>
      <w:r>
        <w:t xml:space="preserve">uses only information up to</w:t>
      </w:r>
      <w:r>
        <w:t xml:space="preserve"> </w:t>
      </w:r>
      <m:oMath>
        <m:r>
          <m:t>t</m:t>
        </m:r>
      </m:oMath>
      <w:r>
        <w:t xml:space="preserve">.</w:t>
      </w:r>
    </w:p>
    <w:p>
      <w:pPr>
        <w:pStyle w:val="BodyText"/>
      </w:pPr>
      <w:r>
        <w:rPr>
          <w:b/>
          <w:bCs/>
        </w:rPr>
        <w:t xml:space="preserve">The P&amp;L definition.</w:t>
      </w:r>
      <w:r>
        <w:t xml:space="preserve"> </w:t>
      </w:r>
      <w:r>
        <w:t xml:space="preserve">The loss is hypothetical: the revaluation of the same frozen trades one or ten days later with constant time to maturity. There are no cash flows, no ageing, no trading. This isolates the market-risk model from operational noise, which is how ISDA and the regulators describe the cleanest test, but it ignores the real behaviour of a live portfolio (finding F-06). BCBS 22 also stresses that backtests should be run on one-day measures, because over ten days portfolio composition changes (BCBS 22, Section II). For that reason the 1-day test is the primary one for the VaR IM, and the 10-day results are reported on two designs, described below.</w:t>
      </w:r>
    </w:p>
    <w:bookmarkEnd w:id="54"/>
    <w:bookmarkStart w:id="55" w:name="kupiecs-proportion-of-failures-test"/>
    <w:p>
      <w:pPr>
        <w:pStyle w:val="Heading2"/>
      </w:pPr>
      <w:r>
        <w:rPr>
          <w:rStyle w:val="SectionNumber"/>
        </w:rPr>
        <w:t xml:space="preserve">8.2</w:t>
      </w:r>
      <w:r>
        <w:tab/>
      </w:r>
      <w:r>
        <w:t xml:space="preserve">Kupiec's proportion of failures test</w:t>
      </w:r>
    </w:p>
    <w:p>
      <w:pPr>
        <w:pStyle w:val="FirstParagraph"/>
      </w:pPr>
      <w:r>
        <w:t xml:space="preserve">Let</w:t>
      </w:r>
      <w:r>
        <w:t xml:space="preserve"> </w:t>
      </w:r>
      <m:oMath>
        <m:r>
          <m:t>n</m:t>
        </m:r>
      </m:oMath>
      <w:r>
        <w:t xml:space="preserve"> </w:t>
      </w:r>
      <w:r>
        <w:t xml:space="preserve">be the number of observations and</w:t>
      </w:r>
      <w:r>
        <w:t xml:space="preserve"> </w:t>
      </w:r>
      <m:oMath>
        <m:r>
          <m:t>x</m:t>
        </m:r>
      </m:oMath>
      <w:r>
        <w:t xml:space="preserve"> </w:t>
      </w:r>
      <w:r>
        <w:t xml:space="preserve">the number of exceptions. Under the null,</w:t>
      </w:r>
      <w:r>
        <w:t xml:space="preserve"> </w:t>
      </w:r>
      <m:oMath>
        <m:r>
          <m:t>x</m:t>
        </m:r>
        <m:r>
          <m:rPr>
            <m:sty m:val="p"/>
          </m:rPr>
          <m:t>∼</m:t>
        </m:r>
        <m:r>
          <m:rPr>
            <m:nor/>
            <m:sty m:val="p"/>
          </m:rPr>
          <m:t>Binomial</m:t>
        </m:r>
        <m:r>
          <m:rPr>
            <m:sty m:val="p"/>
          </m:rPr>
          <m:t>(</m:t>
        </m:r>
        <m:r>
          <m:t>n</m:t>
        </m:r>
        <m:r>
          <m:rPr>
            <m:sty m:val="p"/>
          </m:rPr>
          <m:t>,</m:t>
        </m:r>
        <m:r>
          <m:t>p</m:t>
        </m:r>
        <m:r>
          <m:rPr>
            <m:sty m:val="p"/>
          </m:rPr>
          <m:t>)</m:t>
        </m:r>
      </m:oMath>
      <w:r>
        <w:t xml:space="preserve">. The likelihood ratio between the null and the best-fitting rate</w:t>
      </w:r>
      <w:r>
        <w:t xml:space="preserve"> </w:t>
      </w:r>
      <m:oMath>
        <m:acc>
          <m:accPr>
            <m:chr m:val="̂"/>
          </m:accPr>
          <m:e>
            <m:r>
              <m:t>p</m:t>
            </m:r>
          </m:e>
        </m:acc>
        <m:r>
          <m:rPr>
            <m:sty m:val="p"/>
          </m:rPr>
          <m:t>=</m:t>
        </m:r>
        <m:r>
          <m:t>x</m:t>
        </m:r>
        <m:r>
          <m:rPr>
            <m:sty m:val="p"/>
          </m:rPr>
          <m:t>/</m:t>
        </m:r>
        <m:r>
          <m:t>n</m:t>
        </m:r>
      </m:oMath>
      <w:r>
        <w:t xml:space="preserve"> </w:t>
      </w:r>
      <w:r>
        <w:t xml:space="preserve">is</w:t>
      </w:r>
    </w:p>
    <w:p>
      <w:pPr>
        <w:pStyle w:val="BodyText"/>
      </w:pPr>
      <m:oMathPara>
        <m:oMathParaPr>
          <m:jc m:val="center"/>
        </m:oMathParaPr>
        <m:oMath>
          <m:r>
            <m:t>L</m:t>
          </m:r>
          <m:sSub>
            <m:e>
              <m:r>
                <m:t>R</m:t>
              </m:r>
            </m:e>
            <m:sub>
              <m:r>
                <m:t>P</m:t>
              </m:r>
              <m:r>
                <m:t>O</m:t>
              </m:r>
              <m:r>
                <m:t>F</m:t>
              </m:r>
            </m:sub>
          </m:sSub>
          <m:r>
            <m:rPr>
              <m:sty m:val="p"/>
            </m:rPr>
            <m:t>=</m:t>
          </m:r>
          <m:r>
            <m:rPr>
              <m:sty m:val="p"/>
            </m:rPr>
            <m:t>−</m:t>
          </m:r>
          <m:r>
            <m:t>2</m:t>
          </m:r>
          <m:r>
            <m:rPr>
              <m:sty m:val="p"/>
            </m:rPr>
            <m:t>ln</m:t>
          </m:r>
          <m:r>
            <m:t>​</m:t>
          </m:r>
          <m:d>
            <m:dPr>
              <m:begChr m:val="["/>
              <m:sepChr m:val=""/>
              <m:endChr m:val="]"/>
              <m:grow/>
            </m:dPr>
            <m:e>
              <m:r>
                <m:rPr>
                  <m:sty m:val="p"/>
                </m:rPr>
                <m:t>(</m:t>
              </m:r>
              <m:r>
                <m:t>1</m:t>
              </m:r>
              <m:r>
                <m:rPr>
                  <m:sty m:val="p"/>
                </m:rPr>
                <m:t>−</m:t>
              </m:r>
              <m:r>
                <m:t>p</m:t>
              </m:r>
              <m:sSup>
                <m:e>
                  <m:r>
                    <m:rPr>
                      <m:sty m:val="p"/>
                    </m:rPr>
                    <m:t>)</m:t>
                  </m:r>
                </m:e>
                <m:sup>
                  <m:r>
                    <m:t>n</m:t>
                  </m:r>
                  <m:r>
                    <m:rPr>
                      <m:sty m:val="p"/>
                    </m:rPr>
                    <m:t>−</m:t>
                  </m:r>
                  <m:r>
                    <m:t>x</m:t>
                  </m:r>
                </m:sup>
              </m:sSup>
              <m:r>
                <m:t> </m:t>
              </m:r>
              <m:sSup>
                <m:e>
                  <m:r>
                    <m:t>p</m:t>
                  </m:r>
                </m:e>
                <m:sup>
                  <m:r>
                    <m:t>x</m:t>
                  </m:r>
                </m:sup>
              </m:sSup>
            </m:e>
          </m:d>
          <m:r>
            <m:rPr>
              <m:sty m:val="p"/>
            </m:rPr>
            <m:t>+</m:t>
          </m:r>
          <m:r>
            <m:t>2</m:t>
          </m:r>
          <m:r>
            <m:rPr>
              <m:sty m:val="p"/>
            </m:rPr>
            <m:t>ln</m:t>
          </m:r>
          <m:r>
            <m:t>​</m:t>
          </m:r>
          <m:d>
            <m:dPr>
              <m:begChr m:val="["/>
              <m:sepChr m:val=""/>
              <m:endChr m:val="]"/>
              <m:grow/>
            </m:dPr>
            <m:e>
              <m:sSup>
                <m:e>
                  <m:d>
                    <m:dPr>
                      <m:begChr m:val="("/>
                      <m:sepChr m:val=""/>
                      <m:endChr m:val=")"/>
                      <m:grow/>
                    </m:dPr>
                    <m:e>
                      <m:r>
                        <m:t>1</m:t>
                      </m:r>
                      <m:r>
                        <m:rPr>
                          <m:sty m:val="p"/>
                        </m:rPr>
                        <m:t>−</m:t>
                      </m:r>
                      <m:f>
                        <m:fPr>
                          <m:type m:val="lin"/>
                        </m:fPr>
                        <m:num>
                          <m:r>
                            <m:t>x</m:t>
                          </m:r>
                        </m:num>
                        <m:den>
                          <m:r>
                            <m:t>n</m:t>
                          </m:r>
                        </m:den>
                      </m:f>
                    </m:e>
                  </m:d>
                </m:e>
                <m:sup>
                  <m:r>
                    <m:t>n</m:t>
                  </m:r>
                  <m:r>
                    <m:rPr>
                      <m:sty m:val="p"/>
                    </m:rPr>
                    <m:t>−</m:t>
                  </m:r>
                  <m:r>
                    <m:t>x</m:t>
                  </m:r>
                </m:sup>
              </m:sSup>
              <m:sSup>
                <m:e>
                  <m:d>
                    <m:dPr>
                      <m:begChr m:val="("/>
                      <m:sepChr m:val=""/>
                      <m:endChr m:val=")"/>
                      <m:grow/>
                    </m:dPr>
                    <m:e>
                      <m:f>
                        <m:fPr>
                          <m:type m:val="lin"/>
                        </m:fPr>
                        <m:num>
                          <m:r>
                            <m:t>x</m:t>
                          </m:r>
                        </m:num>
                        <m:den>
                          <m:r>
                            <m:t>n</m:t>
                          </m:r>
                        </m:den>
                      </m:f>
                    </m:e>
                  </m:d>
                </m:e>
                <m:sup>
                  <m:r>
                    <m:t>x</m:t>
                  </m:r>
                </m:sup>
              </m:sSup>
            </m:e>
          </m:d>
          <m:r>
            <m:rPr>
              <m:sty m:val="p"/>
            </m:rPr>
            <m:t>,</m:t>
          </m:r>
        </m:oMath>
      </m:oMathPara>
    </w:p>
    <w:p>
      <w:pPr>
        <w:pStyle w:val="FirstParagraph"/>
      </w:pPr>
      <w:r>
        <w:t xml:space="preserve">asymptotically</w:t>
      </w:r>
      <w:r>
        <w:t xml:space="preserve"> </w:t>
      </w:r>
      <m:oMath>
        <m:sSup>
          <m:e>
            <m:r>
              <m:t>χ</m:t>
            </m:r>
          </m:e>
          <m:sup>
            <m:r>
              <m:t>2</m:t>
            </m:r>
          </m:sup>
        </m:sSup>
      </m:oMath>
      <w:r>
        <w:t xml:space="preserve"> </w:t>
      </w:r>
      <w:r>
        <w:t xml:space="preserve">with one degree of freedom (Kupiec 1995, J. Derivatives vol 3 no 2, 73-84). With the convention</w:t>
      </w:r>
      <w:r>
        <w:t xml:space="preserve"> </w:t>
      </w:r>
      <m:oMath>
        <m:r>
          <m:t>0</m:t>
        </m:r>
        <m:r>
          <m:rPr>
            <m:sty m:val="p"/>
          </m:rPr>
          <m:t>ln</m:t>
        </m:r>
        <m:r>
          <m:t>0</m:t>
        </m:r>
        <m:r>
          <m:rPr>
            <m:sty m:val="p"/>
          </m:rPr>
          <m:t>=</m:t>
        </m:r>
        <m:r>
          <m:t>0</m:t>
        </m:r>
      </m:oMath>
      <w:r>
        <w:t xml:space="preserve"> </w:t>
      </w:r>
      <w:r>
        <w:t xml:space="preserve">it is also defined when</w:t>
      </w:r>
      <w:r>
        <w:t xml:space="preserve"> </w:t>
      </w:r>
      <m:oMath>
        <m:r>
          <m:t>x</m:t>
        </m:r>
        <m:r>
          <m:rPr>
            <m:sty m:val="p"/>
          </m:rPr>
          <m:t>=</m:t>
        </m:r>
        <m:r>
          <m:t>0</m:t>
        </m:r>
      </m:oMath>
      <w:r>
        <w:t xml:space="preserve">. The test rejects both too many and too few exceptions: a model that is far too conservative fails as well. At</w:t>
      </w:r>
      <w:r>
        <w:t xml:space="preserve"> </w:t>
      </w:r>
      <m:oMath>
        <m:r>
          <m:t>n</m:t>
        </m:r>
        <m:r>
          <m:rPr>
            <m:sty m:val="p"/>
          </m:rPr>
          <m:t>=</m:t>
        </m:r>
        <m:r>
          <m:t>250</m:t>
        </m:r>
      </m:oMath>
      <w:r>
        <w:t xml:space="preserve"> </w:t>
      </w:r>
      <w:r>
        <w:t xml:space="preserve">and</w:t>
      </w:r>
      <w:r>
        <w:t xml:space="preserve"> </w:t>
      </w:r>
      <m:oMath>
        <m:r>
          <m:t>x</m:t>
        </m:r>
        <m:r>
          <m:rPr>
            <m:sty m:val="p"/>
          </m:rPr>
          <m:t>=</m:t>
        </m:r>
        <m:r>
          <m:t>0</m:t>
        </m:r>
      </m:oMath>
      <w:r>
        <w:t xml:space="preserve"> </w:t>
      </w:r>
      <w:r>
        <w:t xml:space="preserve">the statistic is 5.0252 with p-value 0.0250, which is below 5%, so even a perfectly safe-looking year with no exceptions rejects the hypothesis of exactly 1% coverage.</w:t>
      </w:r>
    </w:p>
    <w:p>
      <w:pPr>
        <w:pStyle w:val="BodyText"/>
      </w:pPr>
      <w:r>
        <w:rPr>
          <w:b/>
          <w:bCs/>
        </w:rPr>
        <w:t xml:space="preserve">Worked example (champion, 1 day).</w:t>
      </w:r>
      <w:r>
        <w:t xml:space="preserve"> </w:t>
      </w:r>
      <w:r>
        <w:t xml:space="preserve">With</w:t>
      </w:r>
      <w:r>
        <w:t xml:space="preserve"> </w:t>
      </w:r>
      <m:oMath>
        <m:r>
          <m:t>n</m:t>
        </m:r>
        <m:r>
          <m:rPr>
            <m:sty m:val="p"/>
          </m:rPr>
          <m:t>=</m:t>
        </m:r>
        <m:r>
          <m:t>1</m:t>
        </m:r>
        <m:r>
          <m:rPr>
            <m:sty m:val="p"/>
          </m:rPr>
          <m:t>,</m:t>
        </m:r>
        <m:r>
          <m:t>327</m:t>
        </m:r>
      </m:oMath>
      <w:r>
        <w:t xml:space="preserve"> </w:t>
      </w:r>
      <w:r>
        <w:t xml:space="preserve">and</w:t>
      </w:r>
      <w:r>
        <w:t xml:space="preserve"> </w:t>
      </w:r>
      <m:oMath>
        <m:r>
          <m:t>x</m:t>
        </m:r>
        <m:r>
          <m:rPr>
            <m:sty m:val="p"/>
          </m:rPr>
          <m:t>=</m:t>
        </m:r>
        <m:r>
          <m:t>18</m:t>
        </m:r>
      </m:oMath>
      <w:r>
        <w:t xml:space="preserve"> </w:t>
      </w:r>
      <w:r>
        <w:t xml:space="preserve">the observed rate is</w:t>
      </w:r>
      <w:r>
        <w:t xml:space="preserve"> </w:t>
      </w:r>
      <m:oMath>
        <m:acc>
          <m:accPr>
            <m:chr m:val="̂"/>
          </m:accPr>
          <m:e>
            <m:r>
              <m:t>p</m:t>
            </m:r>
          </m:e>
        </m:acc>
        <m:r>
          <m:rPr>
            <m:sty m:val="p"/>
          </m:rPr>
          <m:t>=</m:t>
        </m:r>
        <m:r>
          <m:t>1.356</m:t>
        </m:r>
      </m:oMath>
      <w:r>
        <w:t xml:space="preserve"> </w:t>
      </w:r>
      <w:r>
        <w:t xml:space="preserve">against</w:t>
      </w:r>
      <w:r>
        <w:t xml:space="preserve"> </w:t>
      </w:r>
      <m:oMath>
        <m:r>
          <m:t>p</m:t>
        </m:r>
        <m:r>
          <m:rPr>
            <m:sty m:val="p"/>
          </m:rPr>
          <m:t>=</m:t>
        </m:r>
        <m:r>
          <m:t>1</m:t>
        </m:r>
        <m:r>
          <m:rPr>
            <m:sty m:val="p"/>
          </m:rPr>
          <m:t>%</m:t>
        </m:r>
      </m:oMath>
      <w:r>
        <w:t xml:space="preserve">, and the expected number of exceptions is 13.27. The log likelihoods are</w:t>
      </w:r>
    </w:p>
    <w:p>
      <w:pPr>
        <w:pStyle w:val="BodyText"/>
      </w:pPr>
      <m:oMathPara>
        <m:oMathParaPr>
          <m:jc m:val="center"/>
        </m:oMathParaPr>
        <m:oMath>
          <m:r>
            <m:rPr>
              <m:sty m:val="p"/>
            </m:rPr>
            <m:t>ln</m:t>
          </m:r>
          <m:sSub>
            <m:e>
              <m:r>
                <m:t>L</m:t>
              </m:r>
            </m:e>
            <m:sub>
              <m:r>
                <m:t>0</m:t>
              </m:r>
            </m:sub>
          </m:sSub>
          <m:r>
            <m:rPr>
              <m:sty m:val="p"/>
            </m:rPr>
            <m:t>=</m:t>
          </m:r>
          <m:r>
            <m:rPr>
              <m:sty m:val="p"/>
            </m:rPr>
            <m:t>(</m:t>
          </m:r>
          <m:r>
            <m:t>n</m:t>
          </m:r>
          <m:r>
            <m:rPr>
              <m:sty m:val="p"/>
            </m:rPr>
            <m:t>−</m:t>
          </m:r>
          <m:r>
            <m:t>x</m:t>
          </m:r>
          <m:r>
            <m:rPr>
              <m:sty m:val="p"/>
            </m:rPr>
            <m:t>)</m:t>
          </m:r>
          <m:r>
            <m:rPr>
              <m:sty m:val="p"/>
            </m:rPr>
            <m:t>ln</m:t>
          </m:r>
          <m:r>
            <m:t>0.99</m:t>
          </m:r>
          <m:r>
            <m:rPr>
              <m:sty m:val="p"/>
            </m:rPr>
            <m:t>+</m:t>
          </m:r>
          <m:r>
            <m:t>x</m:t>
          </m:r>
          <m:r>
            <m:rPr>
              <m:sty m:val="p"/>
            </m:rPr>
            <m:t>ln</m:t>
          </m:r>
          <m:r>
            <m:t>0.01</m:t>
          </m:r>
          <m:r>
            <m:rPr>
              <m:sty m:val="p"/>
            </m:rPr>
            <m:t>=</m:t>
          </m:r>
          <m:r>
            <m:rPr>
              <m:sty m:val="p"/>
            </m:rPr>
            <m:t>−</m:t>
          </m:r>
          <m:r>
            <m:t>96.049</m:t>
          </m:r>
          <m:r>
            <m:rPr>
              <m:sty m:val="p"/>
            </m:rPr>
            <m:t>,</m:t>
          </m:r>
          <m:r>
            <m:t>  </m:t>
          </m:r>
          <m:r>
            <m:rPr>
              <m:sty m:val="p"/>
            </m:rPr>
            <m:t>ln</m:t>
          </m:r>
          <m:sSub>
            <m:e>
              <m:r>
                <m:t>L</m:t>
              </m:r>
            </m:e>
            <m:sub>
              <m:r>
                <m:t>1</m:t>
              </m:r>
            </m:sub>
          </m:sSub>
          <m:r>
            <m:rPr>
              <m:sty m:val="p"/>
            </m:rPr>
            <m:t>=</m:t>
          </m:r>
          <m:r>
            <m:rPr>
              <m:sty m:val="p"/>
            </m:rPr>
            <m:t>(</m:t>
          </m:r>
          <m:r>
            <m:t>n</m:t>
          </m:r>
          <m:r>
            <m:rPr>
              <m:sty m:val="p"/>
            </m:rPr>
            <m:t>−</m:t>
          </m:r>
          <m:r>
            <m:t>x</m:t>
          </m:r>
          <m:r>
            <m:rPr>
              <m:sty m:val="p"/>
            </m:rPr>
            <m:t>)</m:t>
          </m:r>
          <m:r>
            <m:rPr>
              <m:sty m:val="p"/>
            </m:rPr>
            <m:t>ln</m:t>
          </m:r>
          <m:r>
            <m:rPr>
              <m:sty m:val="p"/>
            </m:rPr>
            <m:t>(</m:t>
          </m:r>
          <m:r>
            <m:t>1</m:t>
          </m:r>
          <m:r>
            <m:rPr>
              <m:sty m:val="p"/>
            </m:rPr>
            <m:t>−</m:t>
          </m:r>
          <m:acc>
            <m:accPr>
              <m:chr m:val="̂"/>
            </m:accPr>
            <m:e>
              <m:r>
                <m:t>p</m:t>
              </m:r>
            </m:e>
          </m:acc>
          <m:r>
            <m:rPr>
              <m:sty m:val="p"/>
            </m:rPr>
            <m:t>)</m:t>
          </m:r>
          <m:r>
            <m:rPr>
              <m:sty m:val="p"/>
            </m:rPr>
            <m:t>+</m:t>
          </m:r>
          <m:r>
            <m:t>x</m:t>
          </m:r>
          <m:r>
            <m:rPr>
              <m:sty m:val="p"/>
            </m:rPr>
            <m:t>ln</m:t>
          </m:r>
          <m:acc>
            <m:accPr>
              <m:chr m:val="̂"/>
            </m:accPr>
            <m:e>
              <m:r>
                <m:t>p</m:t>
              </m:r>
            </m:e>
          </m:acc>
          <m:r>
            <m:rPr>
              <m:sty m:val="p"/>
            </m:rPr>
            <m:t>=</m:t>
          </m:r>
          <m:r>
            <m:rPr>
              <m:sty m:val="p"/>
            </m:rPr>
            <m:t>−</m:t>
          </m:r>
          <m:r>
            <m:t>95.283</m:t>
          </m:r>
          <m:r>
            <m:rPr>
              <m:sty m:val="p"/>
            </m:rPr>
            <m:t>,</m:t>
          </m:r>
        </m:oMath>
      </m:oMathPara>
    </w:p>
    <w:p>
      <w:pPr>
        <w:pStyle w:val="FirstParagraph"/>
      </w:pPr>
      <w:r>
        <w:t xml:space="preserve">so</w:t>
      </w:r>
      <w:r>
        <w:t xml:space="preserve"> </w:t>
      </w:r>
      <m:oMath>
        <m:r>
          <m:t>L</m:t>
        </m:r>
        <m:sSub>
          <m:e>
            <m:r>
              <m:t>R</m:t>
            </m:r>
          </m:e>
          <m:sub>
            <m:r>
              <m:t>P</m:t>
            </m:r>
            <m:r>
              <m:t>O</m:t>
            </m:r>
            <m:r>
              <m:t>F</m:t>
            </m:r>
          </m:sub>
        </m:sSub>
        <m:r>
          <m:rPr>
            <m:sty m:val="p"/>
          </m:rPr>
          <m:t>=</m:t>
        </m:r>
        <m:r>
          <m:t>2</m:t>
        </m:r>
        <m:r>
          <m:rPr>
            <m:sty m:val="p"/>
          </m:rPr>
          <m:t>(</m:t>
        </m:r>
        <m:r>
          <m:rPr>
            <m:sty m:val="p"/>
          </m:rPr>
          <m:t>ln</m:t>
        </m:r>
        <m:sSub>
          <m:e>
            <m:r>
              <m:t>L</m:t>
            </m:r>
          </m:e>
          <m:sub>
            <m:r>
              <m:t>1</m:t>
            </m:r>
          </m:sub>
        </m:sSub>
        <m:r>
          <m:rPr>
            <m:sty m:val="p"/>
          </m:rPr>
          <m:t>−</m:t>
        </m:r>
        <m:r>
          <m:rPr>
            <m:sty m:val="p"/>
          </m:rPr>
          <m:t>ln</m:t>
        </m:r>
        <m:sSub>
          <m:e>
            <m:r>
              <m:t>L</m:t>
            </m:r>
          </m:e>
          <m:sub>
            <m:r>
              <m:t>0</m:t>
            </m:r>
          </m:sub>
        </m:sSub>
        <m:r>
          <m:rPr>
            <m:sty m:val="p"/>
          </m:rPr>
          <m:t>)</m:t>
        </m:r>
        <m:r>
          <m:rPr>
            <m:sty m:val="p"/>
          </m:rPr>
          <m:t>=</m:t>
        </m:r>
        <m:r>
          <m:t>1.5322</m:t>
        </m:r>
      </m:oMath>
      <w:r>
        <w:t xml:space="preserve">. The 5% critical value of</w:t>
      </w:r>
      <w:r>
        <w:t xml:space="preserve"> </w:t>
      </w:r>
      <m:oMath>
        <m:sSubSup>
          <m:e>
            <m:r>
              <m:t>χ</m:t>
            </m:r>
          </m:e>
          <m:sub>
            <m:r>
              <m:t>1</m:t>
            </m:r>
          </m:sub>
          <m:sup>
            <m:r>
              <m:t>2</m:t>
            </m:r>
          </m:sup>
        </m:sSubSup>
      </m:oMath>
      <w:r>
        <w:t xml:space="preserve"> </w:t>
      </w:r>
      <w:r>
        <w:t xml:space="preserve">is 3.841; the statistic is below it, and the p-value is 0.2158. Kupiec does not reject. This matches the engine and the table of results (the build asserts it).</w:t>
      </w:r>
    </w:p>
    <w:p>
      <w:pPr>
        <w:pStyle w:val="BodyText"/>
      </w:pPr>
      <w:r>
        <w:t xml:space="preserve">The formula was checked against Federal Reserve restatements and independent numeric references (closed forms at</w:t>
      </w:r>
      <w:r>
        <w:t xml:space="preserve"> </w:t>
      </w:r>
      <m:oMath>
        <m:r>
          <m:t>x</m:t>
        </m:r>
        <m:r>
          <m:rPr>
            <m:sty m:val="p"/>
          </m:rPr>
          <m:t>=</m:t>
        </m:r>
        <m:r>
          <m:t>0</m:t>
        </m:r>
      </m:oMath>
      <w:r>
        <w:t xml:space="preserve"> </w:t>
      </w:r>
      <w:r>
        <w:t xml:space="preserve">and</w:t>
      </w:r>
      <w:r>
        <w:t xml:space="preserve"> </w:t>
      </w:r>
      <m:oMath>
        <m:r>
          <m:t>x</m:t>
        </m:r>
        <m:r>
          <m:rPr>
            <m:sty m:val="p"/>
          </m:rPr>
          <m:t>=</m:t>
        </m:r>
        <m:r>
          <m:t>n</m:t>
        </m:r>
      </m:oMath>
      <w:r>
        <w:t xml:space="preserve">, a likelihood-ratio computed with</w:t>
      </w:r>
      <w:r>
        <w:t xml:space="preserve"> </w:t>
      </w:r>
      <w:r>
        <w:rPr>
          <w:rStyle w:val="VerbatimChar"/>
        </w:rPr>
        <w:t xml:space="preserve">scipy.stats.binom.logpmf</w:t>
      </w:r>
      <w:r>
        <w:t xml:space="preserve">, a simulation of the test size); the original paper could not be retrieved. The 250-day version over-rejects because the binomial is discrete: the exact rejection rate at nominal 5% is 9.5% for</w:t>
      </w:r>
      <w:r>
        <w:t xml:space="preserve"> </w:t>
      </w:r>
      <m:oMath>
        <m:r>
          <m:t>n</m:t>
        </m:r>
        <m:r>
          <m:rPr>
            <m:sty m:val="p"/>
          </m:rPr>
          <m:t>=</m:t>
        </m:r>
        <m:r>
          <m:t>250</m:t>
        </m:r>
      </m:oMath>
      <w:r>
        <w:t xml:space="preserve">, 5.5% for</w:t>
      </w:r>
      <w:r>
        <w:t xml:space="preserve"> </w:t>
      </w:r>
      <m:oMath>
        <m:r>
          <m:t>n</m:t>
        </m:r>
        <m:r>
          <m:rPr>
            <m:sty m:val="p"/>
          </m:rPr>
          <m:t>=</m:t>
        </m:r>
        <m:r>
          <m:t>1000</m:t>
        </m:r>
      </m:oMath>
      <w:r>
        <w:t xml:space="preserve"> </w:t>
      </w:r>
      <w:r>
        <w:t xml:space="preserve">and 4.4% for</w:t>
      </w:r>
      <w:r>
        <w:t xml:space="preserve"> </w:t>
      </w:r>
      <m:oMath>
        <m:r>
          <m:t>n</m:t>
        </m:r>
        <m:r>
          <m:rPr>
            <m:sty m:val="p"/>
          </m:rPr>
          <m:t>=</m:t>
        </m:r>
        <m:r>
          <m:t>2500</m:t>
        </m:r>
      </m:oMath>
      <w:r>
        <w:t xml:space="preserve">.</w:t>
      </w:r>
    </w:p>
    <w:bookmarkEnd w:id="55"/>
    <w:bookmarkStart w:id="56" w:name="Xf435453efaa6d4fc1fb30bea6d19fe34f192a46"/>
    <w:p>
      <w:pPr>
        <w:pStyle w:val="Heading2"/>
      </w:pPr>
      <w:r>
        <w:rPr>
          <w:rStyle w:val="SectionNumber"/>
        </w:rPr>
        <w:t xml:space="preserve">8.3</w:t>
      </w:r>
      <w:r>
        <w:tab/>
      </w:r>
      <w:r>
        <w:t xml:space="preserve">Christoffersen's independence and conditional coverage tests</w:t>
      </w:r>
    </w:p>
    <w:p>
      <w:pPr>
        <w:pStyle w:val="FirstParagraph"/>
      </w:pPr>
      <w:r>
        <w:t xml:space="preserve">Kupiec ignores timing. A model whose exceptions all fall in one week may have the right count but is clearly wrong: it fails to react when volatility jumps. Christoffersen tests this with a first-order Markov alternative (Christoffersen 1998, International Economic Review vol 39 no 4, 841-862). Count the transitions between consecutive days:</w:t>
      </w:r>
      <w:r>
        <w:t xml:space="preserve"> </w:t>
      </w:r>
      <m:oMath>
        <m:sSub>
          <m:e>
            <m:r>
              <m:t>n</m:t>
            </m:r>
          </m:e>
          <m:sub>
            <m:r>
              <m:t>i</m:t>
            </m:r>
            <m:r>
              <m:t>j</m:t>
            </m:r>
          </m:sub>
        </m:sSub>
      </m:oMath>
      <w:r>
        <w:t xml:space="preserve"> </w:t>
      </w:r>
      <w:r>
        <w:t xml:space="preserve">is the number of days with state</w:t>
      </w:r>
      <w:r>
        <w:t xml:space="preserve"> </w:t>
      </w:r>
      <m:oMath>
        <m:r>
          <m:t>j</m:t>
        </m:r>
      </m:oMath>
      <w:r>
        <w:t xml:space="preserve"> </w:t>
      </w:r>
      <w:r>
        <w:t xml:space="preserve">following state</w:t>
      </w:r>
      <w:r>
        <w:t xml:space="preserve"> </w:t>
      </w:r>
      <m:oMath>
        <m:r>
          <m:t>i</m:t>
        </m:r>
      </m:oMath>
      <w:r>
        <w:t xml:space="preserve"> </w:t>
      </w:r>
      <w:r>
        <w:t xml:space="preserve">(0 = no exception, 1 = exception). Estimate</w:t>
      </w:r>
      <w:r>
        <w:t xml:space="preserve"> </w:t>
      </w:r>
      <m:oMath>
        <m:sSub>
          <m:e>
            <m:acc>
              <m:accPr>
                <m:chr m:val="̂"/>
              </m:accPr>
              <m:e>
                <m:r>
                  <m:t>π</m:t>
                </m:r>
              </m:e>
            </m:acc>
          </m:e>
          <m:sub>
            <m:r>
              <m:t>01</m:t>
            </m:r>
          </m:sub>
        </m:sSub>
        <m:r>
          <m:rPr>
            <m:sty m:val="p"/>
          </m:rPr>
          <m:t>=</m:t>
        </m:r>
        <m:sSub>
          <m:e>
            <m:r>
              <m:t>n</m:t>
            </m:r>
          </m:e>
          <m:sub>
            <m:r>
              <m:t>01</m:t>
            </m:r>
          </m:sub>
        </m:sSub>
        <m:r>
          <m:rPr>
            <m:sty m:val="p"/>
          </m:rPr>
          <m:t>/</m:t>
        </m:r>
        <m:r>
          <m:rPr>
            <m:sty m:val="p"/>
          </m:rPr>
          <m:t>(</m:t>
        </m:r>
        <m:sSub>
          <m:e>
            <m:r>
              <m:t>n</m:t>
            </m:r>
          </m:e>
          <m:sub>
            <m:r>
              <m:t>00</m:t>
            </m:r>
          </m:sub>
        </m:sSub>
        <m:r>
          <m:rPr>
            <m:sty m:val="p"/>
          </m:rPr>
          <m:t>+</m:t>
        </m:r>
        <m:sSub>
          <m:e>
            <m:r>
              <m:t>n</m:t>
            </m:r>
          </m:e>
          <m:sub>
            <m:r>
              <m:t>01</m:t>
            </m:r>
          </m:sub>
        </m:sSub>
        <m:r>
          <m:rPr>
            <m:sty m:val="p"/>
          </m:rPr>
          <m:t>)</m:t>
        </m:r>
      </m:oMath>
      <w:r>
        <w:t xml:space="preserve">,</w:t>
      </w:r>
      <w:r>
        <w:t xml:space="preserve"> </w:t>
      </w:r>
      <m:oMath>
        <m:sSub>
          <m:e>
            <m:acc>
              <m:accPr>
                <m:chr m:val="̂"/>
              </m:accPr>
              <m:e>
                <m:r>
                  <m:t>π</m:t>
                </m:r>
              </m:e>
            </m:acc>
          </m:e>
          <m:sub>
            <m:r>
              <m:t>11</m:t>
            </m:r>
          </m:sub>
        </m:sSub>
        <m:r>
          <m:rPr>
            <m:sty m:val="p"/>
          </m:rPr>
          <m:t>=</m:t>
        </m:r>
        <m:sSub>
          <m:e>
            <m:r>
              <m:t>n</m:t>
            </m:r>
          </m:e>
          <m:sub>
            <m:r>
              <m:t>11</m:t>
            </m:r>
          </m:sub>
        </m:sSub>
        <m:r>
          <m:rPr>
            <m:sty m:val="p"/>
          </m:rPr>
          <m:t>/</m:t>
        </m:r>
        <m:r>
          <m:rPr>
            <m:sty m:val="p"/>
          </m:rPr>
          <m:t>(</m:t>
        </m:r>
        <m:sSub>
          <m:e>
            <m:r>
              <m:t>n</m:t>
            </m:r>
          </m:e>
          <m:sub>
            <m:r>
              <m:t>10</m:t>
            </m:r>
          </m:sub>
        </m:sSub>
        <m:r>
          <m:rPr>
            <m:sty m:val="p"/>
          </m:rPr>
          <m:t>+</m:t>
        </m:r>
        <m:sSub>
          <m:e>
            <m:r>
              <m:t>n</m:t>
            </m:r>
          </m:e>
          <m:sub>
            <m:r>
              <m:t>11</m:t>
            </m:r>
          </m:sub>
        </m:sSub>
        <m:r>
          <m:rPr>
            <m:sty m:val="p"/>
          </m:rPr>
          <m:t>)</m:t>
        </m:r>
      </m:oMath>
      <w:r>
        <w:t xml:space="preserve"> </w:t>
      </w:r>
      <w:r>
        <w:t xml:space="preserve">and the overall</w:t>
      </w:r>
      <w:r>
        <w:t xml:space="preserve"> </w:t>
      </w:r>
      <m:oMath>
        <m:acc>
          <m:accPr>
            <m:chr m:val="̂"/>
          </m:accPr>
          <m:e>
            <m:r>
              <m:t>π</m:t>
            </m:r>
          </m:e>
        </m:acc>
        <m:r>
          <m:rPr>
            <m:sty m:val="p"/>
          </m:rPr>
          <m:t>=</m:t>
        </m:r>
        <m:r>
          <m:rPr>
            <m:sty m:val="p"/>
          </m:rPr>
          <m:t>(</m:t>
        </m:r>
        <m:sSub>
          <m:e>
            <m:r>
              <m:t>n</m:t>
            </m:r>
          </m:e>
          <m:sub>
            <m:r>
              <m:t>01</m:t>
            </m:r>
          </m:sub>
        </m:sSub>
        <m:r>
          <m:rPr>
            <m:sty m:val="p"/>
          </m:rPr>
          <m:t>+</m:t>
        </m:r>
        <m:sSub>
          <m:e>
            <m:r>
              <m:t>n</m:t>
            </m:r>
          </m:e>
          <m:sub>
            <m:r>
              <m:t>11</m:t>
            </m:r>
          </m:sub>
        </m:sSub>
        <m:r>
          <m:rPr>
            <m:sty m:val="p"/>
          </m:rPr>
          <m:t>)</m:t>
        </m:r>
        <m:r>
          <m:rPr>
            <m:sty m:val="p"/>
          </m:rPr>
          <m:t>/</m:t>
        </m:r>
        <m:r>
          <m:t>n</m:t>
        </m:r>
      </m:oMath>
      <w:r>
        <w:t xml:space="preserve">. The independence statistic compares the Markov likelihood with the single-probability one:</w:t>
      </w:r>
    </w:p>
    <w:p>
      <w:pPr>
        <w:pStyle w:val="BodyText"/>
      </w:pPr>
      <m:oMathPara>
        <m:oMathParaPr>
          <m:jc m:val="center"/>
        </m:oMathParaPr>
        <m:oMath>
          <m:r>
            <m:t>L</m:t>
          </m:r>
          <m:sSub>
            <m:e>
              <m:r>
                <m:t>R</m:t>
              </m:r>
            </m:e>
            <m:sub>
              <m:r>
                <m:t>i</m:t>
              </m:r>
              <m:r>
                <m:t>n</m:t>
              </m:r>
              <m:r>
                <m:t>d</m:t>
              </m:r>
            </m:sub>
          </m:sSub>
          <m:r>
            <m:rPr>
              <m:sty m:val="p"/>
            </m:rPr>
            <m:t>=</m:t>
          </m:r>
          <m:r>
            <m:rPr>
              <m:sty m:val="p"/>
            </m:rPr>
            <m:t>−</m:t>
          </m:r>
          <m:r>
            <m:t>2</m:t>
          </m:r>
          <m:r>
            <m:rPr>
              <m:sty m:val="p"/>
            </m:rPr>
            <m:t>ln</m:t>
          </m:r>
          <m:d>
            <m:dPr>
              <m:begChr m:val="["/>
              <m:sepChr m:val=""/>
              <m:endChr m:val="]"/>
              <m:grow/>
            </m:dPr>
            <m:e>
              <m:r>
                <m:rPr>
                  <m:sty m:val="p"/>
                </m:rPr>
                <m:t>(</m:t>
              </m:r>
              <m:r>
                <m:t>1</m:t>
              </m:r>
              <m:r>
                <m:rPr>
                  <m:sty m:val="p"/>
                </m:rPr>
                <m:t>−</m:t>
              </m:r>
              <m:acc>
                <m:accPr>
                  <m:chr m:val="̂"/>
                </m:accPr>
                <m:e>
                  <m:r>
                    <m:t>π</m:t>
                  </m:r>
                </m:e>
              </m:acc>
              <m:sSup>
                <m:e>
                  <m:r>
                    <m:rPr>
                      <m:sty m:val="p"/>
                    </m:rPr>
                    <m:t>)</m:t>
                  </m:r>
                </m:e>
                <m:sup>
                  <m:sSub>
                    <m:e>
                      <m:r>
                        <m:t>n</m:t>
                      </m:r>
                    </m:e>
                    <m:sub>
                      <m:r>
                        <m:t>00</m:t>
                      </m:r>
                    </m:sub>
                  </m:sSub>
                  <m:r>
                    <m:rPr>
                      <m:sty m:val="p"/>
                    </m:rPr>
                    <m:t>+</m:t>
                  </m:r>
                  <m:sSub>
                    <m:e>
                      <m:r>
                        <m:t>n</m:t>
                      </m:r>
                    </m:e>
                    <m:sub>
                      <m:r>
                        <m:t>10</m:t>
                      </m:r>
                    </m:sub>
                  </m:sSub>
                </m:sup>
              </m:sSup>
              <m:sSup>
                <m:e>
                  <m:acc>
                    <m:accPr>
                      <m:chr m:val="̂"/>
                    </m:accPr>
                    <m:e>
                      <m:r>
                        <m:t>π</m:t>
                      </m:r>
                    </m:e>
                  </m:acc>
                </m:e>
                <m:sup>
                  <m:r>
                    <m:t> </m:t>
                  </m:r>
                  <m:sSub>
                    <m:e>
                      <m:r>
                        <m:t>n</m:t>
                      </m:r>
                    </m:e>
                    <m:sub>
                      <m:r>
                        <m:t>01</m:t>
                      </m:r>
                    </m:sub>
                  </m:sSub>
                  <m:r>
                    <m:rPr>
                      <m:sty m:val="p"/>
                    </m:rPr>
                    <m:t>+</m:t>
                  </m:r>
                  <m:sSub>
                    <m:e>
                      <m:r>
                        <m:t>n</m:t>
                      </m:r>
                    </m:e>
                    <m:sub>
                      <m:r>
                        <m:t>11</m:t>
                      </m:r>
                    </m:sub>
                  </m:sSub>
                </m:sup>
              </m:sSup>
            </m:e>
          </m:d>
          <m:r>
            <m:rPr>
              <m:sty m:val="p"/>
            </m:rPr>
            <m:t>+</m:t>
          </m:r>
          <m:r>
            <m:t>2</m:t>
          </m:r>
          <m:r>
            <m:rPr>
              <m:sty m:val="p"/>
            </m:rPr>
            <m:t>ln</m:t>
          </m:r>
          <m:d>
            <m:dPr>
              <m:begChr m:val="["/>
              <m:sepChr m:val=""/>
              <m:endChr m:val="]"/>
              <m:grow/>
            </m:dPr>
            <m:e>
              <m:r>
                <m:rPr>
                  <m:sty m:val="p"/>
                </m:rPr>
                <m:t>(</m:t>
              </m:r>
              <m:r>
                <m:t>1</m:t>
              </m:r>
              <m:r>
                <m:rPr>
                  <m:sty m:val="p"/>
                </m:rPr>
                <m:t>−</m:t>
              </m:r>
              <m:sSub>
                <m:e>
                  <m:acc>
                    <m:accPr>
                      <m:chr m:val="̂"/>
                    </m:accPr>
                    <m:e>
                      <m:r>
                        <m:t>π</m:t>
                      </m:r>
                    </m:e>
                  </m:acc>
                </m:e>
                <m:sub>
                  <m:r>
                    <m:t>01</m:t>
                  </m:r>
                </m:sub>
              </m:sSub>
              <m:sSup>
                <m:e>
                  <m:r>
                    <m:rPr>
                      <m:sty m:val="p"/>
                    </m:rPr>
                    <m:t>)</m:t>
                  </m:r>
                </m:e>
                <m:sup>
                  <m:sSub>
                    <m:e>
                      <m:r>
                        <m:t>n</m:t>
                      </m:r>
                    </m:e>
                    <m:sub>
                      <m:r>
                        <m:t>00</m:t>
                      </m:r>
                    </m:sub>
                  </m:sSub>
                </m:sup>
              </m:sSup>
              <m:sSubSup>
                <m:e>
                  <m:acc>
                    <m:accPr>
                      <m:chr m:val="̂"/>
                    </m:accPr>
                    <m:e>
                      <m:r>
                        <m:t>π</m:t>
                      </m:r>
                    </m:e>
                  </m:acc>
                </m:e>
                <m:sub>
                  <m:r>
                    <m:t>01</m:t>
                  </m:r>
                </m:sub>
                <m:sup>
                  <m:r>
                    <m:t> </m:t>
                  </m:r>
                  <m:sSub>
                    <m:e>
                      <m:r>
                        <m:t>n</m:t>
                      </m:r>
                    </m:e>
                    <m:sub>
                      <m:r>
                        <m:t>01</m:t>
                      </m:r>
                    </m:sub>
                  </m:sSub>
                </m:sup>
              </m:sSubSup>
              <m:r>
                <m:rPr>
                  <m:sty m:val="p"/>
                </m:rPr>
                <m:t>(</m:t>
              </m:r>
              <m:r>
                <m:t>1</m:t>
              </m:r>
              <m:r>
                <m:rPr>
                  <m:sty m:val="p"/>
                </m:rPr>
                <m:t>−</m:t>
              </m:r>
              <m:sSub>
                <m:e>
                  <m:acc>
                    <m:accPr>
                      <m:chr m:val="̂"/>
                    </m:accPr>
                    <m:e>
                      <m:r>
                        <m:t>π</m:t>
                      </m:r>
                    </m:e>
                  </m:acc>
                </m:e>
                <m:sub>
                  <m:r>
                    <m:t>11</m:t>
                  </m:r>
                </m:sub>
              </m:sSub>
              <m:sSup>
                <m:e>
                  <m:r>
                    <m:rPr>
                      <m:sty m:val="p"/>
                    </m:rPr>
                    <m:t>)</m:t>
                  </m:r>
                </m:e>
                <m:sup>
                  <m:sSub>
                    <m:e>
                      <m:r>
                        <m:t>n</m:t>
                      </m:r>
                    </m:e>
                    <m:sub>
                      <m:r>
                        <m:t>10</m:t>
                      </m:r>
                    </m:sub>
                  </m:sSub>
                </m:sup>
              </m:sSup>
              <m:sSubSup>
                <m:e>
                  <m:acc>
                    <m:accPr>
                      <m:chr m:val="̂"/>
                    </m:accPr>
                    <m:e>
                      <m:r>
                        <m:t>π</m:t>
                      </m:r>
                    </m:e>
                  </m:acc>
                </m:e>
                <m:sub>
                  <m:r>
                    <m:t>11</m:t>
                  </m:r>
                </m:sub>
                <m:sup>
                  <m:r>
                    <m:t> </m:t>
                  </m:r>
                  <m:sSub>
                    <m:e>
                      <m:r>
                        <m:t>n</m:t>
                      </m:r>
                    </m:e>
                    <m:sub>
                      <m:r>
                        <m:t>11</m:t>
                      </m:r>
                    </m:sub>
                  </m:sSub>
                </m:sup>
              </m:sSubSup>
            </m:e>
          </m:d>
          <m:r>
            <m:rPr>
              <m:sty m:val="p"/>
            </m:rPr>
            <m:t>∼</m:t>
          </m:r>
          <m:sSubSup>
            <m:e>
              <m:r>
                <m:t>χ</m:t>
              </m:r>
            </m:e>
            <m:sub>
              <m:r>
                <m:t>1</m:t>
              </m:r>
            </m:sub>
            <m:sup>
              <m:r>
                <m:t>2</m:t>
              </m:r>
            </m:sup>
          </m:sSubSup>
          <m:r>
            <m:rPr>
              <m:sty m:val="p"/>
            </m:rPr>
            <m:t>,</m:t>
          </m:r>
        </m:oMath>
      </m:oMathPara>
    </w:p>
    <w:p>
      <w:pPr>
        <w:pStyle w:val="FirstParagraph"/>
      </w:pPr>
      <w:r>
        <w:t xml:space="preserve">and the conditional coverage statistic combines both properties,</w:t>
      </w:r>
      <w:r>
        <w:t xml:space="preserve"> </w:t>
      </w:r>
      <m:oMath>
        <m:r>
          <m:t>L</m:t>
        </m:r>
        <m:sSub>
          <m:e>
            <m:r>
              <m:t>R</m:t>
            </m:r>
          </m:e>
          <m:sub>
            <m:r>
              <m:t>c</m:t>
            </m:r>
            <m:r>
              <m:t>c</m:t>
            </m:r>
          </m:sub>
        </m:sSub>
        <m:r>
          <m:rPr>
            <m:sty m:val="p"/>
          </m:rPr>
          <m:t>=</m:t>
        </m:r>
        <m:r>
          <m:t>L</m:t>
        </m:r>
        <m:sSub>
          <m:e>
            <m:r>
              <m:t>R</m:t>
            </m:r>
          </m:e>
          <m:sub>
            <m:r>
              <m:t>P</m:t>
            </m:r>
            <m:r>
              <m:t>O</m:t>
            </m:r>
            <m:r>
              <m:t>F</m:t>
            </m:r>
          </m:sub>
        </m:sSub>
        <m:r>
          <m:rPr>
            <m:sty m:val="p"/>
          </m:rPr>
          <m:t>+</m:t>
        </m:r>
        <m:r>
          <m:t>L</m:t>
        </m:r>
        <m:sSub>
          <m:e>
            <m:r>
              <m:t>R</m:t>
            </m:r>
          </m:e>
          <m:sub>
            <m:r>
              <m:t>i</m:t>
            </m:r>
            <m:r>
              <m:t>n</m:t>
            </m:r>
            <m:r>
              <m:t>d</m:t>
            </m:r>
          </m:sub>
        </m:sSub>
        <m:r>
          <m:rPr>
            <m:sty m:val="p"/>
          </m:rPr>
          <m:t>∼</m:t>
        </m:r>
        <m:sSubSup>
          <m:e>
            <m:r>
              <m:t>χ</m:t>
            </m:r>
          </m:e>
          <m:sub>
            <m:r>
              <m:t>2</m:t>
            </m:r>
          </m:sub>
          <m:sup>
            <m:r>
              <m:t>2</m:t>
            </m:r>
          </m:sup>
        </m:sSubSup>
      </m:oMath>
      <w:r>
        <w:t xml:space="preserve">.</w:t>
      </w:r>
    </w:p>
    <w:p>
      <w:pPr>
        <w:pStyle w:val="BodyText"/>
      </w:pPr>
      <w:r>
        <w:rPr>
          <w:b/>
          <w:bCs/>
        </w:rPr>
        <w:t xml:space="preserve">Worked example (champion, 1 day).</w:t>
      </w:r>
      <w:r>
        <w:t xml:space="preserve"> </w:t>
      </w:r>
      <w:r>
        <w:t xml:space="preserve">The transition counts are</w:t>
      </w:r>
      <w:r>
        <w:t xml:space="preserve"> </w:t>
      </w:r>
      <m:oMath>
        <m:sSub>
          <m:e>
            <m:r>
              <m:t>n</m:t>
            </m:r>
          </m:e>
          <m:sub>
            <m:r>
              <m:t>00</m:t>
            </m:r>
          </m:sub>
        </m:sSub>
        <m:r>
          <m:rPr>
            <m:sty m:val="p"/>
          </m:rPr>
          <m:t>=</m:t>
        </m:r>
        <m:r>
          <m:t>1</m:t>
        </m:r>
        <m:r>
          <m:rPr>
            <m:sty m:val="p"/>
          </m:rPr>
          <m:t>,</m:t>
        </m:r>
        <m:r>
          <m:t>292</m:t>
        </m:r>
      </m:oMath>
      <w:r>
        <w:t xml:space="preserve">,</w:t>
      </w:r>
      <w:r>
        <w:t xml:space="preserve"> </w:t>
      </w:r>
      <m:oMath>
        <m:sSub>
          <m:e>
            <m:r>
              <m:t>n</m:t>
            </m:r>
          </m:e>
          <m:sub>
            <m:r>
              <m:t>01</m:t>
            </m:r>
          </m:sub>
        </m:sSub>
        <m:r>
          <m:rPr>
            <m:sty m:val="p"/>
          </m:rPr>
          <m:t>=</m:t>
        </m:r>
        <m:r>
          <m:t>16</m:t>
        </m:r>
      </m:oMath>
      <w:r>
        <w:t xml:space="preserve">,</w:t>
      </w:r>
      <w:r>
        <w:t xml:space="preserve"> </w:t>
      </w:r>
      <m:oMath>
        <m:sSub>
          <m:e>
            <m:r>
              <m:t>n</m:t>
            </m:r>
          </m:e>
          <m:sub>
            <m:r>
              <m:t>10</m:t>
            </m:r>
          </m:sub>
        </m:sSub>
        <m:r>
          <m:rPr>
            <m:sty m:val="p"/>
          </m:rPr>
          <m:t>=</m:t>
        </m:r>
        <m:r>
          <m:t>16</m:t>
        </m:r>
      </m:oMath>
      <w:r>
        <w:t xml:space="preserve">,</w:t>
      </w:r>
      <w:r>
        <w:t xml:space="preserve"> </w:t>
      </w:r>
      <m:oMath>
        <m:sSub>
          <m:e>
            <m:r>
              <m:t>n</m:t>
            </m:r>
          </m:e>
          <m:sub>
            <m:r>
              <m:t>11</m:t>
            </m:r>
          </m:sub>
        </m:sSub>
        <m:r>
          <m:rPr>
            <m:sty m:val="p"/>
          </m:rPr>
          <m:t>=</m:t>
        </m:r>
        <m:r>
          <m:t>2</m:t>
        </m:r>
      </m:oMath>
      <w:r>
        <w:t xml:space="preserve">. So</w:t>
      </w:r>
      <w:r>
        <w:t xml:space="preserve"> </w:t>
      </w:r>
      <m:oMath>
        <m:sSub>
          <m:e>
            <m:acc>
              <m:accPr>
                <m:chr m:val="̂"/>
              </m:accPr>
              <m:e>
                <m:r>
                  <m:t>π</m:t>
                </m:r>
              </m:e>
            </m:acc>
          </m:e>
          <m:sub>
            <m:r>
              <m:t>01</m:t>
            </m:r>
          </m:sub>
        </m:sSub>
        <m:r>
          <m:rPr>
            <m:sty m:val="p"/>
          </m:rPr>
          <m:t>=</m:t>
        </m:r>
        <m:r>
          <m:t>1.223</m:t>
        </m:r>
      </m:oMath>
      <w:r>
        <w:t xml:space="preserve"> </w:t>
      </w:r>
      <w:r>
        <w:t xml:space="preserve">(an exception follows a quiet day with that probability),</w:t>
      </w:r>
      <w:r>
        <w:t xml:space="preserve"> </w:t>
      </w:r>
      <m:oMath>
        <m:sSub>
          <m:e>
            <m:acc>
              <m:accPr>
                <m:chr m:val="̂"/>
              </m:accPr>
              <m:e>
                <m:r>
                  <m:t>π</m:t>
                </m:r>
              </m:e>
            </m:acc>
          </m:e>
          <m:sub>
            <m:r>
              <m:t>11</m:t>
            </m:r>
          </m:sub>
        </m:sSub>
        <m:r>
          <m:rPr>
            <m:sty m:val="p"/>
          </m:rPr>
          <m:t>=</m:t>
        </m:r>
        <m:r>
          <m:t>11.11</m:t>
        </m:r>
      </m:oMath>
      <w:r>
        <w:t xml:space="preserve"> </w:t>
      </w:r>
      <w:r>
        <w:t xml:space="preserve">(9.1 times higher: after an exception the next day is much more likely to be another one) and</w:t>
      </w:r>
      <w:r>
        <w:t xml:space="preserve"> </w:t>
      </w:r>
      <m:oMath>
        <m:acc>
          <m:accPr>
            <m:chr m:val="̂"/>
          </m:accPr>
          <m:e>
            <m:r>
              <m:t>π</m:t>
            </m:r>
          </m:e>
        </m:acc>
        <m:r>
          <m:rPr>
            <m:sty m:val="p"/>
          </m:rPr>
          <m:t>=</m:t>
        </m:r>
        <m:r>
          <m:t>1.357</m:t>
        </m:r>
      </m:oMath>
      <w:r>
        <w:t xml:space="preserve">. These give</w:t>
      </w:r>
      <w:r>
        <w:t xml:space="preserve"> </w:t>
      </w:r>
      <m:oMath>
        <m:r>
          <m:t>L</m:t>
        </m:r>
        <m:sSub>
          <m:e>
            <m:r>
              <m:t>R</m:t>
            </m:r>
          </m:e>
          <m:sub>
            <m:r>
              <m:t>i</m:t>
            </m:r>
            <m:r>
              <m:t>n</m:t>
            </m:r>
            <m:r>
              <m:t>d</m:t>
            </m:r>
          </m:sub>
        </m:sSub>
        <m:r>
          <m:rPr>
            <m:sty m:val="p"/>
          </m:rPr>
          <m:t>=</m:t>
        </m:r>
        <m:r>
          <m:t>5.260</m:t>
        </m:r>
      </m:oMath>
      <w:r>
        <w:t xml:space="preserve"> </w:t>
      </w:r>
      <w:r>
        <w:t xml:space="preserve">and a p-value of 0.0218, below 5% but above 1%, hence an AMBER light. The conditional coverage statistic is</w:t>
      </w:r>
      <w:r>
        <w:t xml:space="preserve"> </w:t>
      </w:r>
      <m:oMath>
        <m:r>
          <m:t>L</m:t>
        </m:r>
        <m:sSub>
          <m:e>
            <m:r>
              <m:t>R</m:t>
            </m:r>
          </m:e>
          <m:sub>
            <m:r>
              <m:t>c</m:t>
            </m:r>
            <m:r>
              <m:t>c</m:t>
            </m:r>
          </m:sub>
        </m:sSub>
        <m:r>
          <m:rPr>
            <m:sty m:val="p"/>
          </m:rPr>
          <m:t>=</m:t>
        </m:r>
        <m:r>
          <m:t>1.532</m:t>
        </m:r>
        <m:r>
          <m:rPr>
            <m:sty m:val="p"/>
          </m:rPr>
          <m:t>+</m:t>
        </m:r>
        <m:r>
          <m:t>5.260</m:t>
        </m:r>
        <m:r>
          <m:rPr>
            <m:sty m:val="p"/>
          </m:rPr>
          <m:t>=</m:t>
        </m:r>
        <m:r>
          <m:t>6.792</m:t>
        </m:r>
      </m:oMath>
      <w:r>
        <w:t xml:space="preserve"> </w:t>
      </w:r>
      <w:r>
        <w:t xml:space="preserve">with</w:t>
      </w:r>
      <w:r>
        <w:t xml:space="preserve"> </w:t>
      </w:r>
      <m:oMath>
        <m:sSubSup>
          <m:e>
            <m:r>
              <m:t>χ</m:t>
            </m:r>
          </m:e>
          <m:sub>
            <m:r>
              <m:t>2</m:t>
            </m:r>
          </m:sub>
          <m:sup>
            <m:r>
              <m:t>2</m:t>
            </m:r>
          </m:sup>
        </m:sSubSup>
      </m:oMath>
      <w:r>
        <w:t xml:space="preserve"> </w:t>
      </w:r>
      <w:r>
        <w:t xml:space="preserve">p-value 0.0335, also AMBER. The champion has the right number of exceptions but they cluster (2 pairs of consecutive-day exceptions in a sample where independence would predict about 0.13).</w:t>
      </w:r>
    </w:p>
    <w:bookmarkEnd w:id="56"/>
    <w:bookmarkStart w:id="57" w:name="basel-traffic-light"/>
    <w:p>
      <w:pPr>
        <w:pStyle w:val="Heading2"/>
      </w:pPr>
      <w:r>
        <w:rPr>
          <w:rStyle w:val="SectionNumber"/>
        </w:rPr>
        <w:t xml:space="preserve">8.4</w:t>
      </w:r>
      <w:r>
        <w:tab/>
      </w:r>
      <w:r>
        <w:t xml:space="preserve">Basel traffic light</w:t>
      </w:r>
    </w:p>
    <w:p>
      <w:pPr>
        <w:pStyle w:val="FirstParagraph"/>
      </w:pPr>
      <w:r>
        <w:t xml:space="preserve">BCBS 22 sorts the number of exceptions among 250 observations into zones using the cumulative binomial probability at 99% coverage: the yellow zone starts where the probability of that many exceptions or fewer reaches 95%, and the red zone where it reaches 99.99% (BCBS 22, January 1996, Section III(c)). Table 2 of the paper, with the cumulative probabilities recomputed here with</w:t>
      </w:r>
      <w:r>
        <w:t xml:space="preserve"> </w:t>
      </w:r>
      <w:r>
        <w:rPr>
          <w:rStyle w:val="VerbatimChar"/>
        </w:rPr>
        <w:t xml:space="preserve">scipy.stats.binom(250, 0.01)</w:t>
      </w:r>
      <w:r>
        <w:t xml:space="preserve">:</w:t>
      </w:r>
    </w:p>
    <w:p>
      <w:pPr>
        <w:pStyle w:val="TableCaption"/>
      </w:pPr>
      <w:r>
        <w:t xml:space="preserve">BCBS 22 Table 2 for 250 observations (green 0 to 4, yellow 5 to 9, red 10 or more). The plus factor is the increase in the capital multiplier in the original market risk context; it is shown for completeness and is not a margin multiplier.</w:t>
      </w:r>
    </w:p>
    <w:tbl>
      <w:tblPr>
        <w:tblStyle w:val="Table"/>
        <w:tblW w:type="pct" w:w="5000"/>
        <w:tblLayout w:type="fixed"/>
        <w:tblLook w:firstRow="1" w:lastRow="0" w:firstColumn="0" w:lastColumn="0" w:noHBand="0" w:noVBand="0" w:val="0020"/>
        <w:tblCaption w:val="BCBS 22 Table 2 for 250 observations (green 0 to 4, yellow 5 to 9, red 10 or more). The plus factor is the increase in the capital multiplier in the original market risk context; it is shown for completeness and is not a margin multipli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Exceptions in 250 days</w:t>
            </w:r>
          </w:p>
        </w:tc>
        <w:tc>
          <w:tcPr/>
          <w:p>
            <w:pPr>
              <w:pStyle w:val="Compact"/>
              <w:jc w:val="left"/>
            </w:pPr>
            <w:r>
              <w:rPr>
                <w:sz w:val="17"/>
              </w:rPr>
              <w:t xml:space="preserve">Zone</w:t>
            </w:r>
          </w:p>
        </w:tc>
        <w:tc>
          <w:tcPr/>
          <w:p>
            <w:pPr>
              <w:pStyle w:val="Compact"/>
              <w:jc w:val="right"/>
            </w:pPr>
            <w:r>
              <w:rPr>
                <w:sz w:val="17"/>
              </w:rPr>
              <w:t xml:space="preserve">Plus factor (BCBS 22 Table 2)</w:t>
            </w:r>
          </w:p>
        </w:tc>
        <w:tc>
          <w:tcPr/>
          <w:p>
            <w:pPr>
              <w:pStyle w:val="Compact"/>
              <w:jc w:val="right"/>
            </w:pPr>
            <w:r>
              <w:rPr>
                <w:sz w:val="17"/>
              </w:rPr>
              <w:t xml:space="preserve">Cumulative binomial probability (recomputed)</w:t>
            </w:r>
          </w:p>
        </w:tc>
      </w:tr>
      <w:tr>
        <w:tc>
          <w:tcPr/>
          <w:p>
            <w:pPr>
              <w:pStyle w:val="Compact"/>
              <w:jc w:val="left"/>
            </w:pPr>
            <w:r>
              <w:rPr>
                <w:sz w:val="17"/>
              </w:rPr>
              <w:t xml:space="preserve">0</w:t>
            </w:r>
          </w:p>
        </w:tc>
        <w:tc>
          <w:tcPr/>
          <w:p>
            <w:pPr>
              <w:pStyle w:val="Compact"/>
              <w:jc w:val="left"/>
            </w:pPr>
            <w:r>
              <w:rPr>
                <w:sz w:val="17"/>
              </w:rPr>
              <w:t xml:space="preserve">Green</w:t>
            </w:r>
          </w:p>
        </w:tc>
        <w:tc>
          <w:tcPr/>
          <w:p>
            <w:pPr>
              <w:pStyle w:val="Compact"/>
              <w:jc w:val="right"/>
            </w:pPr>
            <w:r>
              <w:rPr>
                <w:sz w:val="17"/>
              </w:rPr>
              <w:t xml:space="preserve">0.00</w:t>
            </w:r>
          </w:p>
        </w:tc>
        <w:tc>
          <w:tcPr/>
          <w:p>
            <w:pPr>
              <w:pStyle w:val="Compact"/>
              <w:jc w:val="right"/>
            </w:pPr>
            <w:r>
              <w:rPr>
                <w:sz w:val="17"/>
              </w:rPr>
              <w:t xml:space="preserve">8.11%</w:t>
            </w:r>
          </w:p>
        </w:tc>
      </w:tr>
      <w:tr>
        <w:tc>
          <w:tcPr/>
          <w:p>
            <w:pPr>
              <w:pStyle w:val="Compact"/>
              <w:jc w:val="left"/>
            </w:pPr>
            <w:r>
              <w:rPr>
                <w:sz w:val="17"/>
              </w:rPr>
              <w:t xml:space="preserve">1</w:t>
            </w:r>
          </w:p>
        </w:tc>
        <w:tc>
          <w:tcPr/>
          <w:p>
            <w:pPr>
              <w:pStyle w:val="Compact"/>
              <w:jc w:val="left"/>
            </w:pPr>
            <w:r>
              <w:rPr>
                <w:sz w:val="17"/>
              </w:rPr>
              <w:t xml:space="preserve">Green</w:t>
            </w:r>
          </w:p>
        </w:tc>
        <w:tc>
          <w:tcPr/>
          <w:p>
            <w:pPr>
              <w:pStyle w:val="Compact"/>
              <w:jc w:val="right"/>
            </w:pPr>
            <w:r>
              <w:rPr>
                <w:sz w:val="17"/>
              </w:rPr>
              <w:t xml:space="preserve">0.00</w:t>
            </w:r>
          </w:p>
        </w:tc>
        <w:tc>
          <w:tcPr/>
          <w:p>
            <w:pPr>
              <w:pStyle w:val="Compact"/>
              <w:jc w:val="right"/>
            </w:pPr>
            <w:r>
              <w:rPr>
                <w:sz w:val="17"/>
              </w:rPr>
              <w:t xml:space="preserve">28.58%</w:t>
            </w:r>
          </w:p>
        </w:tc>
      </w:tr>
      <w:tr>
        <w:tc>
          <w:tcPr/>
          <w:p>
            <w:pPr>
              <w:pStyle w:val="Compact"/>
              <w:jc w:val="left"/>
            </w:pPr>
            <w:r>
              <w:rPr>
                <w:sz w:val="17"/>
              </w:rPr>
              <w:t xml:space="preserve">2</w:t>
            </w:r>
          </w:p>
        </w:tc>
        <w:tc>
          <w:tcPr/>
          <w:p>
            <w:pPr>
              <w:pStyle w:val="Compact"/>
              <w:jc w:val="left"/>
            </w:pPr>
            <w:r>
              <w:rPr>
                <w:sz w:val="17"/>
              </w:rPr>
              <w:t xml:space="preserve">Green</w:t>
            </w:r>
          </w:p>
        </w:tc>
        <w:tc>
          <w:tcPr/>
          <w:p>
            <w:pPr>
              <w:pStyle w:val="Compact"/>
              <w:jc w:val="right"/>
            </w:pPr>
            <w:r>
              <w:rPr>
                <w:sz w:val="17"/>
              </w:rPr>
              <w:t xml:space="preserve">0.00</w:t>
            </w:r>
          </w:p>
        </w:tc>
        <w:tc>
          <w:tcPr/>
          <w:p>
            <w:pPr>
              <w:pStyle w:val="Compact"/>
              <w:jc w:val="right"/>
            </w:pPr>
            <w:r>
              <w:rPr>
                <w:sz w:val="17"/>
              </w:rPr>
              <w:t xml:space="preserve">54.32%</w:t>
            </w:r>
          </w:p>
        </w:tc>
      </w:tr>
      <w:tr>
        <w:tc>
          <w:tcPr/>
          <w:p>
            <w:pPr>
              <w:pStyle w:val="Compact"/>
              <w:jc w:val="left"/>
            </w:pPr>
            <w:r>
              <w:rPr>
                <w:sz w:val="17"/>
              </w:rPr>
              <w:t xml:space="preserve">3</w:t>
            </w:r>
          </w:p>
        </w:tc>
        <w:tc>
          <w:tcPr/>
          <w:p>
            <w:pPr>
              <w:pStyle w:val="Compact"/>
              <w:jc w:val="left"/>
            </w:pPr>
            <w:r>
              <w:rPr>
                <w:sz w:val="17"/>
              </w:rPr>
              <w:t xml:space="preserve">Green</w:t>
            </w:r>
          </w:p>
        </w:tc>
        <w:tc>
          <w:tcPr/>
          <w:p>
            <w:pPr>
              <w:pStyle w:val="Compact"/>
              <w:jc w:val="right"/>
            </w:pPr>
            <w:r>
              <w:rPr>
                <w:sz w:val="17"/>
              </w:rPr>
              <w:t xml:space="preserve">0.00</w:t>
            </w:r>
          </w:p>
        </w:tc>
        <w:tc>
          <w:tcPr/>
          <w:p>
            <w:pPr>
              <w:pStyle w:val="Compact"/>
              <w:jc w:val="right"/>
            </w:pPr>
            <w:r>
              <w:rPr>
                <w:sz w:val="17"/>
              </w:rPr>
              <w:t xml:space="preserve">75.81%</w:t>
            </w:r>
          </w:p>
        </w:tc>
      </w:tr>
      <w:tr>
        <w:tc>
          <w:tcPr/>
          <w:p>
            <w:pPr>
              <w:pStyle w:val="Compact"/>
              <w:jc w:val="left"/>
            </w:pPr>
            <w:r>
              <w:rPr>
                <w:sz w:val="17"/>
              </w:rPr>
              <w:t xml:space="preserve">4</w:t>
            </w:r>
          </w:p>
        </w:tc>
        <w:tc>
          <w:tcPr/>
          <w:p>
            <w:pPr>
              <w:pStyle w:val="Compact"/>
              <w:jc w:val="left"/>
            </w:pPr>
            <w:r>
              <w:rPr>
                <w:sz w:val="17"/>
              </w:rPr>
              <w:t xml:space="preserve">Green</w:t>
            </w:r>
          </w:p>
        </w:tc>
        <w:tc>
          <w:tcPr/>
          <w:p>
            <w:pPr>
              <w:pStyle w:val="Compact"/>
              <w:jc w:val="right"/>
            </w:pPr>
            <w:r>
              <w:rPr>
                <w:sz w:val="17"/>
              </w:rPr>
              <w:t xml:space="preserve">0.00</w:t>
            </w:r>
          </w:p>
        </w:tc>
        <w:tc>
          <w:tcPr/>
          <w:p>
            <w:pPr>
              <w:pStyle w:val="Compact"/>
              <w:jc w:val="right"/>
            </w:pPr>
            <w:r>
              <w:rPr>
                <w:sz w:val="17"/>
              </w:rPr>
              <w:t xml:space="preserve">89.22%</w:t>
            </w:r>
          </w:p>
        </w:tc>
      </w:tr>
      <w:tr>
        <w:tc>
          <w:tcPr/>
          <w:p>
            <w:pPr>
              <w:pStyle w:val="Compact"/>
              <w:jc w:val="left"/>
            </w:pPr>
            <w:r>
              <w:rPr>
                <w:sz w:val="17"/>
              </w:rPr>
              <w:t xml:space="preserve">5</w:t>
            </w:r>
          </w:p>
        </w:tc>
        <w:tc>
          <w:tcPr/>
          <w:p>
            <w:pPr>
              <w:pStyle w:val="Compact"/>
              <w:jc w:val="left"/>
            </w:pPr>
            <w:r>
              <w:rPr>
                <w:sz w:val="17"/>
              </w:rPr>
              <w:t xml:space="preserve">Yellow</w:t>
            </w:r>
          </w:p>
        </w:tc>
        <w:tc>
          <w:tcPr/>
          <w:p>
            <w:pPr>
              <w:pStyle w:val="Compact"/>
              <w:jc w:val="right"/>
            </w:pPr>
            <w:r>
              <w:rPr>
                <w:sz w:val="17"/>
              </w:rPr>
              <w:t xml:space="preserve">0.40</w:t>
            </w:r>
          </w:p>
        </w:tc>
        <w:tc>
          <w:tcPr/>
          <w:p>
            <w:pPr>
              <w:pStyle w:val="Compact"/>
              <w:jc w:val="right"/>
            </w:pPr>
            <w:r>
              <w:rPr>
                <w:sz w:val="17"/>
              </w:rPr>
              <w:t xml:space="preserve">95.88%</w:t>
            </w:r>
          </w:p>
        </w:tc>
      </w:tr>
      <w:tr>
        <w:tc>
          <w:tcPr/>
          <w:p>
            <w:pPr>
              <w:pStyle w:val="Compact"/>
              <w:jc w:val="left"/>
            </w:pPr>
            <w:r>
              <w:rPr>
                <w:sz w:val="17"/>
              </w:rPr>
              <w:t xml:space="preserve">6</w:t>
            </w:r>
          </w:p>
        </w:tc>
        <w:tc>
          <w:tcPr/>
          <w:p>
            <w:pPr>
              <w:pStyle w:val="Compact"/>
              <w:jc w:val="left"/>
            </w:pPr>
            <w:r>
              <w:rPr>
                <w:sz w:val="17"/>
              </w:rPr>
              <w:t xml:space="preserve">Yellow</w:t>
            </w:r>
          </w:p>
        </w:tc>
        <w:tc>
          <w:tcPr/>
          <w:p>
            <w:pPr>
              <w:pStyle w:val="Compact"/>
              <w:jc w:val="right"/>
            </w:pPr>
            <w:r>
              <w:rPr>
                <w:sz w:val="17"/>
              </w:rPr>
              <w:t xml:space="preserve">0.50</w:t>
            </w:r>
          </w:p>
        </w:tc>
        <w:tc>
          <w:tcPr/>
          <w:p>
            <w:pPr>
              <w:pStyle w:val="Compact"/>
              <w:jc w:val="right"/>
            </w:pPr>
            <w:r>
              <w:rPr>
                <w:sz w:val="17"/>
              </w:rPr>
              <w:t xml:space="preserve">98.63%</w:t>
            </w:r>
          </w:p>
        </w:tc>
      </w:tr>
      <w:tr>
        <w:tc>
          <w:tcPr/>
          <w:p>
            <w:pPr>
              <w:pStyle w:val="Compact"/>
              <w:jc w:val="left"/>
            </w:pPr>
            <w:r>
              <w:rPr>
                <w:sz w:val="17"/>
              </w:rPr>
              <w:t xml:space="preserve">7</w:t>
            </w:r>
          </w:p>
        </w:tc>
        <w:tc>
          <w:tcPr/>
          <w:p>
            <w:pPr>
              <w:pStyle w:val="Compact"/>
              <w:jc w:val="left"/>
            </w:pPr>
            <w:r>
              <w:rPr>
                <w:sz w:val="17"/>
              </w:rPr>
              <w:t xml:space="preserve">Yellow</w:t>
            </w:r>
          </w:p>
        </w:tc>
        <w:tc>
          <w:tcPr/>
          <w:p>
            <w:pPr>
              <w:pStyle w:val="Compact"/>
              <w:jc w:val="right"/>
            </w:pPr>
            <w:r>
              <w:rPr>
                <w:sz w:val="17"/>
              </w:rPr>
              <w:t xml:space="preserve">0.65</w:t>
            </w:r>
          </w:p>
        </w:tc>
        <w:tc>
          <w:tcPr/>
          <w:p>
            <w:pPr>
              <w:pStyle w:val="Compact"/>
              <w:jc w:val="right"/>
            </w:pPr>
            <w:r>
              <w:rPr>
                <w:sz w:val="17"/>
              </w:rPr>
              <w:t xml:space="preserve">99.60%</w:t>
            </w:r>
          </w:p>
        </w:tc>
      </w:tr>
      <w:tr>
        <w:tc>
          <w:tcPr/>
          <w:p>
            <w:pPr>
              <w:pStyle w:val="Compact"/>
              <w:jc w:val="left"/>
            </w:pPr>
            <w:r>
              <w:rPr>
                <w:sz w:val="17"/>
              </w:rPr>
              <w:t xml:space="preserve">8</w:t>
            </w:r>
          </w:p>
        </w:tc>
        <w:tc>
          <w:tcPr/>
          <w:p>
            <w:pPr>
              <w:pStyle w:val="Compact"/>
              <w:jc w:val="left"/>
            </w:pPr>
            <w:r>
              <w:rPr>
                <w:sz w:val="17"/>
              </w:rPr>
              <w:t xml:space="preserve">Yellow</w:t>
            </w:r>
          </w:p>
        </w:tc>
        <w:tc>
          <w:tcPr/>
          <w:p>
            <w:pPr>
              <w:pStyle w:val="Compact"/>
              <w:jc w:val="right"/>
            </w:pPr>
            <w:r>
              <w:rPr>
                <w:sz w:val="17"/>
              </w:rPr>
              <w:t xml:space="preserve">0.75</w:t>
            </w:r>
          </w:p>
        </w:tc>
        <w:tc>
          <w:tcPr/>
          <w:p>
            <w:pPr>
              <w:pStyle w:val="Compact"/>
              <w:jc w:val="right"/>
            </w:pPr>
            <w:r>
              <w:rPr>
                <w:sz w:val="17"/>
              </w:rPr>
              <w:t xml:space="preserve">99.89%</w:t>
            </w:r>
          </w:p>
        </w:tc>
      </w:tr>
      <w:tr>
        <w:tc>
          <w:tcPr/>
          <w:p>
            <w:pPr>
              <w:pStyle w:val="Compact"/>
              <w:jc w:val="left"/>
            </w:pPr>
            <w:r>
              <w:rPr>
                <w:sz w:val="17"/>
              </w:rPr>
              <w:t xml:space="preserve">9</w:t>
            </w:r>
          </w:p>
        </w:tc>
        <w:tc>
          <w:tcPr/>
          <w:p>
            <w:pPr>
              <w:pStyle w:val="Compact"/>
              <w:jc w:val="left"/>
            </w:pPr>
            <w:r>
              <w:rPr>
                <w:sz w:val="17"/>
              </w:rPr>
              <w:t xml:space="preserve">Yellow</w:t>
            </w:r>
          </w:p>
        </w:tc>
        <w:tc>
          <w:tcPr/>
          <w:p>
            <w:pPr>
              <w:pStyle w:val="Compact"/>
              <w:jc w:val="right"/>
            </w:pPr>
            <w:r>
              <w:rPr>
                <w:sz w:val="17"/>
              </w:rPr>
              <w:t xml:space="preserve">0.85</w:t>
            </w:r>
          </w:p>
        </w:tc>
        <w:tc>
          <w:tcPr/>
          <w:p>
            <w:pPr>
              <w:pStyle w:val="Compact"/>
              <w:jc w:val="right"/>
            </w:pPr>
            <w:r>
              <w:rPr>
                <w:sz w:val="17"/>
              </w:rPr>
              <w:t xml:space="preserve">99.97%</w:t>
            </w:r>
          </w:p>
        </w:tc>
      </w:tr>
      <w:tr>
        <w:tc>
          <w:tcPr/>
          <w:p>
            <w:pPr>
              <w:pStyle w:val="Compact"/>
              <w:jc w:val="left"/>
            </w:pPr>
            <w:r>
              <w:rPr>
                <w:sz w:val="17"/>
              </w:rPr>
              <w:t xml:space="preserve">10 or more</w:t>
            </w:r>
          </w:p>
        </w:tc>
        <w:tc>
          <w:tcPr/>
          <w:p>
            <w:pPr>
              <w:pStyle w:val="Compact"/>
              <w:jc w:val="left"/>
            </w:pPr>
            <w:r>
              <w:rPr>
                <w:sz w:val="17"/>
              </w:rPr>
              <w:t xml:space="preserve">Red</w:t>
            </w:r>
          </w:p>
        </w:tc>
        <w:tc>
          <w:tcPr/>
          <w:p>
            <w:pPr>
              <w:pStyle w:val="Compact"/>
              <w:jc w:val="right"/>
            </w:pPr>
            <w:r>
              <w:rPr>
                <w:sz w:val="17"/>
              </w:rPr>
              <w:t xml:space="preserve">1.00</w:t>
            </w:r>
          </w:p>
        </w:tc>
        <w:tc>
          <w:tcPr/>
          <w:p>
            <w:pPr>
              <w:pStyle w:val="Compact"/>
              <w:jc w:val="right"/>
            </w:pPr>
            <w:r>
              <w:rPr>
                <w:sz w:val="17"/>
              </w:rPr>
              <w:t xml:space="preserve">99.99%</w:t>
            </w:r>
          </w:p>
        </w:tc>
      </w:tr>
    </w:tbl>
    <w:p>
      <w:pPr>
        <w:pStyle w:val="BodyText"/>
      </w:pPr>
      <w:r>
        <w:t xml:space="preserve">For other sample sizes the engine applies the same cumulative-probability rule,</w:t>
      </w:r>
      <w:r>
        <w:t xml:space="preserve"> </w:t>
      </w:r>
      <w:r>
        <w:rPr>
          <w:rStyle w:val="VerbatimChar"/>
        </w:rPr>
        <w:t xml:space="preserve">backtest.basel_zone</w:t>
      </w:r>
      <w:r>
        <w:t xml:space="preserve">. In margin practice the analogue of the plus factor is the SIMM shortfall: if SIMM under-margins, ISDA's framework allows a scaled-up margin (ISDA SIMM Governance Framework 18 Sep 2026).</w:t>
      </w:r>
      <w:r>
        <w:t xml:space="preserve"> </w:t>
      </w:r>
      <w:r>
        <w:rPr>
          <w:rStyle w:val="VerbatimChar"/>
        </w:rPr>
        <w:t xml:space="preserve">backtest.shortfall_multiplier</w:t>
      </w:r>
      <w:r>
        <w:t xml:space="preserve"> </w:t>
      </w:r>
      <w:r>
        <w:t xml:space="preserve">finds the smallest</w:t>
      </w:r>
      <w:r>
        <w:t xml:space="preserve"> </w:t>
      </w:r>
      <m:oMath>
        <m:r>
          <m:t>k</m:t>
        </m:r>
      </m:oMath>
      <w:r>
        <w:t xml:space="preserve"> </w:t>
      </w:r>
      <w:r>
        <w:t xml:space="preserve">such that</w:t>
      </w:r>
      <w:r>
        <w:t xml:space="preserve"> </w:t>
      </w:r>
      <m:oMath>
        <m:r>
          <m:t>k</m:t>
        </m:r>
        <m:r>
          <m:rPr>
            <m:sty m:val="p"/>
          </m:rPr>
          <m:t>×</m:t>
        </m:r>
      </m:oMath>
      <w:r>
        <w:t xml:space="preserve"> </w:t>
      </w:r>
      <w:r>
        <w:t xml:space="preserve">IM would put the exception count in the green zone.</w:t>
      </w:r>
    </w:p>
    <w:bookmarkEnd w:id="57"/>
    <w:bookmarkStart w:id="58" w:name="test-lights"/>
    <w:p>
      <w:pPr>
        <w:pStyle w:val="Heading2"/>
      </w:pPr>
      <w:r>
        <w:rPr>
          <w:rStyle w:val="SectionNumber"/>
        </w:rPr>
        <w:t xml:space="preserve">8.5</w:t>
      </w:r>
      <w:r>
        <w:tab/>
      </w:r>
      <w:r>
        <w:t xml:space="preserve">Test lights</w:t>
      </w:r>
    </w:p>
    <w:p>
      <w:pPr>
        <w:pStyle w:val="FirstParagraph"/>
      </w:pPr>
      <w:r>
        <w:t xml:space="preserve">To summarise a battery of tests the engine uses three lights: PASS if the p-value is at least 0.05 and the zone is green; AMBER if the p-value is between 0.01 and 0.05, or the zone is yellow; RED if the p-value is below 0.01 or the zone is red. The overall light of a model-design combination is the worst of the Kupiec, Christoffersen-independence and Basel-zone lights. This is a house convention for readability, not a regulatory rule.</w:t>
      </w:r>
    </w:p>
    <w:bookmarkEnd w:id="58"/>
    <w:bookmarkStart w:id="59" w:name="the-overlapping-window-problem"/>
    <w:p>
      <w:pPr>
        <w:pStyle w:val="Heading2"/>
      </w:pPr>
      <w:r>
        <w:rPr>
          <w:rStyle w:val="SectionNumber"/>
        </w:rPr>
        <w:t xml:space="preserve">8.6</w:t>
      </w:r>
      <w:r>
        <w:tab/>
      </w:r>
      <w:r>
        <w:t xml:space="preserve">The overlapping-window problem</w:t>
      </w:r>
    </w:p>
    <w:p>
      <w:pPr>
        <w:pStyle w:val="FirstParagraph"/>
      </w:pPr>
      <w:r>
        <w:t xml:space="preserve">For a 10-day IM there are two ways to backtest. Compare the IM with the loss over each of the next ten days on every date (overlapping windows: consecutive windows share nine of ten days), or only every tenth date (non-overlapping). Overlapping windows give about ten times more observations but they are not independent: one bad week appears in ten consecutive windows. Exceptions cluster, so the Christoffersen independence test rejects almost mechanically and the Kupiec test is over-sized. BCBS 22 warns specifically against comparing 10-day risk measures with overlapping 10-day outcomes (BCBS 22, Section II). The project therefore uses the non-overlapping design for the pass criterion and reports the overlapping design only as supporting evidence. It also has a price: the non-overlapping sample has only 132 observations, so the tests have low power, and results move with the starting offset.</w:t>
      </w:r>
    </w:p>
    <w:bookmarkEnd w:id="59"/>
    <w:bookmarkEnd w:id="60"/>
    <w:bookmarkStart w:id="81" w:name="backtest-results"/>
    <w:p>
      <w:pPr>
        <w:pStyle w:val="Heading1"/>
      </w:pPr>
      <w:r>
        <w:rPr>
          <w:rStyle w:val="SectionNumber"/>
        </w:rPr>
        <w:t xml:space="preserve">9</w:t>
      </w:r>
      <w:r>
        <w:tab/>
      </w:r>
      <w:r>
        <w:t xml:space="preserve">Backtest results</w:t>
      </w:r>
    </w:p>
    <w:bookmarkStart w:id="61" w:name="design"/>
    <w:p>
      <w:pPr>
        <w:pStyle w:val="Heading2"/>
      </w:pPr>
      <w:r>
        <w:rPr>
          <w:rStyle w:val="SectionNumber"/>
        </w:rPr>
        <w:t xml:space="preserve">9.1</w:t>
      </w:r>
      <w:r>
        <w:tab/>
      </w:r>
      <w:r>
        <w:t xml:space="preserve">Design</w:t>
      </w:r>
    </w:p>
    <w:p>
      <w:pPr>
        <w:pStyle w:val="FirstParagraph"/>
      </w:pPr>
      <w:r>
        <w:t xml:space="preserve">The 1-day tests use 1,327 daily observations from 30 Aug 2021 to 29 Sep 2026. The first valid date is set by the need for a full calibration window of 750 days plus the horizon. The 10-day designs use the same dates, either every date (overlapping, 1,318 observations) or every tenth (non-overlapping, 132).</w:t>
      </w:r>
    </w:p>
    <w:bookmarkEnd w:id="61"/>
    <w:bookmarkStart w:id="74" w:name="X0ac6a0fc6b1e7dd8134d249ff7ab0da49c1e131"/>
    <w:p>
      <w:pPr>
        <w:pStyle w:val="Heading2"/>
      </w:pPr>
      <w:r>
        <w:rPr>
          <w:rStyle w:val="SectionNumber"/>
        </w:rPr>
        <w:t xml:space="preserve">9.2</w:t>
      </w:r>
      <w:r>
        <w:tab/>
      </w:r>
      <w:r>
        <w:t xml:space="preserve">Champion, challengers and the SIMM-style series</w:t>
      </w:r>
    </w:p>
    <w:p>
      <w:pPr>
        <w:pStyle w:val="TableCaption"/>
      </w:pPr>
      <w:r>
        <w:t xml:space="preserve">Backtest battery. Expected exceptions are 1% of n. Zone is the BCBS 22 zone of the exception count. Light is the worst of the three lights defined above.</w:t>
      </w:r>
    </w:p>
    <w:tbl>
      <w:tblPr>
        <w:tblStyle w:val="Table"/>
        <w:tblW w:type="pct" w:w="5000"/>
        <w:tblLayout w:type="fixed"/>
        <w:tblLook w:firstRow="1" w:lastRow="0" w:firstColumn="0" w:lastColumn="0" w:noHBand="0" w:noVBand="0" w:val="0020"/>
        <w:tblCaption w:val="Backtest battery. Expected exceptions are 1% of n. Zone is the BCBS 22 zone of the exception count. Light is the worst of the three lights defined abov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92"/>
        <w:gridCol w:w="792"/>
        <w:gridCol w:w="792"/>
        <w:gridCol w:w="792"/>
        <w:gridCol w:w="792"/>
        <w:gridCol w:w="792"/>
        <w:gridCol w:w="792"/>
        <w:gridCol w:w="792"/>
        <w:gridCol w:w="792"/>
        <w:gridCol w:w="792"/>
      </w:tblGrid>
      <w:tr>
        <w:trPr>
          <w:tblHeader w:val="on"/>
        </w:trPr>
        <w:tc>
          <w:tcPr/>
          <w:p>
            <w:pPr>
              <w:pStyle w:val="Compact"/>
              <w:jc w:val="left"/>
            </w:pPr>
            <w:r>
              <w:rPr>
                <w:sz w:val="17"/>
              </w:rPr>
              <w:t xml:space="preserve">Model</w:t>
            </w:r>
          </w:p>
        </w:tc>
        <w:tc>
          <w:tcPr/>
          <w:p>
            <w:pPr>
              <w:pStyle w:val="Compact"/>
              <w:jc w:val="left"/>
            </w:pPr>
            <w:r>
              <w:rPr>
                <w:sz w:val="17"/>
              </w:rPr>
              <w:t xml:space="preserve">Design</w:t>
            </w:r>
          </w:p>
        </w:tc>
        <w:tc>
          <w:tcPr/>
          <w:p>
            <w:pPr>
              <w:pStyle w:val="Compact"/>
              <w:jc w:val="right"/>
            </w:pPr>
            <w:r>
              <w:rPr>
                <w:sz w:val="17"/>
              </w:rPr>
              <w:t xml:space="preserve">n</w:t>
            </w:r>
          </w:p>
        </w:tc>
        <w:tc>
          <w:tcPr/>
          <w:p>
            <w:pPr>
              <w:pStyle w:val="Compact"/>
              <w:jc w:val="right"/>
            </w:pPr>
            <w:r>
              <w:rPr>
                <w:sz w:val="17"/>
              </w:rPr>
              <w:t xml:space="preserve">Exceptions</w:t>
            </w:r>
          </w:p>
        </w:tc>
        <w:tc>
          <w:tcPr/>
          <w:p>
            <w:pPr>
              <w:pStyle w:val="Compact"/>
              <w:jc w:val="right"/>
            </w:pPr>
            <w:r>
              <w:rPr>
                <w:sz w:val="17"/>
              </w:rPr>
              <w:t xml:space="preserve">Expected</w:t>
            </w:r>
          </w:p>
        </w:tc>
        <w:tc>
          <w:tcPr/>
          <w:p>
            <w:pPr>
              <w:pStyle w:val="Compact"/>
              <w:jc w:val="right"/>
            </w:pPr>
            <w:r>
              <w:rPr>
                <w:sz w:val="17"/>
              </w:rPr>
              <w:t xml:space="preserve">Kupiec p</w:t>
            </w:r>
          </w:p>
        </w:tc>
        <w:tc>
          <w:tcPr/>
          <w:p>
            <w:pPr>
              <w:pStyle w:val="Compact"/>
              <w:jc w:val="right"/>
            </w:pPr>
            <w:r>
              <w:rPr>
                <w:sz w:val="17"/>
              </w:rPr>
              <w:t xml:space="preserve">Christoffersen ind p</w:t>
            </w:r>
          </w:p>
        </w:tc>
        <w:tc>
          <w:tcPr/>
          <w:p>
            <w:pPr>
              <w:pStyle w:val="Compact"/>
              <w:jc w:val="right"/>
            </w:pPr>
            <w:r>
              <w:rPr>
                <w:sz w:val="17"/>
              </w:rPr>
              <w:t xml:space="preserve">Christoffersen cc p</w:t>
            </w:r>
          </w:p>
        </w:tc>
        <w:tc>
          <w:tcPr/>
          <w:p>
            <w:pPr>
              <w:pStyle w:val="Compact"/>
              <w:jc w:val="left"/>
            </w:pPr>
            <w:r>
              <w:rPr>
                <w:sz w:val="17"/>
              </w:rPr>
              <w:t xml:space="preserve">Zone</w:t>
            </w:r>
          </w:p>
        </w:tc>
        <w:tc>
          <w:tcPr/>
          <w:p>
            <w:pPr>
              <w:pStyle w:val="Compact"/>
              <w:jc w:val="left"/>
            </w:pPr>
            <w:r>
              <w:rPr>
                <w:sz w:val="17"/>
              </w:rPr>
              <w:t xml:space="preserve">Light</w:t>
            </w:r>
          </w:p>
        </w:tc>
      </w:tr>
      <w:tr>
        <w:tc>
          <w:tcPr/>
          <w:p>
            <w:pPr>
              <w:pStyle w:val="Compact"/>
              <w:jc w:val="left"/>
            </w:pPr>
            <w:r>
              <w:rPr>
                <w:sz w:val="17"/>
              </w:rPr>
              <w:t xml:space="preserve">Champion HS IM (EU 1+3 window)</w:t>
            </w:r>
          </w:p>
        </w:tc>
        <w:tc>
          <w:tcPr/>
          <w:p>
            <w:pPr>
              <w:pStyle w:val="Compact"/>
              <w:jc w:val="left"/>
            </w:pPr>
            <w:r>
              <w:rPr>
                <w:sz w:val="17"/>
              </w:rPr>
              <w:t xml:space="preserve">1-day</w:t>
            </w:r>
          </w:p>
        </w:tc>
        <w:tc>
          <w:tcPr/>
          <w:p>
            <w:pPr>
              <w:pStyle w:val="Compact"/>
              <w:jc w:val="right"/>
            </w:pPr>
            <w:r>
              <w:rPr>
                <w:sz w:val="17"/>
              </w:rPr>
              <w:t xml:space="preserve">1,327</w:t>
            </w:r>
          </w:p>
        </w:tc>
        <w:tc>
          <w:tcPr/>
          <w:p>
            <w:pPr>
              <w:pStyle w:val="Compact"/>
              <w:jc w:val="right"/>
            </w:pPr>
            <w:r>
              <w:rPr>
                <w:sz w:val="17"/>
              </w:rPr>
              <w:t xml:space="preserve">18</w:t>
            </w:r>
          </w:p>
        </w:tc>
        <w:tc>
          <w:tcPr/>
          <w:p>
            <w:pPr>
              <w:pStyle w:val="Compact"/>
              <w:jc w:val="right"/>
            </w:pPr>
            <w:r>
              <w:rPr>
                <w:sz w:val="17"/>
              </w:rPr>
              <w:t xml:space="preserve">13.3</w:t>
            </w:r>
          </w:p>
        </w:tc>
        <w:tc>
          <w:tcPr/>
          <w:p>
            <w:pPr>
              <w:pStyle w:val="Compact"/>
              <w:jc w:val="right"/>
            </w:pPr>
            <w:r>
              <w:rPr>
                <w:sz w:val="17"/>
              </w:rPr>
              <w:t xml:space="preserve">0.216</w:t>
            </w:r>
          </w:p>
        </w:tc>
        <w:tc>
          <w:tcPr/>
          <w:p>
            <w:pPr>
              <w:pStyle w:val="Compact"/>
              <w:jc w:val="right"/>
            </w:pPr>
            <w:r>
              <w:rPr>
                <w:sz w:val="17"/>
              </w:rPr>
              <w:t xml:space="preserve">0.022</w:t>
            </w:r>
          </w:p>
        </w:tc>
        <w:tc>
          <w:tcPr/>
          <w:p>
            <w:pPr>
              <w:pStyle w:val="Compact"/>
              <w:jc w:val="right"/>
            </w:pPr>
            <w:r>
              <w:rPr>
                <w:sz w:val="17"/>
              </w:rPr>
              <w:t xml:space="preserve">0.034</w:t>
            </w:r>
          </w:p>
        </w:tc>
        <w:tc>
          <w:tcPr/>
          <w:p>
            <w:pPr>
              <w:pStyle w:val="Compact"/>
              <w:jc w:val="left"/>
            </w:pPr>
            <w:r>
              <w:rPr>
                <w:sz w:val="17"/>
              </w:rPr>
              <w:t xml:space="preserve">Green</w:t>
            </w:r>
          </w:p>
        </w:tc>
        <w:tc>
          <w:tcPr/>
          <w:p>
            <w:pPr>
              <w:pStyle w:val="Compact"/>
              <w:jc w:val="left"/>
            </w:pPr>
            <w:r>
              <w:rPr>
                <w:sz w:val="17"/>
              </w:rPr>
              <w:t xml:space="preserve">AMBER</w:t>
            </w:r>
          </w:p>
        </w:tc>
      </w:tr>
      <w:tr>
        <w:tc>
          <w:tcPr/>
          <w:p>
            <w:pPr>
              <w:pStyle w:val="Compact"/>
              <w:jc w:val="left"/>
            </w:pPr>
            <w:r>
              <w:rPr>
                <w:sz w:val="17"/>
              </w:rPr>
              <w:t xml:space="preserve">Champion HS IM (EU 1+3 window)</w:t>
            </w:r>
          </w:p>
        </w:tc>
        <w:tc>
          <w:tcPr/>
          <w:p>
            <w:pPr>
              <w:pStyle w:val="Compact"/>
              <w:jc w:val="left"/>
            </w:pPr>
            <w:r>
              <w:rPr>
                <w:sz w:val="17"/>
              </w:rPr>
              <w:t xml:space="preserve">10-day non-overlapping</w:t>
            </w:r>
          </w:p>
        </w:tc>
        <w:tc>
          <w:tcPr/>
          <w:p>
            <w:pPr>
              <w:pStyle w:val="Compact"/>
              <w:jc w:val="right"/>
            </w:pPr>
            <w:r>
              <w:rPr>
                <w:sz w:val="17"/>
              </w:rPr>
              <w:t xml:space="preserve">132</w:t>
            </w:r>
          </w:p>
        </w:tc>
        <w:tc>
          <w:tcPr/>
          <w:p>
            <w:pPr>
              <w:pStyle w:val="Compact"/>
              <w:jc w:val="right"/>
            </w:pPr>
            <w:r>
              <w:rPr>
                <w:sz w:val="17"/>
              </w:rPr>
              <w:t xml:space="preserve">2</w:t>
            </w:r>
          </w:p>
        </w:tc>
        <w:tc>
          <w:tcPr/>
          <w:p>
            <w:pPr>
              <w:pStyle w:val="Compact"/>
              <w:jc w:val="right"/>
            </w:pPr>
            <w:r>
              <w:rPr>
                <w:sz w:val="17"/>
              </w:rPr>
              <w:t xml:space="preserve">1.3</w:t>
            </w:r>
          </w:p>
        </w:tc>
        <w:tc>
          <w:tcPr/>
          <w:p>
            <w:pPr>
              <w:pStyle w:val="Compact"/>
              <w:jc w:val="right"/>
            </w:pPr>
            <w:r>
              <w:rPr>
                <w:sz w:val="17"/>
              </w:rPr>
              <w:t xml:space="preserve">0.580</w:t>
            </w:r>
          </w:p>
        </w:tc>
        <w:tc>
          <w:tcPr/>
          <w:p>
            <w:pPr>
              <w:pStyle w:val="Compact"/>
              <w:jc w:val="right"/>
            </w:pPr>
            <w:r>
              <w:rPr>
                <w:sz w:val="17"/>
              </w:rPr>
              <w:t xml:space="preserve">0.803</w:t>
            </w:r>
          </w:p>
        </w:tc>
        <w:tc>
          <w:tcPr/>
          <w:p>
            <w:pPr>
              <w:pStyle w:val="Compact"/>
              <w:jc w:val="right"/>
            </w:pPr>
            <w:r>
              <w:rPr>
                <w:sz w:val="17"/>
              </w:rPr>
              <w:t xml:space="preserve">0.832</w:t>
            </w:r>
          </w:p>
        </w:tc>
        <w:tc>
          <w:tcPr/>
          <w:p>
            <w:pPr>
              <w:pStyle w:val="Compact"/>
              <w:jc w:val="left"/>
            </w:pPr>
            <w:r>
              <w:rPr>
                <w:sz w:val="17"/>
              </w:rPr>
              <w:t xml:space="preserve">Green</w:t>
            </w:r>
          </w:p>
        </w:tc>
        <w:tc>
          <w:tcPr/>
          <w:p>
            <w:pPr>
              <w:pStyle w:val="Compact"/>
              <w:jc w:val="left"/>
            </w:pPr>
            <w:r>
              <w:rPr>
                <w:sz w:val="17"/>
              </w:rPr>
              <w:t xml:space="preserve">PASS</w:t>
            </w:r>
          </w:p>
        </w:tc>
      </w:tr>
      <w:tr>
        <w:tc>
          <w:tcPr/>
          <w:p>
            <w:pPr>
              <w:pStyle w:val="Compact"/>
              <w:jc w:val="left"/>
            </w:pPr>
            <w:r>
              <w:rPr>
                <w:sz w:val="17"/>
              </w:rPr>
              <w:t xml:space="preserve">Champion HS IM (EU 1+3 window)</w:t>
            </w:r>
          </w:p>
        </w:tc>
        <w:tc>
          <w:tcPr/>
          <w:p>
            <w:pPr>
              <w:pStyle w:val="Compact"/>
              <w:jc w:val="left"/>
            </w:pPr>
            <w:r>
              <w:rPr>
                <w:sz w:val="17"/>
              </w:rPr>
              <w:t xml:space="preserve">10-day overlapping</w:t>
            </w:r>
          </w:p>
        </w:tc>
        <w:tc>
          <w:tcPr/>
          <w:p>
            <w:pPr>
              <w:pStyle w:val="Compact"/>
              <w:jc w:val="right"/>
            </w:pPr>
            <w:r>
              <w:rPr>
                <w:sz w:val="17"/>
              </w:rPr>
              <w:t xml:space="preserve">1,318</w:t>
            </w:r>
          </w:p>
        </w:tc>
        <w:tc>
          <w:tcPr/>
          <w:p>
            <w:pPr>
              <w:pStyle w:val="Compact"/>
              <w:jc w:val="right"/>
            </w:pPr>
            <w:r>
              <w:rPr>
                <w:sz w:val="17"/>
              </w:rPr>
              <w:t xml:space="preserve">31</w:t>
            </w:r>
          </w:p>
        </w:tc>
        <w:tc>
          <w:tcPr/>
          <w:p>
            <w:pPr>
              <w:pStyle w:val="Compact"/>
              <w:jc w:val="right"/>
            </w:pPr>
            <w:r>
              <w:rPr>
                <w:sz w:val="17"/>
              </w:rPr>
              <w:t xml:space="preserve">13.2</w:t>
            </w:r>
          </w:p>
        </w:tc>
        <w:tc>
          <w:tcPr/>
          <w:p>
            <w:pPr>
              <w:pStyle w:val="Compact"/>
              <w:jc w:val="right"/>
            </w:pPr>
            <w:r>
              <w:rPr>
                <w:sz w:val="17"/>
              </w:rPr>
              <w:t xml:space="preserve">2.7e-05</w:t>
            </w:r>
          </w:p>
        </w:tc>
        <w:tc>
          <w:tcPr/>
          <w:p>
            <w:pPr>
              <w:pStyle w:val="Compact"/>
              <w:jc w:val="right"/>
            </w:pPr>
            <w:r>
              <w:rPr>
                <w:sz w:val="17"/>
              </w:rPr>
              <w:t xml:space="preserve">2.7e-34</w:t>
            </w:r>
          </w:p>
        </w:tc>
        <w:tc>
          <w:tcPr/>
          <w:p>
            <w:pPr>
              <w:pStyle w:val="Compact"/>
              <w:jc w:val="right"/>
            </w:pPr>
            <w:r>
              <w:rPr>
                <w:sz w:val="17"/>
              </w:rPr>
              <w:t xml:space="preserve">6.2e-37</w:t>
            </w:r>
          </w:p>
        </w:tc>
        <w:tc>
          <w:tcPr/>
          <w:p>
            <w:pPr>
              <w:pStyle w:val="Compact"/>
              <w:jc w:val="left"/>
            </w:pPr>
            <w:r>
              <w:rPr>
                <w:sz w:val="17"/>
              </w:rPr>
              <w:t xml:space="preserve">Red</w:t>
            </w:r>
          </w:p>
        </w:tc>
        <w:tc>
          <w:tcPr/>
          <w:p>
            <w:pPr>
              <w:pStyle w:val="Compact"/>
              <w:jc w:val="left"/>
            </w:pPr>
            <w:r>
              <w:rPr>
                <w:sz w:val="17"/>
              </w:rPr>
              <w:t xml:space="preserve">RED</w:t>
            </w:r>
          </w:p>
        </w:tc>
      </w:tr>
      <w:tr>
        <w:tc>
          <w:tcPr/>
          <w:p>
            <w:pPr>
              <w:pStyle w:val="Compact"/>
              <w:jc w:val="left"/>
            </w:pPr>
            <w:r>
              <w:rPr>
                <w:sz w:val="17"/>
              </w:rPr>
              <w:t xml:space="preserve">EWMA challenger</w:t>
            </w:r>
          </w:p>
        </w:tc>
        <w:tc>
          <w:tcPr/>
          <w:p>
            <w:pPr>
              <w:pStyle w:val="Compact"/>
              <w:jc w:val="left"/>
            </w:pPr>
            <w:r>
              <w:rPr>
                <w:sz w:val="17"/>
              </w:rPr>
              <w:t xml:space="preserve">1-day</w:t>
            </w:r>
          </w:p>
        </w:tc>
        <w:tc>
          <w:tcPr/>
          <w:p>
            <w:pPr>
              <w:pStyle w:val="Compact"/>
              <w:jc w:val="right"/>
            </w:pPr>
            <w:r>
              <w:rPr>
                <w:sz w:val="17"/>
              </w:rPr>
              <w:t xml:space="preserve">1,327</w:t>
            </w:r>
          </w:p>
        </w:tc>
        <w:tc>
          <w:tcPr/>
          <w:p>
            <w:pPr>
              <w:pStyle w:val="Compact"/>
              <w:jc w:val="right"/>
            </w:pPr>
            <w:r>
              <w:rPr>
                <w:sz w:val="17"/>
              </w:rPr>
              <w:t xml:space="preserve">31</w:t>
            </w:r>
          </w:p>
        </w:tc>
        <w:tc>
          <w:tcPr/>
          <w:p>
            <w:pPr>
              <w:pStyle w:val="Compact"/>
              <w:jc w:val="right"/>
            </w:pPr>
            <w:r>
              <w:rPr>
                <w:sz w:val="17"/>
              </w:rPr>
              <w:t xml:space="preserve">13.3</w:t>
            </w:r>
          </w:p>
        </w:tc>
        <w:tc>
          <w:tcPr/>
          <w:p>
            <w:pPr>
              <w:pStyle w:val="Compact"/>
              <w:jc w:val="right"/>
            </w:pPr>
            <w:r>
              <w:rPr>
                <w:sz w:val="17"/>
              </w:rPr>
              <w:t xml:space="preserve">3.1e-05</w:t>
            </w:r>
          </w:p>
        </w:tc>
        <w:tc>
          <w:tcPr/>
          <w:p>
            <w:pPr>
              <w:pStyle w:val="Compact"/>
              <w:jc w:val="right"/>
            </w:pPr>
            <w:r>
              <w:rPr>
                <w:sz w:val="17"/>
              </w:rPr>
              <w:t xml:space="preserve">0.203</w:t>
            </w:r>
          </w:p>
        </w:tc>
        <w:tc>
          <w:tcPr/>
          <w:p>
            <w:pPr>
              <w:pStyle w:val="Compact"/>
              <w:jc w:val="right"/>
            </w:pPr>
            <w:r>
              <w:rPr>
                <w:sz w:val="17"/>
              </w:rPr>
              <w:t xml:space="preserve">7.5e-05</w:t>
            </w:r>
          </w:p>
        </w:tc>
        <w:tc>
          <w:tcPr/>
          <w:p>
            <w:pPr>
              <w:pStyle w:val="Compact"/>
              <w:jc w:val="left"/>
            </w:pPr>
            <w:r>
              <w:rPr>
                <w:sz w:val="17"/>
              </w:rPr>
              <w:t xml:space="preserve">Red</w:t>
            </w:r>
          </w:p>
        </w:tc>
        <w:tc>
          <w:tcPr/>
          <w:p>
            <w:pPr>
              <w:pStyle w:val="Compact"/>
              <w:jc w:val="left"/>
            </w:pPr>
            <w:r>
              <w:rPr>
                <w:sz w:val="17"/>
              </w:rPr>
              <w:t xml:space="preserve">RED</w:t>
            </w:r>
          </w:p>
        </w:tc>
      </w:tr>
      <w:tr>
        <w:tc>
          <w:tcPr/>
          <w:p>
            <w:pPr>
              <w:pStyle w:val="Compact"/>
              <w:jc w:val="left"/>
            </w:pPr>
            <w:r>
              <w:rPr>
                <w:sz w:val="17"/>
              </w:rPr>
              <w:t xml:space="preserve">EWMA challenger</w:t>
            </w:r>
          </w:p>
        </w:tc>
        <w:tc>
          <w:tcPr/>
          <w:p>
            <w:pPr>
              <w:pStyle w:val="Compact"/>
              <w:jc w:val="left"/>
            </w:pPr>
            <w:r>
              <w:rPr>
                <w:sz w:val="17"/>
              </w:rPr>
              <w:t xml:space="preserve">10-day non-overlapping</w:t>
            </w:r>
          </w:p>
        </w:tc>
        <w:tc>
          <w:tcPr/>
          <w:p>
            <w:pPr>
              <w:pStyle w:val="Compact"/>
              <w:jc w:val="right"/>
            </w:pPr>
            <w:r>
              <w:rPr>
                <w:sz w:val="17"/>
              </w:rPr>
              <w:t xml:space="preserve">132</w:t>
            </w:r>
          </w:p>
        </w:tc>
        <w:tc>
          <w:tcPr/>
          <w:p>
            <w:pPr>
              <w:pStyle w:val="Compact"/>
              <w:jc w:val="right"/>
            </w:pPr>
            <w:r>
              <w:rPr>
                <w:sz w:val="17"/>
              </w:rPr>
              <w:t xml:space="preserve">6</w:t>
            </w:r>
          </w:p>
        </w:tc>
        <w:tc>
          <w:tcPr/>
          <w:p>
            <w:pPr>
              <w:pStyle w:val="Compact"/>
              <w:jc w:val="right"/>
            </w:pPr>
            <w:r>
              <w:rPr>
                <w:sz w:val="17"/>
              </w:rPr>
              <w:t xml:space="preserve">1.3</w:t>
            </w:r>
          </w:p>
        </w:tc>
        <w:tc>
          <w:tcPr/>
          <w:p>
            <w:pPr>
              <w:pStyle w:val="Compact"/>
              <w:jc w:val="right"/>
            </w:pPr>
            <w:r>
              <w:rPr>
                <w:sz w:val="17"/>
              </w:rPr>
              <w:t xml:space="preserve">0.003</w:t>
            </w:r>
          </w:p>
        </w:tc>
        <w:tc>
          <w:tcPr/>
          <w:p>
            <w:pPr>
              <w:pStyle w:val="Compact"/>
              <w:jc w:val="right"/>
            </w:pPr>
            <w:r>
              <w:rPr>
                <w:sz w:val="17"/>
              </w:rPr>
              <w:t xml:space="preserve">0.249</w:t>
            </w:r>
          </w:p>
        </w:tc>
        <w:tc>
          <w:tcPr/>
          <w:p>
            <w:pPr>
              <w:pStyle w:val="Compact"/>
              <w:jc w:val="right"/>
            </w:pPr>
            <w:r>
              <w:rPr>
                <w:sz w:val="17"/>
              </w:rPr>
              <w:t xml:space="preserve">0.006</w:t>
            </w:r>
          </w:p>
        </w:tc>
        <w:tc>
          <w:tcPr/>
          <w:p>
            <w:pPr>
              <w:pStyle w:val="Compact"/>
              <w:jc w:val="left"/>
            </w:pPr>
            <w:r>
              <w:rPr>
                <w:sz w:val="17"/>
              </w:rPr>
              <w:t xml:space="preserve">Yellow</w:t>
            </w:r>
          </w:p>
        </w:tc>
        <w:tc>
          <w:tcPr/>
          <w:p>
            <w:pPr>
              <w:pStyle w:val="Compact"/>
              <w:jc w:val="left"/>
            </w:pPr>
            <w:r>
              <w:rPr>
                <w:sz w:val="17"/>
              </w:rPr>
              <w:t xml:space="preserve">RED</w:t>
            </w:r>
          </w:p>
        </w:tc>
      </w:tr>
      <w:tr>
        <w:tc>
          <w:tcPr/>
          <w:p>
            <w:pPr>
              <w:pStyle w:val="Compact"/>
              <w:jc w:val="left"/>
            </w:pPr>
            <w:r>
              <w:rPr>
                <w:sz w:val="17"/>
              </w:rPr>
              <w:t xml:space="preserve">EWMA challenger</w:t>
            </w:r>
          </w:p>
        </w:tc>
        <w:tc>
          <w:tcPr/>
          <w:p>
            <w:pPr>
              <w:pStyle w:val="Compact"/>
              <w:jc w:val="left"/>
            </w:pPr>
            <w:r>
              <w:rPr>
                <w:sz w:val="17"/>
              </w:rPr>
              <w:t xml:space="preserve">10-day overlapping</w:t>
            </w:r>
          </w:p>
        </w:tc>
        <w:tc>
          <w:tcPr/>
          <w:p>
            <w:pPr>
              <w:pStyle w:val="Compact"/>
              <w:jc w:val="right"/>
            </w:pPr>
            <w:r>
              <w:rPr>
                <w:sz w:val="17"/>
              </w:rPr>
              <w:t xml:space="preserve">1,318</w:t>
            </w:r>
          </w:p>
        </w:tc>
        <w:tc>
          <w:tcPr/>
          <w:p>
            <w:pPr>
              <w:pStyle w:val="Compact"/>
              <w:jc w:val="right"/>
            </w:pPr>
            <w:r>
              <w:rPr>
                <w:sz w:val="17"/>
              </w:rPr>
              <w:t xml:space="preserve">66</w:t>
            </w:r>
          </w:p>
        </w:tc>
        <w:tc>
          <w:tcPr/>
          <w:p>
            <w:pPr>
              <w:pStyle w:val="Compact"/>
              <w:jc w:val="right"/>
            </w:pPr>
            <w:r>
              <w:rPr>
                <w:sz w:val="17"/>
              </w:rPr>
              <w:t xml:space="preserve">13.2</w:t>
            </w:r>
          </w:p>
        </w:tc>
        <w:tc>
          <w:tcPr/>
          <w:p>
            <w:pPr>
              <w:pStyle w:val="Compact"/>
              <w:jc w:val="right"/>
            </w:pPr>
            <w:r>
              <w:rPr>
                <w:sz w:val="17"/>
              </w:rPr>
              <w:t xml:space="preserve">1.5e-25</w:t>
            </w:r>
          </w:p>
        </w:tc>
        <w:tc>
          <w:tcPr/>
          <w:p>
            <w:pPr>
              <w:pStyle w:val="Compact"/>
              <w:jc w:val="right"/>
            </w:pPr>
            <w:r>
              <w:rPr>
                <w:sz w:val="17"/>
              </w:rPr>
              <w:t xml:space="preserve">8.2e-56</w:t>
            </w:r>
          </w:p>
        </w:tc>
        <w:tc>
          <w:tcPr/>
          <w:p>
            <w:pPr>
              <w:pStyle w:val="Compact"/>
              <w:jc w:val="right"/>
            </w:pPr>
            <w:r>
              <w:rPr>
                <w:sz w:val="17"/>
              </w:rPr>
              <w:t xml:space="preserve">3.2e-78</w:t>
            </w:r>
          </w:p>
        </w:tc>
        <w:tc>
          <w:tcPr/>
          <w:p>
            <w:pPr>
              <w:pStyle w:val="Compact"/>
              <w:jc w:val="left"/>
            </w:pPr>
            <w:r>
              <w:rPr>
                <w:sz w:val="17"/>
              </w:rPr>
              <w:t xml:space="preserve">Red</w:t>
            </w:r>
          </w:p>
        </w:tc>
        <w:tc>
          <w:tcPr/>
          <w:p>
            <w:pPr>
              <w:pStyle w:val="Compact"/>
              <w:jc w:val="left"/>
            </w:pPr>
            <w:r>
              <w:rPr>
                <w:sz w:val="17"/>
              </w:rPr>
              <w:t xml:space="preserve">RED</w:t>
            </w:r>
          </w:p>
        </w:tc>
      </w:tr>
      <w:tr>
        <w:tc>
          <w:tcPr/>
          <w:p>
            <w:pPr>
              <w:pStyle w:val="Compact"/>
              <w:jc w:val="left"/>
            </w:pPr>
            <w:r>
              <w:rPr>
                <w:sz w:val="17"/>
              </w:rPr>
              <w:t xml:space="preserve">Plain 250-day challenger</w:t>
            </w:r>
          </w:p>
        </w:tc>
        <w:tc>
          <w:tcPr/>
          <w:p>
            <w:pPr>
              <w:pStyle w:val="Compact"/>
              <w:jc w:val="left"/>
            </w:pPr>
            <w:r>
              <w:rPr>
                <w:sz w:val="17"/>
              </w:rPr>
              <w:t xml:space="preserve">1-day</w:t>
            </w:r>
          </w:p>
        </w:tc>
        <w:tc>
          <w:tcPr/>
          <w:p>
            <w:pPr>
              <w:pStyle w:val="Compact"/>
              <w:jc w:val="right"/>
            </w:pPr>
            <w:r>
              <w:rPr>
                <w:sz w:val="17"/>
              </w:rPr>
              <w:t xml:space="preserve">1,327</w:t>
            </w:r>
          </w:p>
        </w:tc>
        <w:tc>
          <w:tcPr/>
          <w:p>
            <w:pPr>
              <w:pStyle w:val="Compact"/>
              <w:jc w:val="right"/>
            </w:pPr>
            <w:r>
              <w:rPr>
                <w:sz w:val="17"/>
              </w:rPr>
              <w:t xml:space="preserve">24</w:t>
            </w:r>
          </w:p>
        </w:tc>
        <w:tc>
          <w:tcPr/>
          <w:p>
            <w:pPr>
              <w:pStyle w:val="Compact"/>
              <w:jc w:val="right"/>
            </w:pPr>
            <w:r>
              <w:rPr>
                <w:sz w:val="17"/>
              </w:rPr>
              <w:t xml:space="preserve">13.3</w:t>
            </w:r>
          </w:p>
        </w:tc>
        <w:tc>
          <w:tcPr/>
          <w:p>
            <w:pPr>
              <w:pStyle w:val="Compact"/>
              <w:jc w:val="right"/>
            </w:pPr>
            <w:r>
              <w:rPr>
                <w:sz w:val="17"/>
              </w:rPr>
              <w:t xml:space="preserve">0.008</w:t>
            </w:r>
          </w:p>
        </w:tc>
        <w:tc>
          <w:tcPr/>
          <w:p>
            <w:pPr>
              <w:pStyle w:val="Compact"/>
              <w:jc w:val="right"/>
            </w:pPr>
            <w:r>
              <w:rPr>
                <w:sz w:val="17"/>
              </w:rPr>
              <w:t xml:space="preserve">0.453</w:t>
            </w:r>
          </w:p>
        </w:tc>
        <w:tc>
          <w:tcPr/>
          <w:p>
            <w:pPr>
              <w:pStyle w:val="Compact"/>
              <w:jc w:val="right"/>
            </w:pPr>
            <w:r>
              <w:rPr>
                <w:sz w:val="17"/>
              </w:rPr>
              <w:t xml:space="preserve">0.022</w:t>
            </w:r>
          </w:p>
        </w:tc>
        <w:tc>
          <w:tcPr/>
          <w:p>
            <w:pPr>
              <w:pStyle w:val="Compact"/>
              <w:jc w:val="left"/>
            </w:pPr>
            <w:r>
              <w:rPr>
                <w:sz w:val="17"/>
              </w:rPr>
              <w:t xml:space="preserve">Yellow</w:t>
            </w:r>
          </w:p>
        </w:tc>
        <w:tc>
          <w:tcPr/>
          <w:p>
            <w:pPr>
              <w:pStyle w:val="Compact"/>
              <w:jc w:val="left"/>
            </w:pPr>
            <w:r>
              <w:rPr>
                <w:sz w:val="17"/>
              </w:rPr>
              <w:t xml:space="preserve">RED</w:t>
            </w:r>
          </w:p>
        </w:tc>
      </w:tr>
      <w:tr>
        <w:tc>
          <w:tcPr/>
          <w:p>
            <w:pPr>
              <w:pStyle w:val="Compact"/>
              <w:jc w:val="left"/>
            </w:pPr>
            <w:r>
              <w:rPr>
                <w:sz w:val="17"/>
              </w:rPr>
              <w:t xml:space="preserve">Plain 250-day challenger</w:t>
            </w:r>
          </w:p>
        </w:tc>
        <w:tc>
          <w:tcPr/>
          <w:p>
            <w:pPr>
              <w:pStyle w:val="Compact"/>
              <w:jc w:val="left"/>
            </w:pPr>
            <w:r>
              <w:rPr>
                <w:sz w:val="17"/>
              </w:rPr>
              <w:t xml:space="preserve">10-day non-overlapping</w:t>
            </w:r>
          </w:p>
        </w:tc>
        <w:tc>
          <w:tcPr/>
          <w:p>
            <w:pPr>
              <w:pStyle w:val="Compact"/>
              <w:jc w:val="right"/>
            </w:pPr>
            <w:r>
              <w:rPr>
                <w:sz w:val="17"/>
              </w:rPr>
              <w:t xml:space="preserve">132</w:t>
            </w:r>
          </w:p>
        </w:tc>
        <w:tc>
          <w:tcPr/>
          <w:p>
            <w:pPr>
              <w:pStyle w:val="Compact"/>
              <w:jc w:val="right"/>
            </w:pPr>
            <w:r>
              <w:rPr>
                <w:sz w:val="17"/>
              </w:rPr>
              <w:t xml:space="preserve">6</w:t>
            </w:r>
          </w:p>
        </w:tc>
        <w:tc>
          <w:tcPr/>
          <w:p>
            <w:pPr>
              <w:pStyle w:val="Compact"/>
              <w:jc w:val="right"/>
            </w:pPr>
            <w:r>
              <w:rPr>
                <w:sz w:val="17"/>
              </w:rPr>
              <w:t xml:space="preserve">1.3</w:t>
            </w:r>
          </w:p>
        </w:tc>
        <w:tc>
          <w:tcPr/>
          <w:p>
            <w:pPr>
              <w:pStyle w:val="Compact"/>
              <w:jc w:val="right"/>
            </w:pPr>
            <w:r>
              <w:rPr>
                <w:sz w:val="17"/>
              </w:rPr>
              <w:t xml:space="preserve">0.003</w:t>
            </w:r>
          </w:p>
        </w:tc>
        <w:tc>
          <w:tcPr/>
          <w:p>
            <w:pPr>
              <w:pStyle w:val="Compact"/>
              <w:jc w:val="right"/>
            </w:pPr>
            <w:r>
              <w:rPr>
                <w:sz w:val="17"/>
              </w:rPr>
              <w:t xml:space="preserve">0.249</w:t>
            </w:r>
          </w:p>
        </w:tc>
        <w:tc>
          <w:tcPr/>
          <w:p>
            <w:pPr>
              <w:pStyle w:val="Compact"/>
              <w:jc w:val="right"/>
            </w:pPr>
            <w:r>
              <w:rPr>
                <w:sz w:val="17"/>
              </w:rPr>
              <w:t xml:space="preserve">0.006</w:t>
            </w:r>
          </w:p>
        </w:tc>
        <w:tc>
          <w:tcPr/>
          <w:p>
            <w:pPr>
              <w:pStyle w:val="Compact"/>
              <w:jc w:val="left"/>
            </w:pPr>
            <w:r>
              <w:rPr>
                <w:sz w:val="17"/>
              </w:rPr>
              <w:t xml:space="preserve">Yellow</w:t>
            </w:r>
          </w:p>
        </w:tc>
        <w:tc>
          <w:tcPr/>
          <w:p>
            <w:pPr>
              <w:pStyle w:val="Compact"/>
              <w:jc w:val="left"/>
            </w:pPr>
            <w:r>
              <w:rPr>
                <w:sz w:val="17"/>
              </w:rPr>
              <w:t xml:space="preserve">RED</w:t>
            </w:r>
          </w:p>
        </w:tc>
      </w:tr>
      <w:tr>
        <w:tc>
          <w:tcPr/>
          <w:p>
            <w:pPr>
              <w:pStyle w:val="Compact"/>
              <w:jc w:val="left"/>
            </w:pPr>
            <w:r>
              <w:rPr>
                <w:sz w:val="17"/>
              </w:rPr>
              <w:t xml:space="preserve">Plain 250-day challenger</w:t>
            </w:r>
          </w:p>
        </w:tc>
        <w:tc>
          <w:tcPr/>
          <w:p>
            <w:pPr>
              <w:pStyle w:val="Compact"/>
              <w:jc w:val="left"/>
            </w:pPr>
            <w:r>
              <w:rPr>
                <w:sz w:val="17"/>
              </w:rPr>
              <w:t xml:space="preserve">10-day overlapping</w:t>
            </w:r>
          </w:p>
        </w:tc>
        <w:tc>
          <w:tcPr/>
          <w:p>
            <w:pPr>
              <w:pStyle w:val="Compact"/>
              <w:jc w:val="right"/>
            </w:pPr>
            <w:r>
              <w:rPr>
                <w:sz w:val="17"/>
              </w:rPr>
              <w:t xml:space="preserve">1,318</w:t>
            </w:r>
          </w:p>
        </w:tc>
        <w:tc>
          <w:tcPr/>
          <w:p>
            <w:pPr>
              <w:pStyle w:val="Compact"/>
              <w:jc w:val="right"/>
            </w:pPr>
            <w:r>
              <w:rPr>
                <w:sz w:val="17"/>
              </w:rPr>
              <w:t xml:space="preserve">44</w:t>
            </w:r>
          </w:p>
        </w:tc>
        <w:tc>
          <w:tcPr/>
          <w:p>
            <w:pPr>
              <w:pStyle w:val="Compact"/>
              <w:jc w:val="right"/>
            </w:pPr>
            <w:r>
              <w:rPr>
                <w:sz w:val="17"/>
              </w:rPr>
              <w:t xml:space="preserve">13.2</w:t>
            </w:r>
          </w:p>
        </w:tc>
        <w:tc>
          <w:tcPr/>
          <w:p>
            <w:pPr>
              <w:pStyle w:val="Compact"/>
              <w:jc w:val="right"/>
            </w:pPr>
            <w:r>
              <w:rPr>
                <w:sz w:val="17"/>
              </w:rPr>
              <w:t xml:space="preserve">1.8e-11</w:t>
            </w:r>
          </w:p>
        </w:tc>
        <w:tc>
          <w:tcPr/>
          <w:p>
            <w:pPr>
              <w:pStyle w:val="Compact"/>
              <w:jc w:val="right"/>
            </w:pPr>
            <w:r>
              <w:rPr>
                <w:sz w:val="17"/>
              </w:rPr>
              <w:t xml:space="preserve">8.1e-53</w:t>
            </w:r>
          </w:p>
        </w:tc>
        <w:tc>
          <w:tcPr/>
          <w:p>
            <w:pPr>
              <w:pStyle w:val="Compact"/>
              <w:jc w:val="right"/>
            </w:pPr>
            <w:r>
              <w:rPr>
                <w:sz w:val="17"/>
              </w:rPr>
              <w:t xml:space="preserve">2.4e-61</w:t>
            </w:r>
          </w:p>
        </w:tc>
        <w:tc>
          <w:tcPr/>
          <w:p>
            <w:pPr>
              <w:pStyle w:val="Compact"/>
              <w:jc w:val="left"/>
            </w:pPr>
            <w:r>
              <w:rPr>
                <w:sz w:val="17"/>
              </w:rPr>
              <w:t xml:space="preserve">Red</w:t>
            </w:r>
          </w:p>
        </w:tc>
        <w:tc>
          <w:tcPr/>
          <w:p>
            <w:pPr>
              <w:pStyle w:val="Compact"/>
              <w:jc w:val="left"/>
            </w:pPr>
            <w:r>
              <w:rPr>
                <w:sz w:val="17"/>
              </w:rPr>
              <w:t xml:space="preserve">RED</w:t>
            </w:r>
          </w:p>
        </w:tc>
      </w:tr>
      <w:tr>
        <w:tc>
          <w:tcPr/>
          <w:p>
            <w:pPr>
              <w:pStyle w:val="Compact"/>
              <w:jc w:val="left"/>
            </w:pPr>
            <w:r>
              <w:rPr>
                <w:sz w:val="17"/>
              </w:rPr>
              <w:t xml:space="preserve">Champion x 0.7 challenger</w:t>
            </w:r>
          </w:p>
        </w:tc>
        <w:tc>
          <w:tcPr/>
          <w:p>
            <w:pPr>
              <w:pStyle w:val="Compact"/>
              <w:jc w:val="left"/>
            </w:pPr>
            <w:r>
              <w:rPr>
                <w:sz w:val="17"/>
              </w:rPr>
              <w:t xml:space="preserve">1-day</w:t>
            </w:r>
          </w:p>
        </w:tc>
        <w:tc>
          <w:tcPr/>
          <w:p>
            <w:pPr>
              <w:pStyle w:val="Compact"/>
              <w:jc w:val="right"/>
            </w:pPr>
            <w:r>
              <w:rPr>
                <w:sz w:val="17"/>
              </w:rPr>
              <w:t xml:space="preserve">1,327</w:t>
            </w:r>
          </w:p>
        </w:tc>
        <w:tc>
          <w:tcPr/>
          <w:p>
            <w:pPr>
              <w:pStyle w:val="Compact"/>
              <w:jc w:val="right"/>
            </w:pPr>
            <w:r>
              <w:rPr>
                <w:sz w:val="17"/>
              </w:rPr>
              <w:t xml:space="preserve">54</w:t>
            </w:r>
          </w:p>
        </w:tc>
        <w:tc>
          <w:tcPr/>
          <w:p>
            <w:pPr>
              <w:pStyle w:val="Compact"/>
              <w:jc w:val="right"/>
            </w:pPr>
            <w:r>
              <w:rPr>
                <w:sz w:val="17"/>
              </w:rPr>
              <w:t xml:space="preserve">13.3</w:t>
            </w:r>
          </w:p>
        </w:tc>
        <w:tc>
          <w:tcPr/>
          <w:p>
            <w:pPr>
              <w:pStyle w:val="Compact"/>
              <w:jc w:val="right"/>
            </w:pPr>
            <w:r>
              <w:rPr>
                <w:sz w:val="17"/>
              </w:rPr>
              <w:t xml:space="preserve">2.9e-17</w:t>
            </w:r>
          </w:p>
        </w:tc>
        <w:tc>
          <w:tcPr/>
          <w:p>
            <w:pPr>
              <w:pStyle w:val="Compact"/>
              <w:jc w:val="right"/>
            </w:pPr>
            <w:r>
              <w:rPr>
                <w:sz w:val="17"/>
              </w:rPr>
              <w:t xml:space="preserve">3.3e-05</w:t>
            </w:r>
          </w:p>
        </w:tc>
        <w:tc>
          <w:tcPr/>
          <w:p>
            <w:pPr>
              <w:pStyle w:val="Compact"/>
              <w:jc w:val="right"/>
            </w:pPr>
            <w:r>
              <w:rPr>
                <w:sz w:val="17"/>
              </w:rPr>
              <w:t xml:space="preserve">5.7e-20</w:t>
            </w:r>
          </w:p>
        </w:tc>
        <w:tc>
          <w:tcPr/>
          <w:p>
            <w:pPr>
              <w:pStyle w:val="Compact"/>
              <w:jc w:val="left"/>
            </w:pPr>
            <w:r>
              <w:rPr>
                <w:sz w:val="17"/>
              </w:rPr>
              <w:t xml:space="preserve">Red</w:t>
            </w:r>
          </w:p>
        </w:tc>
        <w:tc>
          <w:tcPr/>
          <w:p>
            <w:pPr>
              <w:pStyle w:val="Compact"/>
              <w:jc w:val="left"/>
            </w:pPr>
            <w:r>
              <w:rPr>
                <w:sz w:val="17"/>
              </w:rPr>
              <w:t xml:space="preserve">RED</w:t>
            </w:r>
          </w:p>
        </w:tc>
      </w:tr>
      <w:tr>
        <w:tc>
          <w:tcPr/>
          <w:p>
            <w:pPr>
              <w:pStyle w:val="Compact"/>
              <w:jc w:val="left"/>
            </w:pPr>
            <w:r>
              <w:rPr>
                <w:sz w:val="17"/>
              </w:rPr>
              <w:t xml:space="preserve">Champion x 0.7 challenger</w:t>
            </w:r>
          </w:p>
        </w:tc>
        <w:tc>
          <w:tcPr/>
          <w:p>
            <w:pPr>
              <w:pStyle w:val="Compact"/>
              <w:jc w:val="left"/>
            </w:pPr>
            <w:r>
              <w:rPr>
                <w:sz w:val="17"/>
              </w:rPr>
              <w:t xml:space="preserve">10-day non-overlapping</w:t>
            </w:r>
          </w:p>
        </w:tc>
        <w:tc>
          <w:tcPr/>
          <w:p>
            <w:pPr>
              <w:pStyle w:val="Compact"/>
              <w:jc w:val="right"/>
            </w:pPr>
            <w:r>
              <w:rPr>
                <w:sz w:val="17"/>
              </w:rPr>
              <w:t xml:space="preserve">132</w:t>
            </w:r>
          </w:p>
        </w:tc>
        <w:tc>
          <w:tcPr/>
          <w:p>
            <w:pPr>
              <w:pStyle w:val="Compact"/>
              <w:jc w:val="right"/>
            </w:pPr>
            <w:r>
              <w:rPr>
                <w:sz w:val="17"/>
              </w:rPr>
              <w:t xml:space="preserve">6</w:t>
            </w:r>
          </w:p>
        </w:tc>
        <w:tc>
          <w:tcPr/>
          <w:p>
            <w:pPr>
              <w:pStyle w:val="Compact"/>
              <w:jc w:val="right"/>
            </w:pPr>
            <w:r>
              <w:rPr>
                <w:sz w:val="17"/>
              </w:rPr>
              <w:t xml:space="preserve">1.3</w:t>
            </w:r>
          </w:p>
        </w:tc>
        <w:tc>
          <w:tcPr/>
          <w:p>
            <w:pPr>
              <w:pStyle w:val="Compact"/>
              <w:jc w:val="right"/>
            </w:pPr>
            <w:r>
              <w:rPr>
                <w:sz w:val="17"/>
              </w:rPr>
              <w:t xml:space="preserve">0.003</w:t>
            </w:r>
          </w:p>
        </w:tc>
        <w:tc>
          <w:tcPr/>
          <w:p>
            <w:pPr>
              <w:pStyle w:val="Compact"/>
              <w:jc w:val="right"/>
            </w:pPr>
            <w:r>
              <w:rPr>
                <w:sz w:val="17"/>
              </w:rPr>
              <w:t xml:space="preserve">0.448</w:t>
            </w:r>
          </w:p>
        </w:tc>
        <w:tc>
          <w:tcPr/>
          <w:p>
            <w:pPr>
              <w:pStyle w:val="Compact"/>
              <w:jc w:val="right"/>
            </w:pPr>
            <w:r>
              <w:rPr>
                <w:sz w:val="17"/>
              </w:rPr>
              <w:t xml:space="preserve">0.008</w:t>
            </w:r>
          </w:p>
        </w:tc>
        <w:tc>
          <w:tcPr/>
          <w:p>
            <w:pPr>
              <w:pStyle w:val="Compact"/>
              <w:jc w:val="left"/>
            </w:pPr>
            <w:r>
              <w:rPr>
                <w:sz w:val="17"/>
              </w:rPr>
              <w:t xml:space="preserve">Yellow</w:t>
            </w:r>
          </w:p>
        </w:tc>
        <w:tc>
          <w:tcPr/>
          <w:p>
            <w:pPr>
              <w:pStyle w:val="Compact"/>
              <w:jc w:val="left"/>
            </w:pPr>
            <w:r>
              <w:rPr>
                <w:sz w:val="17"/>
              </w:rPr>
              <w:t xml:space="preserve">RED</w:t>
            </w:r>
          </w:p>
        </w:tc>
      </w:tr>
      <w:tr>
        <w:tc>
          <w:tcPr/>
          <w:p>
            <w:pPr>
              <w:pStyle w:val="Compact"/>
              <w:jc w:val="left"/>
            </w:pPr>
            <w:r>
              <w:rPr>
                <w:sz w:val="17"/>
              </w:rPr>
              <w:t xml:space="preserve">Champion x 0.7 challenger</w:t>
            </w:r>
          </w:p>
        </w:tc>
        <w:tc>
          <w:tcPr/>
          <w:p>
            <w:pPr>
              <w:pStyle w:val="Compact"/>
              <w:jc w:val="left"/>
            </w:pPr>
            <w:r>
              <w:rPr>
                <w:sz w:val="17"/>
              </w:rPr>
              <w:t xml:space="preserve">10-day overlapping</w:t>
            </w:r>
          </w:p>
        </w:tc>
        <w:tc>
          <w:tcPr/>
          <w:p>
            <w:pPr>
              <w:pStyle w:val="Compact"/>
              <w:jc w:val="right"/>
            </w:pPr>
            <w:r>
              <w:rPr>
                <w:sz w:val="17"/>
              </w:rPr>
              <w:t xml:space="preserve">1,318</w:t>
            </w:r>
          </w:p>
        </w:tc>
        <w:tc>
          <w:tcPr/>
          <w:p>
            <w:pPr>
              <w:pStyle w:val="Compact"/>
              <w:jc w:val="right"/>
            </w:pPr>
            <w:r>
              <w:rPr>
                <w:sz w:val="17"/>
              </w:rPr>
              <w:t xml:space="preserve">58</w:t>
            </w:r>
          </w:p>
        </w:tc>
        <w:tc>
          <w:tcPr/>
          <w:p>
            <w:pPr>
              <w:pStyle w:val="Compact"/>
              <w:jc w:val="right"/>
            </w:pPr>
            <w:r>
              <w:rPr>
                <w:sz w:val="17"/>
              </w:rPr>
              <w:t xml:space="preserve">13.2</w:t>
            </w:r>
          </w:p>
        </w:tc>
        <w:tc>
          <w:tcPr/>
          <w:p>
            <w:pPr>
              <w:pStyle w:val="Compact"/>
              <w:jc w:val="right"/>
            </w:pPr>
            <w:r>
              <w:rPr>
                <w:sz w:val="17"/>
              </w:rPr>
              <w:t xml:space="preserve">5.5e-20</w:t>
            </w:r>
          </w:p>
        </w:tc>
        <w:tc>
          <w:tcPr/>
          <w:p>
            <w:pPr>
              <w:pStyle w:val="Compact"/>
              <w:jc w:val="right"/>
            </w:pPr>
            <w:r>
              <w:rPr>
                <w:sz w:val="17"/>
              </w:rPr>
              <w:t xml:space="preserve">5.4e-58</w:t>
            </w:r>
          </w:p>
        </w:tc>
        <w:tc>
          <w:tcPr/>
          <w:p>
            <w:pPr>
              <w:pStyle w:val="Compact"/>
              <w:jc w:val="right"/>
            </w:pPr>
            <w:r>
              <w:rPr>
                <w:sz w:val="17"/>
              </w:rPr>
              <w:t xml:space="preserve">6.9e-75</w:t>
            </w:r>
          </w:p>
        </w:tc>
        <w:tc>
          <w:tcPr/>
          <w:p>
            <w:pPr>
              <w:pStyle w:val="Compact"/>
              <w:jc w:val="left"/>
            </w:pPr>
            <w:r>
              <w:rPr>
                <w:sz w:val="17"/>
              </w:rPr>
              <w:t xml:space="preserve">Red</w:t>
            </w:r>
          </w:p>
        </w:tc>
        <w:tc>
          <w:tcPr/>
          <w:p>
            <w:pPr>
              <w:pStyle w:val="Compact"/>
              <w:jc w:val="left"/>
            </w:pPr>
            <w:r>
              <w:rPr>
                <w:sz w:val="17"/>
              </w:rPr>
              <w:t xml:space="preserve">RED</w:t>
            </w:r>
          </w:p>
        </w:tc>
      </w:tr>
      <w:tr>
        <w:tc>
          <w:tcPr/>
          <w:p>
            <w:pPr>
              <w:pStyle w:val="Compact"/>
              <w:jc w:val="left"/>
            </w:pPr>
            <w:r>
              <w:rPr>
                <w:sz w:val="17"/>
              </w:rPr>
              <w:t xml:space="preserve">SIMM-style</w:t>
            </w:r>
          </w:p>
        </w:tc>
        <w:tc>
          <w:tcPr/>
          <w:p>
            <w:pPr>
              <w:pStyle w:val="Compact"/>
              <w:jc w:val="left"/>
            </w:pPr>
            <w:r>
              <w:rPr>
                <w:sz w:val="17"/>
              </w:rPr>
              <w:t xml:space="preserve">10-day non-overlapping</w:t>
            </w:r>
          </w:p>
        </w:tc>
        <w:tc>
          <w:tcPr/>
          <w:p>
            <w:pPr>
              <w:pStyle w:val="Compact"/>
              <w:jc w:val="right"/>
            </w:pPr>
            <w:r>
              <w:rPr>
                <w:sz w:val="17"/>
              </w:rPr>
              <w:t xml:space="preserve">132</w:t>
            </w:r>
          </w:p>
        </w:tc>
        <w:tc>
          <w:tcPr/>
          <w:p>
            <w:pPr>
              <w:pStyle w:val="Compact"/>
              <w:jc w:val="right"/>
            </w:pPr>
            <w:r>
              <w:rPr>
                <w:sz w:val="17"/>
              </w:rPr>
              <w:t xml:space="preserve">1</w:t>
            </w:r>
          </w:p>
        </w:tc>
        <w:tc>
          <w:tcPr/>
          <w:p>
            <w:pPr>
              <w:pStyle w:val="Compact"/>
              <w:jc w:val="right"/>
            </w:pPr>
            <w:r>
              <w:rPr>
                <w:sz w:val="17"/>
              </w:rPr>
              <w:t xml:space="preserve">1.3</w:t>
            </w:r>
          </w:p>
        </w:tc>
        <w:tc>
          <w:tcPr/>
          <w:p>
            <w:pPr>
              <w:pStyle w:val="Compact"/>
              <w:jc w:val="right"/>
            </w:pPr>
            <w:r>
              <w:rPr>
                <w:sz w:val="17"/>
              </w:rPr>
              <w:t xml:space="preserve">0.770</w:t>
            </w:r>
          </w:p>
        </w:tc>
        <w:tc>
          <w:tcPr/>
          <w:p>
            <w:pPr>
              <w:pStyle w:val="Compact"/>
              <w:jc w:val="right"/>
            </w:pPr>
            <w:r>
              <w:rPr>
                <w:sz w:val="17"/>
              </w:rPr>
              <w:t xml:space="preserve">0.901</w:t>
            </w:r>
          </w:p>
        </w:tc>
        <w:tc>
          <w:tcPr/>
          <w:p>
            <w:pPr>
              <w:pStyle w:val="Compact"/>
              <w:jc w:val="right"/>
            </w:pPr>
            <w:r>
              <w:rPr>
                <w:sz w:val="17"/>
              </w:rPr>
              <w:t xml:space="preserve">0.951</w:t>
            </w:r>
          </w:p>
        </w:tc>
        <w:tc>
          <w:tcPr/>
          <w:p>
            <w:pPr>
              <w:pStyle w:val="Compact"/>
              <w:jc w:val="left"/>
            </w:pPr>
            <w:r>
              <w:rPr>
                <w:sz w:val="17"/>
              </w:rPr>
              <w:t xml:space="preserve">Green</w:t>
            </w:r>
          </w:p>
        </w:tc>
        <w:tc>
          <w:tcPr/>
          <w:p>
            <w:pPr>
              <w:pStyle w:val="Compact"/>
              <w:jc w:val="left"/>
            </w:pPr>
            <w:r>
              <w:rPr>
                <w:sz w:val="17"/>
              </w:rPr>
              <w:t xml:space="preserve">PASS</w:t>
            </w:r>
          </w:p>
        </w:tc>
      </w:tr>
      <w:tr>
        <w:tc>
          <w:tcPr/>
          <w:p>
            <w:pPr>
              <w:pStyle w:val="Compact"/>
              <w:jc w:val="left"/>
            </w:pPr>
            <w:r>
              <w:rPr>
                <w:sz w:val="17"/>
              </w:rPr>
              <w:t xml:space="preserve">SIMM-style</w:t>
            </w:r>
          </w:p>
        </w:tc>
        <w:tc>
          <w:tcPr/>
          <w:p>
            <w:pPr>
              <w:pStyle w:val="Compact"/>
              <w:jc w:val="left"/>
            </w:pPr>
            <w:r>
              <w:rPr>
                <w:sz w:val="17"/>
              </w:rPr>
              <w:t xml:space="preserve">10-day overlapping</w:t>
            </w:r>
          </w:p>
        </w:tc>
        <w:tc>
          <w:tcPr/>
          <w:p>
            <w:pPr>
              <w:pStyle w:val="Compact"/>
              <w:jc w:val="right"/>
            </w:pPr>
            <w:r>
              <w:rPr>
                <w:sz w:val="17"/>
              </w:rPr>
              <w:t xml:space="preserve">1,318</w:t>
            </w:r>
          </w:p>
        </w:tc>
        <w:tc>
          <w:tcPr/>
          <w:p>
            <w:pPr>
              <w:pStyle w:val="Compact"/>
              <w:jc w:val="right"/>
            </w:pPr>
            <w:r>
              <w:rPr>
                <w:sz w:val="17"/>
              </w:rPr>
              <w:t xml:space="preserve">14</w:t>
            </w:r>
          </w:p>
        </w:tc>
        <w:tc>
          <w:tcPr/>
          <w:p>
            <w:pPr>
              <w:pStyle w:val="Compact"/>
              <w:jc w:val="right"/>
            </w:pPr>
            <w:r>
              <w:rPr>
                <w:sz w:val="17"/>
              </w:rPr>
              <w:t xml:space="preserve">13.2</w:t>
            </w:r>
          </w:p>
        </w:tc>
        <w:tc>
          <w:tcPr/>
          <w:p>
            <w:pPr>
              <w:pStyle w:val="Compact"/>
              <w:jc w:val="right"/>
            </w:pPr>
            <w:r>
              <w:rPr>
                <w:sz w:val="17"/>
              </w:rPr>
              <w:t xml:space="preserve">0.822</w:t>
            </w:r>
          </w:p>
        </w:tc>
        <w:tc>
          <w:tcPr/>
          <w:p>
            <w:pPr>
              <w:pStyle w:val="Compact"/>
              <w:jc w:val="right"/>
            </w:pPr>
            <w:r>
              <w:rPr>
                <w:sz w:val="17"/>
              </w:rPr>
              <w:t xml:space="preserve">4.0e-23</w:t>
            </w:r>
          </w:p>
        </w:tc>
        <w:tc>
          <w:tcPr/>
          <w:p>
            <w:pPr>
              <w:pStyle w:val="Compact"/>
              <w:jc w:val="right"/>
            </w:pPr>
            <w:r>
              <w:rPr>
                <w:sz w:val="17"/>
              </w:rPr>
              <w:t xml:space="preserve">4.9e-22</w:t>
            </w:r>
          </w:p>
        </w:tc>
        <w:tc>
          <w:tcPr/>
          <w:p>
            <w:pPr>
              <w:pStyle w:val="Compact"/>
              <w:jc w:val="left"/>
            </w:pPr>
            <w:r>
              <w:rPr>
                <w:sz w:val="17"/>
              </w:rPr>
              <w:t xml:space="preserve">Green</w:t>
            </w:r>
          </w:p>
        </w:tc>
        <w:tc>
          <w:tcPr/>
          <w:p>
            <w:pPr>
              <w:pStyle w:val="Compact"/>
              <w:jc w:val="left"/>
            </w:pPr>
            <w:r>
              <w:rPr>
                <w:sz w:val="17"/>
              </w:rPr>
              <w:t xml:space="preserve">RED</w:t>
            </w:r>
          </w:p>
        </w:tc>
      </w:tr>
    </w:tbl>
    <w:p>
      <w:pPr>
        <w:pStyle w:val="CaptionedFigure"/>
      </w:pPr>
      <w:r>
        <w:drawing>
          <wp:inline>
            <wp:extent cx="5334000" cy="2400300"/>
            <wp:effectExtent b="0" l="0" r="0" t="0"/>
            <wp:docPr descr="Champion versus challengers: exception counts by design (bar colour is the overall light)." title="" id="63" name="Picture"/>
            <a:graphic>
              <a:graphicData uri="http://schemas.openxmlformats.org/drawingml/2006/picture">
                <pic:pic>
                  <pic:nvPicPr>
                    <pic:cNvPr descr="../python/outputs/charts/champion_vs_challengers.png" id="64" name="Picture"/>
                    <pic:cNvPicPr>
                      <a:picLocks noChangeArrowheads="1" noChangeAspect="1"/>
                    </pic:cNvPicPr>
                  </pic:nvPicPr>
                  <pic:blipFill>
                    <a:blip r:embed="rId62"/>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Champion versus challengers: exception counts by design (bar colour is the overall light).</w:t>
      </w:r>
    </w:p>
    <w:p>
      <w:pPr>
        <w:pStyle w:val="CaptionedFigure"/>
      </w:pPr>
      <w:r>
        <w:drawing>
          <wp:inline>
            <wp:extent cx="5334000" cy="2400300"/>
            <wp:effectExtent b="0" l="0" r="0" t="0"/>
            <wp:docPr descr="Kupiec and Christoffersen p-values by model." title="" id="66" name="Picture"/>
            <a:graphic>
              <a:graphicData uri="http://schemas.openxmlformats.org/drawingml/2006/picture">
                <pic:pic>
                  <pic:nvPicPr>
                    <pic:cNvPr descr="../python/outputs/charts/pvalues_by_model.png" id="67" name="Picture"/>
                    <pic:cNvPicPr>
                      <a:picLocks noChangeArrowheads="1" noChangeAspect="1"/>
                    </pic:cNvPicPr>
                  </pic:nvPicPr>
                  <pic:blipFill>
                    <a:blip r:embed="rId65"/>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Kupiec and Christoffersen p-values by model.</w:t>
      </w:r>
    </w:p>
    <w:p>
      <w:pPr>
        <w:pStyle w:val="BodyText"/>
      </w:pPr>
      <w:r>
        <w:rPr>
          <w:b/>
          <w:bCs/>
        </w:rPr>
        <w:t xml:space="preserve">Reading the table.</w:t>
      </w:r>
      <w:r>
        <w:t xml:space="preserve"> </w:t>
      </w:r>
      <w:r>
        <w:t xml:space="preserve">Four observations stand out.</w:t>
      </w:r>
    </w:p>
    <w:p>
      <w:pPr>
        <w:pStyle w:val="Compact"/>
        <w:numPr>
          <w:ilvl w:val="0"/>
          <w:numId w:val="1005"/>
        </w:numPr>
      </w:pPr>
      <w:r>
        <w:rPr>
          <w:i/>
          <w:iCs/>
        </w:rPr>
        <w:t xml:space="preserve">The champion is good but not clean.</w:t>
      </w:r>
      <w:r>
        <w:t xml:space="preserve"> </w:t>
      </w:r>
      <w:r>
        <w:t xml:space="preserve">At one day it has 18 exceptions against 13.3 expected, passes Kupiec (p = 0.216) and the Basel zone test on the full sample, but fails to be independent (p = 0.022), so the overall light is amber. On 10-day non-overlapping windows it passes everything (2 exceptions, Kupiec p = 0.580).</w:t>
      </w:r>
    </w:p>
    <w:p>
      <w:pPr>
        <w:pStyle w:val="Compact"/>
        <w:numPr>
          <w:ilvl w:val="0"/>
          <w:numId w:val="1005"/>
        </w:numPr>
      </w:pPr>
      <w:r>
        <w:rPr>
          <w:i/>
          <w:iCs/>
        </w:rPr>
        <w:t xml:space="preserve">Challengers are worse, so the tests have power.</w:t>
      </w:r>
      <w:r>
        <w:t xml:space="preserve"> </w:t>
      </w:r>
      <w:r>
        <w:t xml:space="preserve">The EWMA model (31 exceptions), the plain 250-day model (24) and the champion scaled by 0.7 (54) are all red overall at one day, and all are red on the 10-day non-overlapping design (6, 6 and 6 exceptions in 132 against 2 for the champion). The scaled model's p-values are astronomically small, as they should be for a model that deliberately takes 30 percent too little margin. The result also shows why stress replacement matters: the plain 250-day model has no stress memory and under-margins when volatility returns.</w:t>
      </w:r>
    </w:p>
    <w:p>
      <w:pPr>
        <w:pStyle w:val="Compact"/>
        <w:numPr>
          <w:ilvl w:val="0"/>
          <w:numId w:val="1005"/>
        </w:numPr>
      </w:pPr>
      <w:r>
        <w:rPr>
          <w:i/>
          <w:iCs/>
        </w:rPr>
        <w:t xml:space="preserve">Overlapping windows reject everything.</w:t>
      </w:r>
      <w:r>
        <w:t xml:space="preserve"> </w:t>
      </w:r>
      <w:r>
        <w:t xml:space="preserve">All HS models are red on overlapping windows, including the champion (31 exceptions, Christoffersen independence p = 2.7e-34). This is the artefact described above, not evidence that the champion is wrong, and it is the reason the non-overlapping design is the pass criterion.</w:t>
      </w:r>
    </w:p>
    <w:p>
      <w:pPr>
        <w:pStyle w:val="Compact"/>
        <w:numPr>
          <w:ilvl w:val="0"/>
          <w:numId w:val="1005"/>
        </w:numPr>
      </w:pPr>
      <w:r>
        <w:rPr>
          <w:i/>
          <w:iCs/>
        </w:rPr>
        <w:t xml:space="preserve">SIMM-style: passes one design and fails another.</w:t>
      </w:r>
      <w:r>
        <w:t xml:space="preserve"> </w:t>
      </w:r>
      <w:r>
        <w:t xml:space="preserve">On non-overlapping windows the SIMM-style series has 1 exception in 132 (overall pass; note that this is below the 1.3 expected, on the safe side). On overlapping windows its Kupiec p-value is 0.822 (14 exceptions against 13.2 expected, almost exactly the right rate) but Christoffersen independence is rejected (p = 4.0e-23): its exceptions come in clusters, as every overlapping design's do. The shortfall multiplier of the SIMM-style series is 0.905, below 1, meaning no scale-up would be needed under the Basel rule; the champion's multiplier is 1.142.</w:t>
      </w:r>
    </w:p>
    <w:p>
      <w:pPr>
        <w:pStyle w:val="CaptionedFigure"/>
      </w:pPr>
      <w:r>
        <w:drawing>
          <wp:inline>
            <wp:extent cx="5334000" cy="2400300"/>
            <wp:effectExtent b="0" l="0" r="0" t="0"/>
            <wp:docPr descr="Champion HS IM at 99% against the 1-day hypothetical loss, with exceptions marked." title="" id="69" name="Picture"/>
            <a:graphic>
              <a:graphicData uri="http://schemas.openxmlformats.org/drawingml/2006/picture">
                <pic:pic>
                  <pic:nvPicPr>
                    <pic:cNvPr descr="../python/outputs/charts/var_vs_loss_1d.png" id="70" name="Picture"/>
                    <pic:cNvPicPr>
                      <a:picLocks noChangeArrowheads="1" noChangeAspect="1"/>
                    </pic:cNvPicPr>
                  </pic:nvPicPr>
                  <pic:blipFill>
                    <a:blip r:embed="rId68"/>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Champion HS IM at 99% against the 1-day hypothetical loss, with exceptions marked.</w:t>
      </w:r>
    </w:p>
    <w:p>
      <w:pPr>
        <w:pStyle w:val="CaptionedFigure"/>
      </w:pPr>
      <w:r>
        <w:drawing>
          <wp:inline>
            <wp:extent cx="5334000" cy="2400300"/>
            <wp:effectExtent b="0" l="0" r="0" t="0"/>
            <wp:docPr descr="SIMM-style IM and champion 10-day IM against the 10-day hypothetical loss." title="" id="72" name="Picture"/>
            <a:graphic>
              <a:graphicData uri="http://schemas.openxmlformats.org/drawingml/2006/picture">
                <pic:pic>
                  <pic:nvPicPr>
                    <pic:cNvPr descr="../python/outputs/charts/simm_vs_10d_loss.png" id="73" name="Picture"/>
                    <pic:cNvPicPr>
                      <a:picLocks noChangeArrowheads="1" noChangeAspect="1"/>
                    </pic:cNvPicPr>
                  </pic:nvPicPr>
                  <pic:blipFill>
                    <a:blip r:embed="rId71"/>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SIMM-style IM and champion 10-day IM against the 10-day hypothetical loss.</w:t>
      </w:r>
    </w:p>
    <w:bookmarkEnd w:id="74"/>
    <w:bookmarkStart w:id="78" w:name="X64a69f8c32a489832ef4d12f9ef9091f0b400b3"/>
    <w:p>
      <w:pPr>
        <w:pStyle w:val="Heading2"/>
      </w:pPr>
      <w:r>
        <w:rPr>
          <w:rStyle w:val="SectionNumber"/>
        </w:rPr>
        <w:t xml:space="preserve">9.3</w:t>
      </w:r>
      <w:r>
        <w:tab/>
      </w:r>
      <w:r>
        <w:t xml:space="preserve">Rolling 250-day counts and the traffic light</w:t>
      </w:r>
    </w:p>
    <w:p>
      <w:pPr>
        <w:pStyle w:val="FirstParagraph"/>
      </w:pPr>
      <w:r>
        <w:t xml:space="preserve">The regulatory traffic light is applied to windows of 250 days, so the relevant question is how many exceptions fall in any trailing 250-day window.</w:t>
      </w:r>
    </w:p>
    <w:p>
      <w:pPr>
        <w:pStyle w:val="TableCaption"/>
      </w:pPr>
      <w:r>
        <w:t xml:space="preserve">BCBS 22 zone of the most recent 250 days and of the worst rolling 250-day window, one-day champion and challengers.</w:t>
      </w:r>
    </w:p>
    <w:tbl>
      <w:tblPr>
        <w:tblStyle w:val="Table"/>
        <w:tblW w:type="pct" w:w="5000"/>
        <w:tblLayout w:type="fixed"/>
        <w:tblLook w:firstRow="1" w:lastRow="0" w:firstColumn="0" w:lastColumn="0" w:noHBand="0" w:noVBand="0" w:val="0020"/>
        <w:tblCaption w:val="BCBS 22 zone of the most recent 250 days and of the worst rolling 250-day window, one-day champion and challeng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Model</w:t>
            </w:r>
          </w:p>
        </w:tc>
        <w:tc>
          <w:tcPr/>
          <w:p>
            <w:pPr>
              <w:pStyle w:val="Compact"/>
              <w:jc w:val="right"/>
            </w:pPr>
            <w:r>
              <w:rPr>
                <w:sz w:val="17"/>
              </w:rPr>
              <w:t xml:space="preserve">Exceptions in the last 250 days</w:t>
            </w:r>
          </w:p>
        </w:tc>
        <w:tc>
          <w:tcPr/>
          <w:p>
            <w:pPr>
              <w:pStyle w:val="Compact"/>
              <w:jc w:val="left"/>
            </w:pPr>
            <w:r>
              <w:rPr>
                <w:sz w:val="17"/>
              </w:rPr>
              <w:t xml:space="preserve">Zone (last 250)</w:t>
            </w:r>
          </w:p>
        </w:tc>
        <w:tc>
          <w:tcPr/>
          <w:p>
            <w:pPr>
              <w:pStyle w:val="Compact"/>
              <w:jc w:val="right"/>
            </w:pPr>
            <w:r>
              <w:rPr>
                <w:sz w:val="17"/>
              </w:rPr>
              <w:t xml:space="preserve">Maximum over all rolling 250-day windows</w:t>
            </w:r>
          </w:p>
        </w:tc>
        <w:tc>
          <w:tcPr/>
          <w:p>
            <w:pPr>
              <w:pStyle w:val="Compact"/>
              <w:jc w:val="left"/>
            </w:pPr>
            <w:r>
              <w:rPr>
                <w:sz w:val="17"/>
              </w:rPr>
              <w:t xml:space="preserve">Zone (maximum)</w:t>
            </w:r>
          </w:p>
        </w:tc>
      </w:tr>
      <w:tr>
        <w:tc>
          <w:tcPr/>
          <w:p>
            <w:pPr>
              <w:pStyle w:val="Compact"/>
              <w:jc w:val="left"/>
            </w:pPr>
            <w:r>
              <w:rPr>
                <w:sz w:val="17"/>
              </w:rPr>
              <w:t xml:space="preserve">Champion HS IM (EU 1+3 window)</w:t>
            </w:r>
          </w:p>
        </w:tc>
        <w:tc>
          <w:tcPr/>
          <w:p>
            <w:pPr>
              <w:pStyle w:val="Compact"/>
              <w:jc w:val="right"/>
            </w:pPr>
            <w:r>
              <w:rPr>
                <w:sz w:val="17"/>
              </w:rPr>
              <w:t xml:space="preserve">0</w:t>
            </w:r>
          </w:p>
        </w:tc>
        <w:tc>
          <w:tcPr/>
          <w:p>
            <w:pPr>
              <w:pStyle w:val="Compact"/>
              <w:jc w:val="left"/>
            </w:pPr>
            <w:r>
              <w:rPr>
                <w:sz w:val="17"/>
              </w:rPr>
              <w:t xml:space="preserve">Green</w:t>
            </w:r>
          </w:p>
        </w:tc>
        <w:tc>
          <w:tcPr/>
          <w:p>
            <w:pPr>
              <w:pStyle w:val="Compact"/>
              <w:jc w:val="right"/>
            </w:pPr>
            <w:r>
              <w:rPr>
                <w:sz w:val="17"/>
              </w:rPr>
              <w:t xml:space="preserve">12</w:t>
            </w:r>
          </w:p>
        </w:tc>
        <w:tc>
          <w:tcPr/>
          <w:p>
            <w:pPr>
              <w:pStyle w:val="Compact"/>
              <w:jc w:val="left"/>
            </w:pPr>
            <w:r>
              <w:rPr>
                <w:sz w:val="17"/>
              </w:rPr>
              <w:t xml:space="preserve">Red</w:t>
            </w:r>
          </w:p>
        </w:tc>
      </w:tr>
      <w:tr>
        <w:tc>
          <w:tcPr/>
          <w:p>
            <w:pPr>
              <w:pStyle w:val="Compact"/>
              <w:jc w:val="left"/>
            </w:pPr>
            <w:r>
              <w:rPr>
                <w:sz w:val="17"/>
              </w:rPr>
              <w:t xml:space="preserve">EWMA challenger</w:t>
            </w:r>
          </w:p>
        </w:tc>
        <w:tc>
          <w:tcPr/>
          <w:p>
            <w:pPr>
              <w:pStyle w:val="Compact"/>
              <w:jc w:val="right"/>
            </w:pPr>
            <w:r>
              <w:rPr>
                <w:sz w:val="17"/>
              </w:rPr>
              <w:t xml:space="preserve">7</w:t>
            </w:r>
          </w:p>
        </w:tc>
        <w:tc>
          <w:tcPr/>
          <w:p>
            <w:pPr>
              <w:pStyle w:val="Compact"/>
              <w:jc w:val="left"/>
            </w:pPr>
            <w:r>
              <w:rPr>
                <w:sz w:val="17"/>
              </w:rPr>
              <w:t xml:space="preserve">Yellow</w:t>
            </w:r>
          </w:p>
        </w:tc>
        <w:tc>
          <w:tcPr/>
          <w:p>
            <w:pPr>
              <w:pStyle w:val="Compact"/>
              <w:jc w:val="right"/>
            </w:pPr>
            <w:r>
              <w:rPr>
                <w:sz w:val="17"/>
              </w:rPr>
              <w:t xml:space="preserve">13</w:t>
            </w:r>
          </w:p>
        </w:tc>
        <w:tc>
          <w:tcPr/>
          <w:p>
            <w:pPr>
              <w:pStyle w:val="Compact"/>
              <w:jc w:val="left"/>
            </w:pPr>
            <w:r>
              <w:rPr>
                <w:sz w:val="17"/>
              </w:rPr>
              <w:t xml:space="preserve">Red</w:t>
            </w:r>
          </w:p>
        </w:tc>
      </w:tr>
      <w:tr>
        <w:tc>
          <w:tcPr/>
          <w:p>
            <w:pPr>
              <w:pStyle w:val="Compact"/>
              <w:jc w:val="left"/>
            </w:pPr>
            <w:r>
              <w:rPr>
                <w:sz w:val="17"/>
              </w:rPr>
              <w:t xml:space="preserve">Plain 250-day challenger</w:t>
            </w:r>
          </w:p>
        </w:tc>
        <w:tc>
          <w:tcPr/>
          <w:p>
            <w:pPr>
              <w:pStyle w:val="Compact"/>
              <w:jc w:val="right"/>
            </w:pPr>
            <w:r>
              <w:rPr>
                <w:sz w:val="17"/>
              </w:rPr>
              <w:t xml:space="preserve">4</w:t>
            </w:r>
          </w:p>
        </w:tc>
        <w:tc>
          <w:tcPr/>
          <w:p>
            <w:pPr>
              <w:pStyle w:val="Compact"/>
              <w:jc w:val="left"/>
            </w:pPr>
            <w:r>
              <w:rPr>
                <w:sz w:val="17"/>
              </w:rPr>
              <w:t xml:space="preserve">Green</w:t>
            </w:r>
          </w:p>
        </w:tc>
        <w:tc>
          <w:tcPr/>
          <w:p>
            <w:pPr>
              <w:pStyle w:val="Compact"/>
              <w:jc w:val="right"/>
            </w:pPr>
            <w:r>
              <w:rPr>
                <w:sz w:val="17"/>
              </w:rPr>
              <w:t xml:space="preserve">10</w:t>
            </w:r>
          </w:p>
        </w:tc>
        <w:tc>
          <w:tcPr/>
          <w:p>
            <w:pPr>
              <w:pStyle w:val="Compact"/>
              <w:jc w:val="left"/>
            </w:pPr>
            <w:r>
              <w:rPr>
                <w:sz w:val="17"/>
              </w:rPr>
              <w:t xml:space="preserve">Red</w:t>
            </w:r>
          </w:p>
        </w:tc>
      </w:tr>
      <w:tr>
        <w:tc>
          <w:tcPr/>
          <w:p>
            <w:pPr>
              <w:pStyle w:val="Compact"/>
              <w:jc w:val="left"/>
            </w:pPr>
            <w:r>
              <w:rPr>
                <w:sz w:val="17"/>
              </w:rPr>
              <w:t xml:space="preserve">Champion x 0.7 challenger</w:t>
            </w:r>
          </w:p>
        </w:tc>
        <w:tc>
          <w:tcPr/>
          <w:p>
            <w:pPr>
              <w:pStyle w:val="Compact"/>
              <w:jc w:val="right"/>
            </w:pPr>
            <w:r>
              <w:rPr>
                <w:sz w:val="17"/>
              </w:rPr>
              <w:t xml:space="preserve">2</w:t>
            </w:r>
          </w:p>
        </w:tc>
        <w:tc>
          <w:tcPr/>
          <w:p>
            <w:pPr>
              <w:pStyle w:val="Compact"/>
              <w:jc w:val="left"/>
            </w:pPr>
            <w:r>
              <w:rPr>
                <w:sz w:val="17"/>
              </w:rPr>
              <w:t xml:space="preserve">Green</w:t>
            </w:r>
          </w:p>
        </w:tc>
        <w:tc>
          <w:tcPr/>
          <w:p>
            <w:pPr>
              <w:pStyle w:val="Compact"/>
              <w:jc w:val="right"/>
            </w:pPr>
            <w:r>
              <w:rPr>
                <w:sz w:val="17"/>
              </w:rPr>
              <w:t xml:space="preserve">30</w:t>
            </w:r>
          </w:p>
        </w:tc>
        <w:tc>
          <w:tcPr/>
          <w:p>
            <w:pPr>
              <w:pStyle w:val="Compact"/>
              <w:jc w:val="left"/>
            </w:pPr>
            <w:r>
              <w:rPr>
                <w:sz w:val="17"/>
              </w:rPr>
              <w:t xml:space="preserve">Red</w:t>
            </w:r>
          </w:p>
        </w:tc>
      </w:tr>
    </w:tbl>
    <w:p>
      <w:pPr>
        <w:pStyle w:val="CaptionedFigure"/>
      </w:pPr>
      <w:r>
        <w:drawing>
          <wp:inline>
            <wp:extent cx="5334000" cy="2400300"/>
            <wp:effectExtent b="0" l="0" r="0" t="0"/>
            <wp:docPr descr="Rolling 250-day exception count against the BCBS 22 zones." title="" id="76" name="Picture"/>
            <a:graphic>
              <a:graphicData uri="http://schemas.openxmlformats.org/drawingml/2006/picture">
                <pic:pic>
                  <pic:nvPicPr>
                    <pic:cNvPr descr="../python/outputs/charts/rolling_250_exceptions.png" id="77" name="Picture"/>
                    <pic:cNvPicPr>
                      <a:picLocks noChangeArrowheads="1" noChangeAspect="1"/>
                    </pic:cNvPicPr>
                  </pic:nvPicPr>
                  <pic:blipFill>
                    <a:blip r:embed="rId75"/>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Rolling 250-day exception count against the BCBS 22 zones.</w:t>
      </w:r>
    </w:p>
    <w:p>
      <w:pPr>
        <w:pStyle w:val="BodyText"/>
      </w:pPr>
      <w:r>
        <w:t xml:space="preserve">The champion's last 250 days contain 0 exceptions (green), but its worst window, ending 8 May 2024, contains 12, which is in the red zone (10 or more). Across the 1,078 complete rolling windows the champion is red in 11.0%, yellow in 32.7% and green in 56.3%. This is a real weakness: under a strict reading of the traffic light the champion would have been flagged red for a part of the sample. The champion's exceptions run from 23 Sep 2022 to 17 Jan 2025 and cluster in between.</w:t>
      </w:r>
    </w:p>
    <w:bookmarkEnd w:id="78"/>
    <w:bookmarkStart w:id="79" w:name="behaviour-by-regime"/>
    <w:p>
      <w:pPr>
        <w:pStyle w:val="Heading2"/>
      </w:pPr>
      <w:r>
        <w:rPr>
          <w:rStyle w:val="SectionNumber"/>
        </w:rPr>
        <w:t xml:space="preserve">9.4</w:t>
      </w:r>
      <w:r>
        <w:tab/>
      </w:r>
      <w:r>
        <w:t xml:space="preserve">Behaviour by regime</w:t>
      </w:r>
    </w:p>
    <w:p>
      <w:pPr>
        <w:pStyle w:val="TableCaption"/>
      </w:pPr>
      <w:r>
        <w:t xml:space="preserve">Champion one-day exceptions by regime.</w:t>
      </w:r>
    </w:p>
    <w:tbl>
      <w:tblPr>
        <w:tblStyle w:val="Table"/>
        <w:tblW w:type="auto" w:w="0"/>
        <w:tblLook w:firstRow="1" w:lastRow="0" w:firstColumn="0" w:lastColumn="0" w:noHBand="0" w:noVBand="0" w:val="0020"/>
        <w:tblCaption w:val="Champion one-day exceptions by regim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Regime</w:t>
            </w:r>
          </w:p>
        </w:tc>
        <w:tc>
          <w:tcPr/>
          <w:p>
            <w:pPr>
              <w:pStyle w:val="Compact"/>
              <w:jc w:val="right"/>
            </w:pPr>
            <w:r>
              <w:rPr>
                <w:sz w:val="17"/>
              </w:rPr>
              <w:t xml:space="preserve">Days</w:t>
            </w:r>
          </w:p>
        </w:tc>
        <w:tc>
          <w:tcPr/>
          <w:p>
            <w:pPr>
              <w:pStyle w:val="Compact"/>
              <w:jc w:val="right"/>
            </w:pPr>
            <w:r>
              <w:rPr>
                <w:sz w:val="17"/>
              </w:rPr>
              <w:t xml:space="preserve">Exceptions</w:t>
            </w:r>
          </w:p>
        </w:tc>
        <w:tc>
          <w:tcPr/>
          <w:p>
            <w:pPr>
              <w:pStyle w:val="Compact"/>
              <w:jc w:val="right"/>
            </w:pPr>
            <w:r>
              <w:rPr>
                <w:sz w:val="17"/>
              </w:rPr>
              <w:t xml:space="preserve">Exception rate</w:t>
            </w:r>
          </w:p>
        </w:tc>
        <w:tc>
          <w:tcPr/>
          <w:p>
            <w:pPr>
              <w:pStyle w:val="Compact"/>
              <w:jc w:val="right"/>
            </w:pPr>
            <w:r>
              <w:rPr>
                <w:sz w:val="17"/>
              </w:rPr>
              <w:t xml:space="preserve">Kupiec p-value</w:t>
            </w:r>
          </w:p>
        </w:tc>
      </w:tr>
      <w:tr>
        <w:tc>
          <w:tcPr/>
          <w:p>
            <w:pPr>
              <w:pStyle w:val="Compact"/>
              <w:jc w:val="left"/>
            </w:pPr>
            <w:r>
              <w:rPr>
                <w:sz w:val="17"/>
              </w:rPr>
              <w:t xml:space="preserve">calm</w:t>
            </w:r>
          </w:p>
        </w:tc>
        <w:tc>
          <w:tcPr/>
          <w:p>
            <w:pPr>
              <w:pStyle w:val="Compact"/>
              <w:jc w:val="right"/>
            </w:pPr>
            <w:r>
              <w:rPr>
                <w:sz w:val="17"/>
              </w:rPr>
              <w:t xml:space="preserve">860</w:t>
            </w:r>
          </w:p>
        </w:tc>
        <w:tc>
          <w:tcPr/>
          <w:p>
            <w:pPr>
              <w:pStyle w:val="Compact"/>
              <w:jc w:val="right"/>
            </w:pPr>
            <w:r>
              <w:rPr>
                <w:sz w:val="17"/>
              </w:rPr>
              <w:t xml:space="preserve">0</w:t>
            </w:r>
          </w:p>
        </w:tc>
        <w:tc>
          <w:tcPr/>
          <w:p>
            <w:pPr>
              <w:pStyle w:val="Compact"/>
              <w:jc w:val="right"/>
            </w:pPr>
            <w:r>
              <w:rPr>
                <w:sz w:val="17"/>
              </w:rPr>
              <w:t xml:space="preserve">0.00%</w:t>
            </w:r>
          </w:p>
        </w:tc>
        <w:tc>
          <w:tcPr/>
          <w:p>
            <w:pPr>
              <w:pStyle w:val="Compact"/>
              <w:jc w:val="right"/>
            </w:pPr>
            <w:r>
              <w:rPr>
                <w:sz w:val="17"/>
              </w:rPr>
              <w:t xml:space="preserve">3.2e-05</w:t>
            </w:r>
          </w:p>
        </w:tc>
      </w:tr>
      <w:tr>
        <w:tc>
          <w:tcPr/>
          <w:p>
            <w:pPr>
              <w:pStyle w:val="Compact"/>
              <w:jc w:val="left"/>
            </w:pPr>
            <w:r>
              <w:rPr>
                <w:sz w:val="17"/>
              </w:rPr>
              <w:t xml:space="preserve">stress</w:t>
            </w:r>
          </w:p>
        </w:tc>
        <w:tc>
          <w:tcPr/>
          <w:p>
            <w:pPr>
              <w:pStyle w:val="Compact"/>
              <w:jc w:val="right"/>
            </w:pPr>
            <w:r>
              <w:rPr>
                <w:sz w:val="17"/>
              </w:rPr>
              <w:t xml:space="preserve">467</w:t>
            </w:r>
          </w:p>
        </w:tc>
        <w:tc>
          <w:tcPr/>
          <w:p>
            <w:pPr>
              <w:pStyle w:val="Compact"/>
              <w:jc w:val="right"/>
            </w:pPr>
            <w:r>
              <w:rPr>
                <w:sz w:val="17"/>
              </w:rPr>
              <w:t xml:space="preserve">18</w:t>
            </w:r>
          </w:p>
        </w:tc>
        <w:tc>
          <w:tcPr/>
          <w:p>
            <w:pPr>
              <w:pStyle w:val="Compact"/>
              <w:jc w:val="right"/>
            </w:pPr>
            <w:r>
              <w:rPr>
                <w:sz w:val="17"/>
              </w:rPr>
              <w:t xml:space="preserve">3.85%</w:t>
            </w:r>
          </w:p>
        </w:tc>
        <w:tc>
          <w:tcPr/>
          <w:p>
            <w:pPr>
              <w:pStyle w:val="Compact"/>
              <w:jc w:val="right"/>
            </w:pPr>
            <w:r>
              <w:rPr>
                <w:sz w:val="17"/>
              </w:rPr>
              <w:t xml:space="preserve">2.3e-06</w:t>
            </w:r>
          </w:p>
        </w:tc>
      </w:tr>
    </w:tbl>
    <w:p>
      <w:pPr>
        <w:pStyle w:val="BodyText"/>
      </w:pPr>
      <w:r>
        <w:t xml:space="preserve">The champion has 0 exceptions in 860 calm days (about 8.6 expected) and 18 in 467 stress days (rate 3.85%, nearly four times the 1% target). Of the exceptions, all occur in the stress regime. The Kupiec p-value is small in both regimes for opposite reasons: in calm periods the model is too conservative (zero exceptions), in stress periods too aggressive. That is the typical profile of a window-based VaR: it carries stress memory that over-protects in calm markets and reacts too slowly when volatility rises. The worst single day is 3 Feb 2023, when the 1-day loss of USD 3.14 mm exceeded a forecast of USD 1.20 mm.</w:t>
      </w:r>
    </w:p>
    <w:bookmarkEnd w:id="79"/>
    <w:bookmarkStart w:id="80" w:name="what-to-conclude"/>
    <w:p>
      <w:pPr>
        <w:pStyle w:val="Heading2"/>
      </w:pPr>
      <w:r>
        <w:rPr>
          <w:rStyle w:val="SectionNumber"/>
        </w:rPr>
        <w:t xml:space="preserve">9.5</w:t>
      </w:r>
      <w:r>
        <w:tab/>
      </w:r>
      <w:r>
        <w:t xml:space="preserve">What to conclude</w:t>
      </w:r>
    </w:p>
    <w:p>
      <w:pPr>
        <w:pStyle w:val="FirstParagraph"/>
      </w:pPr>
      <w:r>
        <w:t xml:space="preserve">For a margin model the cost of an exception is that the counterparty is under-collateralised on that day; the cost of excess conservatism is funding and liquidity. The champion is calibrated to the right level overall and clearly better than all the challengers, but its time profile (cluster of exceptions, red worst window, regime asymmetry) means that a validator would approve it only with conditions: a monitoring trigger on the rolling count, a stress add-on or floor in high-volatility regimes, and a note on the sample (synthetic, one book). The same reasoning applies to the SIMM-style series, whose results are good on the preferred design and weaker on the supporting one. These are exactly the nuances of a real validation report.</w:t>
      </w:r>
    </w:p>
    <w:bookmarkEnd w:id="80"/>
    <w:bookmarkEnd w:id="81"/>
    <w:bookmarkStart w:id="90" w:name="xva-var-cva-and-its-backtest"/>
    <w:p>
      <w:pPr>
        <w:pStyle w:val="Heading1"/>
      </w:pPr>
      <w:r>
        <w:rPr>
          <w:rStyle w:val="SectionNumber"/>
        </w:rPr>
        <w:t xml:space="preserve">10</w:t>
      </w:r>
      <w:r>
        <w:tab/>
      </w:r>
      <w:r>
        <w:t xml:space="preserve">xVA VaR: CVA and its backtest</w:t>
      </w:r>
    </w:p>
    <w:bookmarkStart w:id="85" w:name="the-cva-model"/>
    <w:p>
      <w:pPr>
        <w:pStyle w:val="Heading2"/>
      </w:pPr>
      <w:r>
        <w:rPr>
          <w:rStyle w:val="SectionNumber"/>
        </w:rPr>
        <w:t xml:space="preserve">10.1</w:t>
      </w:r>
      <w:r>
        <w:tab/>
      </w:r>
      <w:r>
        <w:t xml:space="preserve">The CVA model</w:t>
      </w:r>
    </w:p>
    <w:p>
      <w:pPr>
        <w:pStyle w:val="FirstParagraph"/>
      </w:pPr>
      <w:r>
        <w:t xml:space="preserve">Credit valuation adjustment (CVA) is the market value of the counterparty's default risk on the netting set. Unilateral CVA with loss given default</w:t>
      </w:r>
      <w:r>
        <w:t xml:space="preserve"> </w:t>
      </w:r>
      <m:oMath>
        <m:r>
          <m:t>L</m:t>
        </m:r>
        <m:r>
          <m:t>G</m:t>
        </m:r>
        <m:r>
          <m:t>D</m:t>
        </m:r>
        <m:r>
          <m:rPr>
            <m:sty m:val="p"/>
          </m:rPr>
          <m:t>=</m:t>
        </m:r>
        <m:r>
          <m:t>1</m:t>
        </m:r>
        <m:r>
          <m:rPr>
            <m:sty m:val="p"/>
          </m:rPr>
          <m:t>−</m:t>
        </m:r>
        <m:r>
          <m:t>R</m:t>
        </m:r>
      </m:oMath>
      <w:r>
        <w:t xml:space="preserve"> </w:t>
      </w:r>
      <w:r>
        <w:t xml:space="preserve">and recovery</w:t>
      </w:r>
      <w:r>
        <w:t xml:space="preserve"> </w:t>
      </w:r>
      <m:oMath>
        <m:r>
          <m:t>R</m:t>
        </m:r>
        <m:r>
          <m:rPr>
            <m:sty m:val="p"/>
          </m:rPr>
          <m:t>=</m:t>
        </m:r>
        <m:r>
          <m:t>40</m:t>
        </m:r>
        <m:r>
          <m:rPr>
            <m:sty m:val="p"/>
          </m:rPr>
          <m:t>%</m:t>
        </m:r>
      </m:oMath>
      <w:r>
        <w:t xml:space="preserve"> </w:t>
      </w:r>
      <w:r>
        <w:t xml:space="preserve">is</w:t>
      </w:r>
    </w:p>
    <w:p>
      <w:pPr>
        <w:pStyle w:val="BodyText"/>
      </w:pPr>
      <m:oMathPara>
        <m:oMathParaPr>
          <m:jc m:val="center"/>
        </m:oMathParaPr>
        <m:oMath>
          <m:r>
            <m:t>C</m:t>
          </m:r>
          <m:r>
            <m:t>V</m:t>
          </m:r>
          <m:r>
            <m:t>A</m:t>
          </m:r>
          <m:r>
            <m:rPr>
              <m:sty m:val="p"/>
            </m:rPr>
            <m:t>=</m:t>
          </m:r>
          <m:r>
            <m:t>L</m:t>
          </m:r>
          <m:r>
            <m:t>G</m:t>
          </m:r>
          <m:r>
            <m:t>D</m:t>
          </m:r>
          <m:nary>
            <m:naryPr>
              <m:chr m:val="∑"/>
              <m:limLoc m:val="undOvr"/>
              <m:subHide m:val="off"/>
              <m:supHide m:val="on"/>
            </m:naryPr>
            <m:sub>
              <m:r>
                <m:t>k</m:t>
              </m:r>
            </m:sub>
            <m:sup>
              <m:r>
                <m:t>​</m:t>
              </m:r>
            </m:sup>
            <m:e>
              <m:f>
                <m:fPr>
                  <m:type m:val="lin"/>
                </m:fPr>
                <m:num>
                  <m:r>
                    <m:t>1</m:t>
                  </m:r>
                </m:num>
                <m:den>
                  <m:r>
                    <m:t>2</m:t>
                  </m:r>
                </m:den>
              </m:f>
            </m:e>
          </m:nary>
          <m:d>
            <m:dPr>
              <m:begChr m:val="["/>
              <m:sepChr m:val=""/>
              <m:endChr m:val="]"/>
              <m:grow/>
            </m:dPr>
            <m:e>
              <m:r>
                <m:t>E</m:t>
              </m:r>
              <m:r>
                <m:t>E</m:t>
              </m:r>
              <m:r>
                <m:rPr>
                  <m:sty m:val="p"/>
                </m:rPr>
                <m:t>(</m:t>
              </m:r>
              <m:sSub>
                <m:e>
                  <m:r>
                    <m:t>t</m:t>
                  </m:r>
                </m:e>
                <m:sub>
                  <m:r>
                    <m:t>k</m:t>
                  </m:r>
                  <m:r>
                    <m:rPr>
                      <m:sty m:val="p"/>
                    </m:rPr>
                    <m:t>−</m:t>
                  </m:r>
                  <m:r>
                    <m:t>1</m:t>
                  </m:r>
                </m:sub>
              </m:sSub>
              <m:r>
                <m:rPr>
                  <m:sty m:val="p"/>
                </m:rPr>
                <m:t>)</m:t>
              </m:r>
              <m:r>
                <m:t>D</m:t>
              </m:r>
              <m:r>
                <m:t>F</m:t>
              </m:r>
              <m:r>
                <m:rPr>
                  <m:sty m:val="p"/>
                </m:rPr>
                <m:t>(</m:t>
              </m:r>
              <m:sSub>
                <m:e>
                  <m:r>
                    <m:t>t</m:t>
                  </m:r>
                </m:e>
                <m:sub>
                  <m:r>
                    <m:t>k</m:t>
                  </m:r>
                  <m:r>
                    <m:rPr>
                      <m:sty m:val="p"/>
                    </m:rPr>
                    <m:t>−</m:t>
                  </m:r>
                  <m:r>
                    <m:t>1</m:t>
                  </m:r>
                </m:sub>
              </m:sSub>
              <m:r>
                <m:rPr>
                  <m:sty m:val="p"/>
                </m:rPr>
                <m:t>)</m:t>
              </m:r>
              <m:r>
                <m:rPr>
                  <m:sty m:val="p"/>
                </m:rPr>
                <m:t>+</m:t>
              </m:r>
              <m:r>
                <m:t>E</m:t>
              </m:r>
              <m:r>
                <m:t>E</m:t>
              </m:r>
              <m:r>
                <m:rPr>
                  <m:sty m:val="p"/>
                </m:rPr>
                <m:t>(</m:t>
              </m:r>
              <m:sSub>
                <m:e>
                  <m:r>
                    <m:t>t</m:t>
                  </m:r>
                </m:e>
                <m:sub>
                  <m:r>
                    <m:t>k</m:t>
                  </m:r>
                </m:sub>
              </m:sSub>
              <m:r>
                <m:rPr>
                  <m:sty m:val="p"/>
                </m:rPr>
                <m:t>)</m:t>
              </m:r>
              <m:r>
                <m:t>D</m:t>
              </m:r>
              <m:r>
                <m:t>F</m:t>
              </m:r>
              <m:r>
                <m:rPr>
                  <m:sty m:val="p"/>
                </m:rPr>
                <m:t>(</m:t>
              </m:r>
              <m:sSub>
                <m:e>
                  <m:r>
                    <m:t>t</m:t>
                  </m:r>
                </m:e>
                <m:sub>
                  <m:r>
                    <m:t>k</m:t>
                  </m:r>
                </m:sub>
              </m:sSub>
              <m:r>
                <m:rPr>
                  <m:sty m:val="p"/>
                </m:rPr>
                <m:t>)</m:t>
              </m:r>
            </m:e>
          </m:d>
          <m:d>
            <m:dPr>
              <m:begChr m:val="["/>
              <m:sepChr m:val=""/>
              <m:endChr m:val="]"/>
              <m:grow/>
            </m:dPr>
            <m:e>
              <m:r>
                <m:t>Q</m:t>
              </m:r>
              <m:r>
                <m:rPr>
                  <m:sty m:val="p"/>
                </m:rPr>
                <m:t>(</m:t>
              </m:r>
              <m:sSub>
                <m:e>
                  <m:r>
                    <m:t>t</m:t>
                  </m:r>
                </m:e>
                <m:sub>
                  <m:r>
                    <m:t>k</m:t>
                  </m:r>
                  <m:r>
                    <m:rPr>
                      <m:sty m:val="p"/>
                    </m:rPr>
                    <m:t>−</m:t>
                  </m:r>
                  <m:r>
                    <m:t>1</m:t>
                  </m:r>
                </m:sub>
              </m:sSub>
              <m:r>
                <m:rPr>
                  <m:sty m:val="p"/>
                </m:rPr>
                <m:t>)</m:t>
              </m:r>
              <m:r>
                <m:rPr>
                  <m:sty m:val="p"/>
                </m:rPr>
                <m:t>−</m:t>
              </m:r>
              <m:r>
                <m:t>Q</m:t>
              </m:r>
              <m:r>
                <m:rPr>
                  <m:sty m:val="p"/>
                </m:rPr>
                <m:t>(</m:t>
              </m:r>
              <m:sSub>
                <m:e>
                  <m:r>
                    <m:t>t</m:t>
                  </m:r>
                </m:e>
                <m:sub>
                  <m:r>
                    <m:t>k</m:t>
                  </m:r>
                </m:sub>
              </m:sSub>
              <m:r>
                <m:rPr>
                  <m:sty m:val="p"/>
                </m:rPr>
                <m:t>)</m:t>
              </m:r>
            </m:e>
          </m:d>
          <m:r>
            <m:rPr>
              <m:sty m:val="p"/>
            </m:rPr>
            <m:t>,</m:t>
          </m:r>
        </m:oMath>
      </m:oMathPara>
    </w:p>
    <w:p>
      <w:pPr>
        <w:pStyle w:val="FirstParagraph"/>
      </w:pPr>
      <w:r>
        <w:t xml:space="preserve">where</w:t>
      </w:r>
      <w:r>
        <w:t xml:space="preserve"> </w:t>
      </w:r>
      <m:oMath>
        <m:r>
          <m:t>E</m:t>
        </m:r>
        <m:r>
          <m:t>E</m:t>
        </m:r>
      </m:oMath>
      <w:r>
        <w:t xml:space="preserve"> </w:t>
      </w:r>
      <w:r>
        <w:t xml:space="preserve">is the expected positive exposure at time</w:t>
      </w:r>
      <w:r>
        <w:t xml:space="preserve"> </w:t>
      </w:r>
      <m:oMath>
        <m:sSub>
          <m:e>
            <m:r>
              <m:t>t</m:t>
            </m:r>
          </m:e>
          <m:sub>
            <m:r>
              <m:t>k</m:t>
            </m:r>
          </m:sub>
        </m:sSub>
      </m:oMath>
      <w:r>
        <w:t xml:space="preserve">,</w:t>
      </w:r>
      <w:r>
        <w:t xml:space="preserve"> </w:t>
      </w:r>
      <m:oMath>
        <m:r>
          <m:t>D</m:t>
        </m:r>
        <m:r>
          <m:t>F</m:t>
        </m:r>
      </m:oMath>
      <w:r>
        <w:t xml:space="preserve"> </w:t>
      </w:r>
      <w:r>
        <w:t xml:space="preserve">the discount factor and</w:t>
      </w:r>
      <w:r>
        <w:t xml:space="preserve"> </w:t>
      </w:r>
      <m:oMath>
        <m:r>
          <m:t>Q</m:t>
        </m:r>
        <m:r>
          <m:rPr>
            <m:sty m:val="p"/>
          </m:rPr>
          <m:t>(</m:t>
        </m:r>
        <m:r>
          <m:t>t</m:t>
        </m:r>
        <m:r>
          <m:rPr>
            <m:sty m:val="p"/>
          </m:rPr>
          <m:t>)</m:t>
        </m:r>
      </m:oMath>
      <w:r>
        <w:t xml:space="preserve"> </w:t>
      </w:r>
      <w:r>
        <w:t xml:space="preserve">the counterparty's survival probability. The sum is a trapezoid approximation to</w:t>
      </w:r>
      <w:r>
        <w:t xml:space="preserve"> </w:t>
      </w:r>
      <m:oMath>
        <m:r>
          <m:rPr>
            <m:sty m:val="p"/>
          </m:rPr>
          <m:t>∫</m:t>
        </m:r>
        <m:r>
          <m:t>E</m:t>
        </m:r>
        <m:r>
          <m:t>E</m:t>
        </m:r>
        <m:r>
          <m:t> </m:t>
        </m:r>
        <m:r>
          <m:t>D</m:t>
        </m:r>
        <m:r>
          <m:t>F</m:t>
        </m:r>
        <m:r>
          <m:t> </m:t>
        </m:r>
        <m:r>
          <m:t>d</m:t>
        </m:r>
        <m:r>
          <m:t>P</m:t>
        </m:r>
        <m:r>
          <m:t>D</m:t>
        </m:r>
      </m:oMath>
      <w:r>
        <w:t xml:space="preserve"> </w:t>
      </w:r>
      <w:r>
        <w:t xml:space="preserve">on a quarterly grid.</w:t>
      </w:r>
      <w:r>
        <w:t xml:space="preserve"> </w:t>
      </w:r>
      <w:r>
        <w:rPr>
          <w:rStyle w:val="VerbatimChar"/>
        </w:rPr>
        <w:t xml:space="preserve">cva.py</w:t>
      </w:r>
      <w:r>
        <w:t xml:space="preserve"> </w:t>
      </w:r>
      <w:r>
        <w:t xml:space="preserve">has three parts.</w:t>
      </w:r>
    </w:p>
    <w:p>
      <w:pPr>
        <w:pStyle w:val="Compact"/>
        <w:numPr>
          <w:ilvl w:val="0"/>
          <w:numId w:val="1006"/>
        </w:numPr>
      </w:pPr>
      <w:r>
        <w:rPr>
          <w:b/>
          <w:bCs/>
        </w:rPr>
        <w:t xml:space="preserve">Hazard curve.</w:t>
      </w:r>
      <w:r>
        <w:t xml:space="preserve"> </w:t>
      </w:r>
      <w:r>
        <w:t xml:space="preserve">A piecewise-constant hazard rate is bootstrapped from the CDS spreads at 1, 3, 5, 7 and 10 years so that each par CDS reprices exactly (</w:t>
      </w:r>
      <w:r>
        <w:rPr>
          <w:rStyle w:val="VerbatimChar"/>
        </w:rPr>
        <w:t xml:space="preserve">bootstrap_hazard</w:t>
      </w:r>
      <w:r>
        <w:t xml:space="preserve">, bisection over states). At the valuation date the hazard rates are 1.24% (to 1 year), 2.06%, 3.08%, 3.46% and 3.66% per year for the successive pillars.</w:t>
      </w:r>
    </w:p>
    <w:p>
      <w:pPr>
        <w:pStyle w:val="Compact"/>
        <w:numPr>
          <w:ilvl w:val="0"/>
          <w:numId w:val="1006"/>
        </w:numPr>
      </w:pPr>
      <w:r>
        <w:rPr>
          <w:b/>
          <w:bCs/>
        </w:rPr>
        <w:t xml:space="preserve">Exposure.</w:t>
      </w:r>
      <w:r>
        <w:t xml:space="preserve"> </w:t>
      </w:r>
      <w:r>
        <w:t xml:space="preserve">For the linear trades (13 of 20: the swaps and forwards) the netting-set value at a future time</w:t>
      </w:r>
      <w:r>
        <w:t xml:space="preserve"> </w:t>
      </w:r>
      <m:oMath>
        <m:sSub>
          <m:e>
            <m:r>
              <m:t>t</m:t>
            </m:r>
          </m:e>
          <m:sub>
            <m:r>
              <m:t>k</m:t>
            </m:r>
          </m:sub>
        </m:sSub>
      </m:oMath>
      <w:r>
        <w:t xml:space="preserve"> </w:t>
      </w:r>
      <w:r>
        <w:t xml:space="preserve">is approximated as Gaussian with mean</w:t>
      </w:r>
      <w:r>
        <w:t xml:space="preserve"> </w:t>
      </w:r>
      <m:oMath>
        <m:sSub>
          <m:e>
            <m:r>
              <m:t>μ</m:t>
            </m:r>
          </m:e>
          <m:sub>
            <m:r>
              <m:t>k</m:t>
            </m:r>
          </m:sub>
        </m:sSub>
      </m:oMath>
      <w:r>
        <w:t xml:space="preserve"> </w:t>
      </w:r>
      <w:r>
        <w:t xml:space="preserve">(the forward value of the remaining cash flows) and variance</w:t>
      </w:r>
      <w:r>
        <w:t xml:space="preserve"> </w:t>
      </w:r>
      <m:oMath>
        <m:sSubSup>
          <m:e>
            <m:r>
              <m:t>s</m:t>
            </m:r>
          </m:e>
          <m:sub>
            <m:r>
              <m:t>k</m:t>
            </m:r>
          </m:sub>
          <m:sup>
            <m:r>
              <m:t>2</m:t>
            </m:r>
          </m:sup>
        </m:sSubSup>
        <m:r>
          <m:rPr>
            <m:sty m:val="p"/>
          </m:rPr>
          <m:t>=</m:t>
        </m:r>
        <m:sSub>
          <m:e>
            <m:r>
              <m:t>t</m:t>
            </m:r>
          </m:e>
          <m:sub>
            <m:r>
              <m:t>k</m:t>
            </m:r>
          </m:sub>
        </m:sSub>
        <m:r>
          <m:t> </m:t>
        </m:r>
        <m:sSubSup>
          <m:e>
            <m:r>
              <m:t>d</m:t>
            </m:r>
          </m:e>
          <m:sub>
            <m:r>
              <m:t>k</m:t>
            </m:r>
          </m:sub>
          <m:sup>
            <m:r>
              <m:rPr>
                <m:sty m:val="p"/>
              </m:rPr>
              <m:t>′</m:t>
            </m:r>
          </m:sup>
        </m:sSubSup>
        <m:r>
          <m:rPr>
            <m:sty m:val="p"/>
          </m:rPr>
          <m:t>Σ</m:t>
        </m:r>
        <m:r>
          <m:t> </m:t>
        </m:r>
        <m:sSub>
          <m:e>
            <m:r>
              <m:t>d</m:t>
            </m:r>
          </m:e>
          <m:sub>
            <m:r>
              <m:t>k</m:t>
            </m:r>
          </m:sub>
        </m:sSub>
      </m:oMath>
      <w:r>
        <w:t xml:space="preserve">, where</w:t>
      </w:r>
      <w:r>
        <w:t xml:space="preserve"> </w:t>
      </w:r>
      <m:oMath>
        <m:sSub>
          <m:e>
            <m:r>
              <m:t>d</m:t>
            </m:r>
          </m:e>
          <m:sub>
            <m:r>
              <m:t>k</m:t>
            </m:r>
          </m:sub>
        </m:sSub>
      </m:oMath>
      <w:r>
        <w:t xml:space="preserve"> </w:t>
      </w:r>
      <w:r>
        <w:t xml:space="preserve">are the sensitivities of</w:t>
      </w:r>
      <w:r>
        <w:t xml:space="preserve"> </w:t>
      </w:r>
      <m:oMath>
        <m:sSub>
          <m:e>
            <m:r>
              <m:t>μ</m:t>
            </m:r>
          </m:e>
          <m:sub>
            <m:r>
              <m:t>k</m:t>
            </m:r>
          </m:sub>
        </m:sSub>
      </m:oMath>
      <w:r>
        <w:t xml:space="preserve"> </w:t>
      </w:r>
      <w:r>
        <w:t xml:space="preserve">to nine factors (a parallel shift of each of the five zero curves, and the log spot of the four non-USD currencies) and</w:t>
      </w:r>
      <w:r>
        <w:t xml:space="preserve"> </w:t>
      </w:r>
      <m:oMath>
        <m:r>
          <m:rPr>
            <m:sty m:val="p"/>
          </m:rPr>
          <m:t>Σ</m:t>
        </m:r>
      </m:oMath>
      <w:r>
        <w:t xml:space="preserve"> </w:t>
      </w:r>
      <w:r>
        <w:t xml:space="preserve">is their annualised covariance estimated from the trailing 250 days of the history. Then</w:t>
      </w:r>
      <w:r>
        <w:t xml:space="preserve"> </w:t>
      </w:r>
      <m:oMath>
        <m:r>
          <m:t>E</m:t>
        </m:r>
        <m:r>
          <m:t>E</m:t>
        </m:r>
        <m:r>
          <m:rPr>
            <m:sty m:val="p"/>
          </m:rPr>
          <m:t>=</m:t>
        </m:r>
        <m:r>
          <m:t>μ</m:t>
        </m:r>
        <m:r>
          <m:rPr>
            <m:sty m:val="p"/>
          </m:rPr>
          <m:t>Φ</m:t>
        </m:r>
        <m:r>
          <m:rPr>
            <m:sty m:val="p"/>
          </m:rPr>
          <m:t>(</m:t>
        </m:r>
        <m:r>
          <m:t>μ</m:t>
        </m:r>
        <m:r>
          <m:rPr>
            <m:sty m:val="p"/>
          </m:rPr>
          <m:t>/</m:t>
        </m:r>
        <m:r>
          <m:t>s</m:t>
        </m:r>
        <m:r>
          <m:rPr>
            <m:sty m:val="p"/>
          </m:rPr>
          <m:t>)</m:t>
        </m:r>
        <m:r>
          <m:rPr>
            <m:sty m:val="p"/>
          </m:rPr>
          <m:t>+</m:t>
        </m:r>
        <m:r>
          <m:t>s</m:t>
        </m:r>
        <m:r>
          <m:t> </m:t>
        </m:r>
        <m:r>
          <m:t>ϕ</m:t>
        </m:r>
        <m:r>
          <m:rPr>
            <m:sty m:val="p"/>
          </m:rPr>
          <m:t>(</m:t>
        </m:r>
        <m:r>
          <m:t>μ</m:t>
        </m:r>
        <m:r>
          <m:rPr>
            <m:sty m:val="p"/>
          </m:rPr>
          <m:t>/</m:t>
        </m:r>
        <m:r>
          <m:t>s</m:t>
        </m:r>
        <m:r>
          <m:rPr>
            <m:sty m:val="p"/>
          </m:rPr>
          <m:t>)</m:t>
        </m:r>
      </m:oMath>
      <w:r>
        <w:t xml:space="preserve">, the expectation of</w:t>
      </w:r>
      <w:r>
        <w:t xml:space="preserve"> </w:t>
      </w:r>
      <m:oMath>
        <m:r>
          <m:rPr>
            <m:sty m:val="p"/>
          </m:rPr>
          <m:t>max</m:t>
        </m:r>
        <m:r>
          <m:rPr>
            <m:sty m:val="p"/>
          </m:rPr>
          <m:t>(</m:t>
        </m:r>
        <m:r>
          <m:t>V</m:t>
        </m:r>
        <m:r>
          <m:rPr>
            <m:sty m:val="p"/>
          </m:rPr>
          <m:t>,</m:t>
        </m:r>
        <m:r>
          <m:t>0</m:t>
        </m:r>
        <m:r>
          <m:rPr>
            <m:sty m:val="p"/>
          </m:rPr>
          <m:t>)</m:t>
        </m:r>
      </m:oMath>
      <w:r>
        <w:t xml:space="preserve"> </w:t>
      </w:r>
      <w:r>
        <w:t xml:space="preserve">for a normal</w:t>
      </w:r>
      <w:r>
        <w:t xml:space="preserve"> </w:t>
      </w:r>
      <m:oMath>
        <m:r>
          <m:t>V</m:t>
        </m:r>
      </m:oMath>
      <w:r>
        <w:t xml:space="preserve">. The factor volatilities estimated from the history are below.</w:t>
      </w:r>
    </w:p>
    <w:p>
      <w:pPr>
        <w:pStyle w:val="Compact"/>
        <w:numPr>
          <w:ilvl w:val="0"/>
          <w:numId w:val="1006"/>
        </w:numPr>
      </w:pPr>
      <w:r>
        <w:rPr>
          <w:b/>
          <w:bCs/>
        </w:rPr>
        <w:t xml:space="preserve">Excluded trades.</w:t>
      </w:r>
      <w:r>
        <w:t xml:space="preserve"> </w:t>
      </w:r>
      <w:r>
        <w:t xml:space="preserve">Swaptions and FX options are excluded because their exposure is not Gaussian. They carry 43.4% of the book's absolute PV, so this is a material limitation (finding F-05). A Monte Carlo exposure engine would replace it.</w:t>
      </w:r>
    </w:p>
    <w:p>
      <w:pPr>
        <w:pStyle w:val="TableCaption"/>
      </w:pPr>
      <w:r>
        <w:t xml:space="preserve">Annualised factor volatilities used in the exposure model at the valuation date.</w:t>
      </w:r>
    </w:p>
    <w:tbl>
      <w:tblPr>
        <w:tblStyle w:val="Table"/>
        <w:tblW w:type="pct" w:w="5000"/>
        <w:tblLayout w:type="fixed"/>
        <w:tblLook w:firstRow="1" w:lastRow="0" w:firstColumn="0" w:lastColumn="0" w:noHBand="0" w:noVBand="0" w:val="0020"/>
        <w:tblCaption w:val="Annualised factor volatilities used in the exposure model at the valuation dat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Currency</w:t>
            </w:r>
          </w:p>
        </w:tc>
        <w:tc>
          <w:tcPr/>
          <w:p>
            <w:pPr>
              <w:pStyle w:val="Compact"/>
              <w:jc w:val="right"/>
            </w:pPr>
            <w:r>
              <w:rPr>
                <w:sz w:val="17"/>
              </w:rPr>
              <w:t xml:space="preserve">Parallel zero-rate volatility (bp per year)</w:t>
            </w:r>
          </w:p>
        </w:tc>
        <w:tc>
          <w:tcPr/>
          <w:p>
            <w:pPr>
              <w:pStyle w:val="Compact"/>
              <w:jc w:val="right"/>
            </w:pPr>
            <w:r>
              <w:rPr>
                <w:sz w:val="17"/>
              </w:rPr>
              <w:t xml:space="preserve">FX volatility against USD (percent per year)</w:t>
            </w:r>
          </w:p>
        </w:tc>
      </w:tr>
      <w:tr>
        <w:tc>
          <w:tcPr/>
          <w:p>
            <w:pPr>
              <w:pStyle w:val="Compact"/>
              <w:jc w:val="left"/>
            </w:pPr>
            <w:r>
              <w:rPr>
                <w:sz w:val="17"/>
              </w:rPr>
              <w:t xml:space="preserve">USD</w:t>
            </w:r>
          </w:p>
        </w:tc>
        <w:tc>
          <w:tcPr/>
          <w:p>
            <w:pPr>
              <w:pStyle w:val="Compact"/>
              <w:jc w:val="right"/>
            </w:pPr>
            <w:r>
              <w:rPr>
                <w:sz w:val="17"/>
              </w:rPr>
              <w:t xml:space="preserve">97.1</w:t>
            </w:r>
          </w:p>
        </w:tc>
        <w:tc>
          <w:tcPr/>
          <w:p>
            <w:pPr>
              <w:pStyle w:val="Compact"/>
              <w:jc w:val="right"/>
            </w:pPr>
            <w:r>
              <w:rPr>
                <w:sz w:val="17"/>
              </w:rPr>
              <w:t xml:space="preserve">none (calculation currency)</w:t>
            </w:r>
          </w:p>
        </w:tc>
      </w:tr>
      <w:tr>
        <w:tc>
          <w:tcPr/>
          <w:p>
            <w:pPr>
              <w:pStyle w:val="Compact"/>
              <w:jc w:val="left"/>
            </w:pPr>
            <w:r>
              <w:rPr>
                <w:sz w:val="17"/>
              </w:rPr>
              <w:t xml:space="preserve">EUR</w:t>
            </w:r>
          </w:p>
        </w:tc>
        <w:tc>
          <w:tcPr/>
          <w:p>
            <w:pPr>
              <w:pStyle w:val="Compact"/>
              <w:jc w:val="right"/>
            </w:pPr>
            <w:r>
              <w:rPr>
                <w:sz w:val="17"/>
              </w:rPr>
              <w:t xml:space="preserve">87.1</w:t>
            </w:r>
          </w:p>
        </w:tc>
        <w:tc>
          <w:tcPr/>
          <w:p>
            <w:pPr>
              <w:pStyle w:val="Compact"/>
              <w:jc w:val="right"/>
            </w:pPr>
            <w:r>
              <w:rPr>
                <w:sz w:val="17"/>
              </w:rPr>
              <w:t xml:space="preserve">12.0</w:t>
            </w:r>
          </w:p>
        </w:tc>
      </w:tr>
      <w:tr>
        <w:tc>
          <w:tcPr/>
          <w:p>
            <w:pPr>
              <w:pStyle w:val="Compact"/>
              <w:jc w:val="left"/>
            </w:pPr>
            <w:r>
              <w:rPr>
                <w:sz w:val="17"/>
              </w:rPr>
              <w:t xml:space="preserve">GBP</w:t>
            </w:r>
          </w:p>
        </w:tc>
        <w:tc>
          <w:tcPr/>
          <w:p>
            <w:pPr>
              <w:pStyle w:val="Compact"/>
              <w:jc w:val="right"/>
            </w:pPr>
            <w:r>
              <w:rPr>
                <w:sz w:val="17"/>
              </w:rPr>
              <w:t xml:space="preserve">86.8</w:t>
            </w:r>
          </w:p>
        </w:tc>
        <w:tc>
          <w:tcPr/>
          <w:p>
            <w:pPr>
              <w:pStyle w:val="Compact"/>
              <w:jc w:val="right"/>
            </w:pPr>
            <w:r>
              <w:rPr>
                <w:sz w:val="17"/>
              </w:rPr>
              <w:t xml:space="preserve">12.7</w:t>
            </w:r>
          </w:p>
        </w:tc>
      </w:tr>
      <w:tr>
        <w:tc>
          <w:tcPr/>
          <w:p>
            <w:pPr>
              <w:pStyle w:val="Compact"/>
              <w:jc w:val="left"/>
            </w:pPr>
            <w:r>
              <w:rPr>
                <w:sz w:val="17"/>
              </w:rPr>
              <w:t xml:space="preserve">JPY</w:t>
            </w:r>
          </w:p>
        </w:tc>
        <w:tc>
          <w:tcPr/>
          <w:p>
            <w:pPr>
              <w:pStyle w:val="Compact"/>
              <w:jc w:val="right"/>
            </w:pPr>
            <w:r>
              <w:rPr>
                <w:sz w:val="17"/>
              </w:rPr>
              <w:t xml:space="preserve">30.3</w:t>
            </w:r>
          </w:p>
        </w:tc>
        <w:tc>
          <w:tcPr/>
          <w:p>
            <w:pPr>
              <w:pStyle w:val="Compact"/>
              <w:jc w:val="right"/>
            </w:pPr>
            <w:r>
              <w:rPr>
                <w:sz w:val="17"/>
              </w:rPr>
              <w:t xml:space="preserve">13.5</w:t>
            </w:r>
          </w:p>
        </w:tc>
      </w:tr>
      <w:tr>
        <w:tc>
          <w:tcPr/>
          <w:p>
            <w:pPr>
              <w:pStyle w:val="Compact"/>
              <w:jc w:val="left"/>
            </w:pPr>
            <w:r>
              <w:rPr>
                <w:sz w:val="17"/>
              </w:rPr>
              <w:t xml:space="preserve">MXN</w:t>
            </w:r>
          </w:p>
        </w:tc>
        <w:tc>
          <w:tcPr/>
          <w:p>
            <w:pPr>
              <w:pStyle w:val="Compact"/>
              <w:jc w:val="right"/>
            </w:pPr>
            <w:r>
              <w:rPr>
                <w:sz w:val="17"/>
              </w:rPr>
              <w:t xml:space="preserve">124.6</w:t>
            </w:r>
          </w:p>
        </w:tc>
        <w:tc>
          <w:tcPr/>
          <w:p>
            <w:pPr>
              <w:pStyle w:val="Compact"/>
              <w:jc w:val="right"/>
            </w:pPr>
            <w:r>
              <w:rPr>
                <w:sz w:val="17"/>
              </w:rPr>
              <w:t xml:space="preserve">17.5</w:t>
            </w:r>
          </w:p>
        </w:tc>
      </w:tr>
    </w:tbl>
    <w:p>
      <w:pPr>
        <w:pStyle w:val="CaptionedFigure"/>
      </w:pPr>
      <w:r>
        <w:drawing>
          <wp:inline>
            <wp:extent cx="5334000" cy="3000375"/>
            <wp:effectExtent b="0" l="0" r="0" t="0"/>
            <wp:docPr descr="Netting-set exposure profile of the linear trades." title="" id="83" name="Picture"/>
            <a:graphic>
              <a:graphicData uri="http://schemas.openxmlformats.org/drawingml/2006/picture">
                <pic:pic>
                  <pic:nvPicPr>
                    <pic:cNvPr descr="../python/outputs/charts/cva_exposure_profile.png" id="84" name="Picture"/>
                    <pic:cNvPicPr>
                      <a:picLocks noChangeArrowheads="1" noChangeAspect="1"/>
                    </pic:cNvPicPr>
                  </pic:nvPicPr>
                  <pic:blipFill>
                    <a:blip r:embed="rId8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Netting-set exposure profile of the linear trades.</w:t>
      </w:r>
    </w:p>
    <w:p>
      <w:pPr>
        <w:pStyle w:val="BodyText"/>
      </w:pPr>
      <w:r>
        <w:t xml:space="preserve">At the valuation date the CVA is USD 225,687, the expected positive exposure averaged over the life is USD 1,022,381 and the peak EE is USD 5,259,153. The profile starts high because short-dated FX forwards are in the money and falls sharply as they mature, then rises again with the diffusion of the long swaps.</w:t>
      </w:r>
    </w:p>
    <w:bookmarkEnd w:id="85"/>
    <w:bookmarkStart w:id="89" w:name="the-xva-var-model-and-its-backtest"/>
    <w:p>
      <w:pPr>
        <w:pStyle w:val="Heading2"/>
      </w:pPr>
      <w:r>
        <w:rPr>
          <w:rStyle w:val="SectionNumber"/>
        </w:rPr>
        <w:t xml:space="preserve">10.2</w:t>
      </w:r>
      <w:r>
        <w:tab/>
      </w:r>
      <w:r>
        <w:t xml:space="preserve">The xVA VaR model and its backtest</w:t>
      </w:r>
    </w:p>
    <w:p>
      <w:pPr>
        <w:pStyle w:val="FirstParagraph"/>
      </w:pPr>
      <w:r>
        <w:t xml:space="preserve">CVA moves with credit spreads, interest rates and FX. A risk team therefore wants a VaR on the change of CVA. The model in</w:t>
      </w:r>
      <w:r>
        <w:t xml:space="preserve"> </w:t>
      </w:r>
      <w:r>
        <w:rPr>
          <w:rStyle w:val="VerbatimChar"/>
        </w:rPr>
        <w:t xml:space="preserve">xva_var_series</w:t>
      </w:r>
      <w:r>
        <w:t xml:space="preserve"> </w:t>
      </w:r>
      <w:r>
        <w:t xml:space="preserve">is sensitivity-based historical simulation: bump each of five CDS pillars (CS01), each of five parallel rate levels and each of four FX spots, reprice CVA to get 14 sensitivities, apply the newest 750 days of</w:t>
      </w:r>
      <w:r>
        <w:t xml:space="preserve"> </w:t>
      </w:r>
      <m:oMath>
        <m:r>
          <m:t>h</m:t>
        </m:r>
      </m:oMath>
      <w:r>
        <w:t xml:space="preserve">-day factor changes, and take the 99th percentile of the resulting loss distribution. The backtest compares it with the realised full-revaluation change in CVA (model parameters held at the date-</w:t>
      </w:r>
      <m:oMath>
        <m:r>
          <m:t>t</m:t>
        </m:r>
      </m:oMath>
      <w:r>
        <w:t xml:space="preserve"> </w:t>
      </w:r>
      <w:r>
        <w:t xml:space="preserve">values so the test isolates market moves):</w:t>
      </w:r>
    </w:p>
    <w:p>
      <w:pPr>
        <w:pStyle w:val="TableCaption"/>
      </w:pPr>
      <w:r>
        <w:t xml:space="preserve">xVA VaR backtest.</w:t>
      </w:r>
    </w:p>
    <w:tbl>
      <w:tblPr>
        <w:tblStyle w:val="Table"/>
        <w:tblW w:type="pct" w:w="5000"/>
        <w:tblLayout w:type="fixed"/>
        <w:tblLook w:firstRow="1" w:lastRow="0" w:firstColumn="0" w:lastColumn="0" w:noHBand="0" w:noVBand="0" w:val="0020"/>
        <w:tblCaption w:val="xVA VaR backtes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79"/>
        <w:gridCol w:w="879"/>
        <w:gridCol w:w="879"/>
        <w:gridCol w:w="879"/>
        <w:gridCol w:w="879"/>
        <w:gridCol w:w="879"/>
        <w:gridCol w:w="879"/>
        <w:gridCol w:w="879"/>
        <w:gridCol w:w="879"/>
      </w:tblGrid>
      <w:tr>
        <w:trPr>
          <w:tblHeader w:val="on"/>
        </w:trPr>
        <w:tc>
          <w:tcPr/>
          <w:p>
            <w:pPr>
              <w:pStyle w:val="Compact"/>
              <w:jc w:val="left"/>
            </w:pPr>
            <w:r>
              <w:rPr>
                <w:sz w:val="17"/>
              </w:rPr>
              <w:t xml:space="preserve">Design</w:t>
            </w:r>
          </w:p>
        </w:tc>
        <w:tc>
          <w:tcPr/>
          <w:p>
            <w:pPr>
              <w:pStyle w:val="Compact"/>
              <w:jc w:val="right"/>
            </w:pPr>
            <w:r>
              <w:rPr>
                <w:sz w:val="17"/>
              </w:rPr>
              <w:t xml:space="preserve">n</w:t>
            </w:r>
          </w:p>
        </w:tc>
        <w:tc>
          <w:tcPr/>
          <w:p>
            <w:pPr>
              <w:pStyle w:val="Compact"/>
              <w:jc w:val="right"/>
            </w:pPr>
            <w:r>
              <w:rPr>
                <w:sz w:val="17"/>
              </w:rPr>
              <w:t xml:space="preserve">Exceptions</w:t>
            </w:r>
          </w:p>
        </w:tc>
        <w:tc>
          <w:tcPr/>
          <w:p>
            <w:pPr>
              <w:pStyle w:val="Compact"/>
              <w:jc w:val="right"/>
            </w:pPr>
            <w:r>
              <w:rPr>
                <w:sz w:val="17"/>
              </w:rPr>
              <w:t xml:space="preserve">Expected</w:t>
            </w:r>
          </w:p>
        </w:tc>
        <w:tc>
          <w:tcPr/>
          <w:p>
            <w:pPr>
              <w:pStyle w:val="Compact"/>
              <w:jc w:val="right"/>
            </w:pPr>
            <w:r>
              <w:rPr>
                <w:sz w:val="17"/>
              </w:rPr>
              <w:t xml:space="preserve">Kupiec p</w:t>
            </w:r>
          </w:p>
        </w:tc>
        <w:tc>
          <w:tcPr/>
          <w:p>
            <w:pPr>
              <w:pStyle w:val="Compact"/>
              <w:jc w:val="right"/>
            </w:pPr>
            <w:r>
              <w:rPr>
                <w:sz w:val="17"/>
              </w:rPr>
              <w:t xml:space="preserve">Christoffersen ind p</w:t>
            </w:r>
          </w:p>
        </w:tc>
        <w:tc>
          <w:tcPr/>
          <w:p>
            <w:pPr>
              <w:pStyle w:val="Compact"/>
              <w:jc w:val="right"/>
            </w:pPr>
            <w:r>
              <w:rPr>
                <w:sz w:val="17"/>
              </w:rPr>
              <w:t xml:space="preserve">Christoffersen cc p</w:t>
            </w:r>
          </w:p>
        </w:tc>
        <w:tc>
          <w:tcPr/>
          <w:p>
            <w:pPr>
              <w:pStyle w:val="Compact"/>
              <w:jc w:val="left"/>
            </w:pPr>
            <w:r>
              <w:rPr>
                <w:sz w:val="17"/>
              </w:rPr>
              <w:t xml:space="preserve">Zone</w:t>
            </w:r>
          </w:p>
        </w:tc>
        <w:tc>
          <w:tcPr/>
          <w:p>
            <w:pPr>
              <w:pStyle w:val="Compact"/>
              <w:jc w:val="left"/>
            </w:pPr>
            <w:r>
              <w:rPr>
                <w:sz w:val="17"/>
              </w:rPr>
              <w:t xml:space="preserve">Light</w:t>
            </w:r>
          </w:p>
        </w:tc>
      </w:tr>
      <w:tr>
        <w:tc>
          <w:tcPr/>
          <w:p>
            <w:pPr>
              <w:pStyle w:val="Compact"/>
              <w:jc w:val="left"/>
            </w:pPr>
            <w:r>
              <w:rPr>
                <w:sz w:val="17"/>
              </w:rPr>
              <w:t xml:space="preserve">1-day</w:t>
            </w:r>
          </w:p>
        </w:tc>
        <w:tc>
          <w:tcPr/>
          <w:p>
            <w:pPr>
              <w:pStyle w:val="Compact"/>
              <w:jc w:val="right"/>
            </w:pPr>
            <w:r>
              <w:rPr>
                <w:sz w:val="17"/>
              </w:rPr>
              <w:t xml:space="preserve">1,327</w:t>
            </w:r>
          </w:p>
        </w:tc>
        <w:tc>
          <w:tcPr/>
          <w:p>
            <w:pPr>
              <w:pStyle w:val="Compact"/>
              <w:jc w:val="right"/>
            </w:pPr>
            <w:r>
              <w:rPr>
                <w:sz w:val="17"/>
              </w:rPr>
              <w:t xml:space="preserve">15</w:t>
            </w:r>
          </w:p>
        </w:tc>
        <w:tc>
          <w:tcPr/>
          <w:p>
            <w:pPr>
              <w:pStyle w:val="Compact"/>
              <w:jc w:val="right"/>
            </w:pPr>
            <w:r>
              <w:rPr>
                <w:sz w:val="17"/>
              </w:rPr>
              <w:t xml:space="preserve">13.3</w:t>
            </w:r>
          </w:p>
        </w:tc>
        <w:tc>
          <w:tcPr/>
          <w:p>
            <w:pPr>
              <w:pStyle w:val="Compact"/>
              <w:jc w:val="right"/>
            </w:pPr>
            <w:r>
              <w:rPr>
                <w:sz w:val="17"/>
              </w:rPr>
              <w:t xml:space="preserve">0.640</w:t>
            </w:r>
          </w:p>
        </w:tc>
        <w:tc>
          <w:tcPr/>
          <w:p>
            <w:pPr>
              <w:pStyle w:val="Compact"/>
              <w:jc w:val="right"/>
            </w:pPr>
            <w:r>
              <w:rPr>
                <w:sz w:val="17"/>
              </w:rPr>
              <w:t xml:space="preserve">0.558</w:t>
            </w:r>
          </w:p>
        </w:tc>
        <w:tc>
          <w:tcPr/>
          <w:p>
            <w:pPr>
              <w:pStyle w:val="Compact"/>
              <w:jc w:val="right"/>
            </w:pPr>
            <w:r>
              <w:rPr>
                <w:sz w:val="17"/>
              </w:rPr>
              <w:t xml:space="preserve">0.755</w:t>
            </w:r>
          </w:p>
        </w:tc>
        <w:tc>
          <w:tcPr/>
          <w:p>
            <w:pPr>
              <w:pStyle w:val="Compact"/>
              <w:jc w:val="left"/>
            </w:pPr>
            <w:r>
              <w:rPr>
                <w:sz w:val="17"/>
              </w:rPr>
              <w:t xml:space="preserve">Green</w:t>
            </w:r>
          </w:p>
        </w:tc>
        <w:tc>
          <w:tcPr/>
          <w:p>
            <w:pPr>
              <w:pStyle w:val="Compact"/>
              <w:jc w:val="left"/>
            </w:pPr>
            <w:r>
              <w:rPr>
                <w:sz w:val="17"/>
              </w:rPr>
              <w:t xml:space="preserve">PASS</w:t>
            </w:r>
          </w:p>
        </w:tc>
      </w:tr>
      <w:tr>
        <w:tc>
          <w:tcPr/>
          <w:p>
            <w:pPr>
              <w:pStyle w:val="Compact"/>
              <w:jc w:val="left"/>
            </w:pPr>
            <w:r>
              <w:rPr>
                <w:sz w:val="17"/>
              </w:rPr>
              <w:t xml:space="preserve">10-day non-overlapping</w:t>
            </w:r>
          </w:p>
        </w:tc>
        <w:tc>
          <w:tcPr/>
          <w:p>
            <w:pPr>
              <w:pStyle w:val="Compact"/>
              <w:jc w:val="right"/>
            </w:pPr>
            <w:r>
              <w:rPr>
                <w:sz w:val="17"/>
              </w:rPr>
              <w:t xml:space="preserve">132</w:t>
            </w:r>
          </w:p>
        </w:tc>
        <w:tc>
          <w:tcPr/>
          <w:p>
            <w:pPr>
              <w:pStyle w:val="Compact"/>
              <w:jc w:val="right"/>
            </w:pPr>
            <w:r>
              <w:rPr>
                <w:sz w:val="17"/>
              </w:rPr>
              <w:t xml:space="preserve">4</w:t>
            </w:r>
          </w:p>
        </w:tc>
        <w:tc>
          <w:tcPr/>
          <w:p>
            <w:pPr>
              <w:pStyle w:val="Compact"/>
              <w:jc w:val="right"/>
            </w:pPr>
            <w:r>
              <w:rPr>
                <w:sz w:val="17"/>
              </w:rPr>
              <w:t xml:space="preserve">1.3</w:t>
            </w:r>
          </w:p>
        </w:tc>
        <w:tc>
          <w:tcPr/>
          <w:p>
            <w:pPr>
              <w:pStyle w:val="Compact"/>
              <w:jc w:val="right"/>
            </w:pPr>
            <w:r>
              <w:rPr>
                <w:sz w:val="17"/>
              </w:rPr>
              <w:t xml:space="preserve">0.059</w:t>
            </w:r>
          </w:p>
        </w:tc>
        <w:tc>
          <w:tcPr/>
          <w:p>
            <w:pPr>
              <w:pStyle w:val="Compact"/>
              <w:jc w:val="right"/>
            </w:pPr>
            <w:r>
              <w:rPr>
                <w:sz w:val="17"/>
              </w:rPr>
              <w:t xml:space="preserve">0.089</w:t>
            </w:r>
          </w:p>
        </w:tc>
        <w:tc>
          <w:tcPr/>
          <w:p>
            <w:pPr>
              <w:pStyle w:val="Compact"/>
              <w:jc w:val="right"/>
            </w:pPr>
            <w:r>
              <w:rPr>
                <w:sz w:val="17"/>
              </w:rPr>
              <w:t xml:space="preserve">0.040</w:t>
            </w:r>
          </w:p>
        </w:tc>
        <w:tc>
          <w:tcPr/>
          <w:p>
            <w:pPr>
              <w:pStyle w:val="Compact"/>
              <w:jc w:val="left"/>
            </w:pPr>
            <w:r>
              <w:rPr>
                <w:sz w:val="17"/>
              </w:rPr>
              <w:t xml:space="preserve">Yellow</w:t>
            </w:r>
          </w:p>
        </w:tc>
        <w:tc>
          <w:tcPr/>
          <w:p>
            <w:pPr>
              <w:pStyle w:val="Compact"/>
              <w:jc w:val="left"/>
            </w:pPr>
            <w:r>
              <w:rPr>
                <w:sz w:val="17"/>
              </w:rPr>
              <w:t xml:space="preserve">AMBER</w:t>
            </w:r>
          </w:p>
        </w:tc>
      </w:tr>
      <w:tr>
        <w:tc>
          <w:tcPr/>
          <w:p>
            <w:pPr>
              <w:pStyle w:val="Compact"/>
              <w:jc w:val="left"/>
            </w:pPr>
            <w:r>
              <w:rPr>
                <w:sz w:val="17"/>
              </w:rPr>
              <w:t xml:space="preserve">10-day overlapping</w:t>
            </w:r>
          </w:p>
        </w:tc>
        <w:tc>
          <w:tcPr/>
          <w:p>
            <w:pPr>
              <w:pStyle w:val="Compact"/>
              <w:jc w:val="right"/>
            </w:pPr>
            <w:r>
              <w:rPr>
                <w:sz w:val="17"/>
              </w:rPr>
              <w:t xml:space="preserve">1,318</w:t>
            </w:r>
          </w:p>
        </w:tc>
        <w:tc>
          <w:tcPr/>
          <w:p>
            <w:pPr>
              <w:pStyle w:val="Compact"/>
              <w:jc w:val="right"/>
            </w:pPr>
            <w:r>
              <w:rPr>
                <w:sz w:val="17"/>
              </w:rPr>
              <w:t xml:space="preserve">30</w:t>
            </w:r>
          </w:p>
        </w:tc>
        <w:tc>
          <w:tcPr/>
          <w:p>
            <w:pPr>
              <w:pStyle w:val="Compact"/>
              <w:jc w:val="right"/>
            </w:pPr>
            <w:r>
              <w:rPr>
                <w:sz w:val="17"/>
              </w:rPr>
              <w:t xml:space="preserve">13.2</w:t>
            </w:r>
          </w:p>
        </w:tc>
        <w:tc>
          <w:tcPr/>
          <w:p>
            <w:pPr>
              <w:pStyle w:val="Compact"/>
              <w:jc w:val="right"/>
            </w:pPr>
            <w:r>
              <w:rPr>
                <w:sz w:val="17"/>
              </w:rPr>
              <w:t xml:space="preserve">6.6e-05</w:t>
            </w:r>
          </w:p>
        </w:tc>
        <w:tc>
          <w:tcPr/>
          <w:p>
            <w:pPr>
              <w:pStyle w:val="Compact"/>
              <w:jc w:val="right"/>
            </w:pPr>
            <w:r>
              <w:rPr>
                <w:sz w:val="17"/>
              </w:rPr>
              <w:t xml:space="preserve">2.5e-30</w:t>
            </w:r>
          </w:p>
        </w:tc>
        <w:tc>
          <w:tcPr/>
          <w:p>
            <w:pPr>
              <w:pStyle w:val="Compact"/>
              <w:jc w:val="right"/>
            </w:pPr>
            <w:r>
              <w:rPr>
                <w:sz w:val="17"/>
              </w:rPr>
              <w:t xml:space="preserve">1.3e-32</w:t>
            </w:r>
          </w:p>
        </w:tc>
        <w:tc>
          <w:tcPr/>
          <w:p>
            <w:pPr>
              <w:pStyle w:val="Compact"/>
              <w:jc w:val="left"/>
            </w:pPr>
            <w:r>
              <w:rPr>
                <w:sz w:val="17"/>
              </w:rPr>
              <w:t xml:space="preserve">Red</w:t>
            </w:r>
          </w:p>
        </w:tc>
        <w:tc>
          <w:tcPr/>
          <w:p>
            <w:pPr>
              <w:pStyle w:val="Compact"/>
              <w:jc w:val="left"/>
            </w:pPr>
            <w:r>
              <w:rPr>
                <w:sz w:val="17"/>
              </w:rPr>
              <w:t xml:space="preserve">RED</w:t>
            </w:r>
          </w:p>
        </w:tc>
      </w:tr>
    </w:tbl>
    <w:p>
      <w:pPr>
        <w:pStyle w:val="CaptionedFigure"/>
      </w:pPr>
      <w:r>
        <w:drawing>
          <wp:inline>
            <wp:extent cx="5334000" cy="2400300"/>
            <wp:effectExtent b="0" l="0" r="0" t="0"/>
            <wp:docPr descr="xVA VaR against the realised change in CVA, 1 day." title="" id="87" name="Picture"/>
            <a:graphic>
              <a:graphicData uri="http://schemas.openxmlformats.org/drawingml/2006/picture">
                <pic:pic>
                  <pic:nvPicPr>
                    <pic:cNvPr descr="../python/outputs/charts/xva_var_backtest.png" id="88" name="Picture"/>
                    <pic:cNvPicPr>
                      <a:picLocks noChangeArrowheads="1" noChangeAspect="1"/>
                    </pic:cNvPicPr>
                  </pic:nvPicPr>
                  <pic:blipFill>
                    <a:blip r:embed="rId86"/>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xVA VaR against the realised change in CVA, 1 day.</w:t>
      </w:r>
    </w:p>
    <w:p>
      <w:pPr>
        <w:pStyle w:val="BodyText"/>
      </w:pPr>
      <w:r>
        <w:t xml:space="preserve">At one day the xVA VaR passes all tests: 15 exceptions in 1,327 (Kupiec p = 0.640, Christoffersen conditional coverage p = 0.755). On 10-day non-overlapping windows it has 4 exceptions in 132 and conditional coverage is amber (p = 0.040); the overall light is amber, raised as finding F-11. The overlapping design is red, as for the IM models. The model is a first-order approximation: the sensitivities are linear, gamma and the exposure profile's sensitivity to volatility are ignored, and the realised CVA uses the same Gaussian exposure model, so the test checks the VaR approximation to the CVA model, not the CVA model to reality.</w:t>
      </w:r>
    </w:p>
    <w:bookmarkEnd w:id="89"/>
    <w:bookmarkEnd w:id="90"/>
    <w:bookmarkStart w:id="101" w:name="margin-dispute-investigation"/>
    <w:p>
      <w:pPr>
        <w:pStyle w:val="Heading1"/>
      </w:pPr>
      <w:r>
        <w:rPr>
          <w:rStyle w:val="SectionNumber"/>
        </w:rPr>
        <w:t xml:space="preserve">11</w:t>
      </w:r>
      <w:r>
        <w:tab/>
      </w:r>
      <w:r>
        <w:t xml:space="preserve">Margin dispute investigation</w:t>
      </w:r>
    </w:p>
    <w:bookmarkStart w:id="91" w:name="the-business-problem"/>
    <w:p>
      <w:pPr>
        <w:pStyle w:val="Heading2"/>
      </w:pPr>
      <w:r>
        <w:rPr>
          <w:rStyle w:val="SectionNumber"/>
        </w:rPr>
        <w:t xml:space="preserve">11.1</w:t>
      </w:r>
      <w:r>
        <w:tab/>
      </w:r>
      <w:r>
        <w:t xml:space="preserve">The business problem</w:t>
      </w:r>
    </w:p>
    <w:p>
      <w:pPr>
        <w:pStyle w:val="FirstParagraph"/>
      </w:pPr>
      <w:r>
        <w:t xml:space="preserve">Each day both counterparties compute IM for the same netting set and the delivering party's number is called. If the receiving party's number differs by more than an agreed threshold, there is a dispute, and both sides have to find out why. ISDA's governance framework prescribes escalation steps for such disputes, and in practice the work is a structured reconciliation: do we agree on the trade population, on the sensitivities, on the parameters and on the aggregation? (ISDA SIMM Governance Framework 18 Sep 2026). The first three are data problems; the last is a model problem and should rarely differ if both sides run the same version.</w:t>
      </w:r>
    </w:p>
    <w:bookmarkEnd w:id="91"/>
    <w:bookmarkStart w:id="92" w:name="the-simulator"/>
    <w:p>
      <w:pPr>
        <w:pStyle w:val="Heading2"/>
      </w:pPr>
      <w:r>
        <w:rPr>
          <w:rStyle w:val="SectionNumber"/>
        </w:rPr>
        <w:t xml:space="preserve">11.2</w:t>
      </w:r>
      <w:r>
        <w:tab/>
      </w:r>
      <w:r>
        <w:t xml:space="preserve">The simulator</w:t>
      </w:r>
    </w:p>
    <w:p>
      <w:pPr>
        <w:pStyle w:val="FirstParagraph"/>
      </w:pPr>
      <w:r>
        <w:rPr>
          <w:rStyle w:val="VerbatimChar"/>
        </w:rPr>
        <w:t xml:space="preserve">dispute.py</w:t>
      </w:r>
      <w:r>
        <w:t xml:space="preserve"> </w:t>
      </w:r>
      <w:r>
        <w:t xml:space="preserve">plays both sides. Party A is the base calculation (the CRIF and parameters of Section 4 and 5).</w:t>
      </w:r>
      <w:r>
        <w:t xml:space="preserve"> </w:t>
      </w:r>
      <w:r>
        <w:rPr>
          <w:rStyle w:val="VerbatimChar"/>
        </w:rPr>
        <w:t xml:space="preserve">make_counterparty_view</w:t>
      </w:r>
      <w:r>
        <w:t xml:space="preserve"> </w:t>
      </w:r>
      <w:r>
        <w:t xml:space="preserve">builds party B's inputs with one seeded difference, scenario D1 to D9, all at the scenario day 10 Jul 2026 (the first COB on which v2.8+2512 applies):</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Scenario</w:t>
            </w:r>
          </w:p>
        </w:tc>
        <w:tc>
          <w:tcPr/>
          <w:p>
            <w:pPr>
              <w:pStyle w:val="Compact"/>
              <w:jc w:val="left"/>
            </w:pPr>
            <w:r>
              <w:rPr>
                <w:sz w:val="17"/>
              </w:rPr>
              <w:t xml:space="preserve">Seeded difference on party B's side</w:t>
            </w:r>
          </w:p>
        </w:tc>
      </w:tr>
      <w:tr>
        <w:tc>
          <w:tcPr/>
          <w:p>
            <w:pPr>
              <w:pStyle w:val="Compact"/>
              <w:jc w:val="left"/>
            </w:pPr>
            <w:r>
              <w:rPr>
                <w:sz w:val="17"/>
              </w:rPr>
              <w:t xml:space="preserve">D1</w:t>
            </w:r>
          </w:p>
        </w:tc>
        <w:tc>
          <w:tcPr/>
          <w:p>
            <w:pPr>
              <w:pStyle w:val="Compact"/>
              <w:jc w:val="left"/>
            </w:pPr>
            <w:r>
              <w:rPr>
                <w:sz w:val="17"/>
              </w:rPr>
              <w:t xml:space="preserve">A trade (IRS_EUR_10Y) was never booked</w:t>
            </w:r>
          </w:p>
        </w:tc>
      </w:tr>
      <w:tr>
        <w:tc>
          <w:tcPr/>
          <w:p>
            <w:pPr>
              <w:pStyle w:val="Compact"/>
              <w:jc w:val="left"/>
            </w:pPr>
            <w:r>
              <w:rPr>
                <w:sz w:val="17"/>
              </w:rPr>
              <w:t xml:space="preserve">D2</w:t>
            </w:r>
          </w:p>
        </w:tc>
        <w:tc>
          <w:tcPr/>
          <w:p>
            <w:pPr>
              <w:pStyle w:val="Compact"/>
              <w:jc w:val="left"/>
            </w:pPr>
            <w:r>
              <w:rPr>
                <w:sz w:val="17"/>
              </w:rPr>
              <w:t xml:space="preserve">The notional of IRS_USD_10Y was amended by +10%</w:t>
            </w:r>
          </w:p>
        </w:tc>
      </w:tr>
      <w:tr>
        <w:tc>
          <w:tcPr/>
          <w:p>
            <w:pPr>
              <w:pStyle w:val="Compact"/>
              <w:jc w:val="left"/>
            </w:pPr>
            <w:r>
              <w:rPr>
                <w:sz w:val="17"/>
              </w:rPr>
              <w:t xml:space="preserve">D3</w:t>
            </w:r>
          </w:p>
        </w:tc>
        <w:tc>
          <w:tcPr/>
          <w:p>
            <w:pPr>
              <w:pStyle w:val="Compact"/>
              <w:jc w:val="left"/>
            </w:pPr>
            <w:r>
              <w:rPr>
                <w:sz w:val="17"/>
              </w:rPr>
              <w:t xml:space="preserve">IR delta computed per 1bp of zero rate instead of per 1bp of par quote</w:t>
            </w:r>
          </w:p>
        </w:tc>
      </w:tr>
      <w:tr>
        <w:tc>
          <w:tcPr/>
          <w:p>
            <w:pPr>
              <w:pStyle w:val="Compact"/>
              <w:jc w:val="left"/>
            </w:pPr>
            <w:r>
              <w:rPr>
                <w:sz w:val="17"/>
              </w:rPr>
              <w:t xml:space="preserve">D4</w:t>
            </w:r>
          </w:p>
        </w:tc>
        <w:tc>
          <w:tcPr/>
          <w:p>
            <w:pPr>
              <w:pStyle w:val="Compact"/>
              <w:jc w:val="left"/>
            </w:pPr>
            <w:r>
              <w:rPr>
                <w:sz w:val="17"/>
              </w:rPr>
              <w:t xml:space="preserve">FX vega weighted with the market implied vol instead of the SIMM vol</w:t>
            </w:r>
          </w:p>
        </w:tc>
      </w:tr>
      <w:tr>
        <w:tc>
          <w:tcPr/>
          <w:p>
            <w:pPr>
              <w:pStyle w:val="Compact"/>
              <w:jc w:val="left"/>
            </w:pPr>
            <w:r>
              <w:rPr>
                <w:sz w:val="17"/>
              </w:rPr>
              <w:t xml:space="preserve">D5</w:t>
            </w:r>
          </w:p>
        </w:tc>
        <w:tc>
          <w:tcPr/>
          <w:p>
            <w:pPr>
              <w:pStyle w:val="Compact"/>
              <w:jc w:val="left"/>
            </w:pPr>
            <w:r>
              <w:rPr>
                <w:sz w:val="17"/>
              </w:rPr>
              <w:t xml:space="preserve">Local amounts converted to USD at an FX rate five business days old</w:t>
            </w:r>
          </w:p>
        </w:tc>
      </w:tr>
      <w:tr>
        <w:tc>
          <w:tcPr/>
          <w:p>
            <w:pPr>
              <w:pStyle w:val="Compact"/>
              <w:jc w:val="left"/>
            </w:pPr>
            <w:r>
              <w:rPr>
                <w:sz w:val="17"/>
              </w:rPr>
              <w:t xml:space="preserve">D6</w:t>
            </w:r>
          </w:p>
        </w:tc>
        <w:tc>
          <w:tcPr/>
          <w:p>
            <w:pPr>
              <w:pStyle w:val="Compact"/>
              <w:jc w:val="left"/>
            </w:pPr>
            <w:r>
              <w:rPr>
                <w:sz w:val="17"/>
              </w:rPr>
              <w:t xml:space="preserve">The 7-year IRS sensitivity mapped 100% to the 10-year vertex instead of linear rebucketing</w:t>
            </w:r>
          </w:p>
        </w:tc>
      </w:tr>
      <w:tr>
        <w:tc>
          <w:tcPr/>
          <w:p>
            <w:pPr>
              <w:pStyle w:val="Compact"/>
              <w:jc w:val="left"/>
            </w:pPr>
            <w:r>
              <w:rPr>
                <w:sz w:val="17"/>
              </w:rPr>
              <w:t xml:space="preserve">D7</w:t>
            </w:r>
          </w:p>
        </w:tc>
        <w:tc>
          <w:tcPr/>
          <w:p>
            <w:pPr>
              <w:pStyle w:val="Compact"/>
              <w:jc w:val="left"/>
            </w:pPr>
            <w:r>
              <w:rPr>
                <w:sz w:val="17"/>
              </w:rPr>
              <w:t xml:space="preserve">The curves are three business days old</w:t>
            </w:r>
          </w:p>
        </w:tc>
      </w:tr>
      <w:tr>
        <w:tc>
          <w:tcPr/>
          <w:p>
            <w:pPr>
              <w:pStyle w:val="Compact"/>
              <w:jc w:val="left"/>
            </w:pPr>
            <w:r>
              <w:rPr>
                <w:sz w:val="17"/>
              </w:rPr>
              <w:t xml:space="preserve">D8</w:t>
            </w:r>
          </w:p>
        </w:tc>
        <w:tc>
          <w:tcPr/>
          <w:p>
            <w:pPr>
              <w:pStyle w:val="Compact"/>
              <w:jc w:val="left"/>
            </w:pPr>
            <w:r>
              <w:rPr>
                <w:sz w:val="17"/>
              </w:rPr>
              <w:t xml:space="preserve">Party B is on parameter version v2.8+2506</w:t>
            </w:r>
          </w:p>
        </w:tc>
      </w:tr>
      <w:tr>
        <w:tc>
          <w:tcPr/>
          <w:p>
            <w:pPr>
              <w:pStyle w:val="Compact"/>
              <w:jc w:val="left"/>
            </w:pPr>
            <w:r>
              <w:rPr>
                <w:sz w:val="17"/>
              </w:rPr>
              <w:t xml:space="preserve">D9</w:t>
            </w:r>
          </w:p>
        </w:tc>
        <w:tc>
          <w:tcPr/>
          <w:p>
            <w:pPr>
              <w:pStyle w:val="Compact"/>
              <w:jc w:val="left"/>
            </w:pPr>
            <w:r>
              <w:rPr>
                <w:sz w:val="17"/>
              </w:rPr>
              <w:t xml:space="preserve">D1 and D5 together</w:t>
            </w:r>
          </w:p>
        </w:tc>
      </w:tr>
    </w:tbl>
    <w:bookmarkEnd w:id="92"/>
    <w:bookmarkStart w:id="96" w:name="the-reconciliation"/>
    <w:p>
      <w:pPr>
        <w:pStyle w:val="Heading2"/>
      </w:pPr>
      <w:r>
        <w:rPr>
          <w:rStyle w:val="SectionNumber"/>
        </w:rPr>
        <w:t xml:space="preserve">11.3</w:t>
      </w:r>
      <w:r>
        <w:tab/>
      </w:r>
      <w:r>
        <w:t xml:space="preserve">The reconciliation</w:t>
      </w:r>
    </w:p>
    <w:p>
      <w:pPr>
        <w:pStyle w:val="FirstParagraph"/>
      </w:pPr>
      <w:r>
        <w:rPr>
          <w:rStyle w:val="VerbatimChar"/>
        </w:rPr>
        <w:t xml:space="preserve">reconcile</w:t>
      </w:r>
      <w:r>
        <w:t xml:space="preserve"> </w:t>
      </w:r>
      <w:r>
        <w:t xml:space="preserve">compares the two views at four levels, from the cheapest check to the most expensive.</w:t>
      </w:r>
    </w:p>
    <w:p>
      <w:pPr>
        <w:pStyle w:val="Compact"/>
        <w:numPr>
          <w:ilvl w:val="0"/>
          <w:numId w:val="1007"/>
        </w:numPr>
      </w:pPr>
      <w:r>
        <w:rPr>
          <w:b/>
          <w:bCs/>
        </w:rPr>
        <w:t xml:space="preserve">Trade population:</w:t>
      </w:r>
      <w:r>
        <w:t xml:space="preserve"> </w:t>
      </w:r>
      <w:r>
        <w:t xml:space="preserve">trade IDs and notionals on each side (only A, only B, notional differs).</w:t>
      </w:r>
    </w:p>
    <w:p>
      <w:pPr>
        <w:pStyle w:val="Compact"/>
        <w:numPr>
          <w:ilvl w:val="0"/>
          <w:numId w:val="1007"/>
        </w:numPr>
      </w:pPr>
      <w:r>
        <w:rPr>
          <w:b/>
          <w:bCs/>
        </w:rPr>
        <w:t xml:space="preserve">CRIF key match:</w:t>
      </w:r>
      <w:r>
        <w:t xml:space="preserve"> </w:t>
      </w:r>
      <w:r>
        <w:t xml:space="preserve">an outer join on TradeID, RiskType, Qualifier, Label1, Label2 with a tolerance on AmountUSD (USD 1 absolute or</w:t>
      </w:r>
      <w:r>
        <w:t xml:space="preserve"> </w:t>
      </w:r>
      <m:oMath>
        <m:sSup>
          <m:e>
            <m:r>
              <m:t>10</m:t>
            </m:r>
          </m:e>
          <m:sup>
            <m:r>
              <m:rPr>
                <m:sty m:val="p"/>
              </m:rPr>
              <m:t>−</m:t>
            </m:r>
            <m:r>
              <m:t>9</m:t>
            </m:r>
          </m:sup>
        </m:sSup>
      </m:oMath>
      <w:r>
        <w:t xml:space="preserve"> </w:t>
      </w:r>
      <w:r>
        <w:t xml:space="preserve">relative); each key is matched, differs in amount, only A or only B.</w:t>
      </w:r>
    </w:p>
    <w:p>
      <w:pPr>
        <w:pStyle w:val="Compact"/>
        <w:numPr>
          <w:ilvl w:val="0"/>
          <w:numId w:val="1007"/>
        </w:numPr>
      </w:pPr>
      <w:r>
        <w:rPr>
          <w:b/>
          <w:bCs/>
        </w:rPr>
        <w:t xml:space="preserve">Hierarchical IM gap:</w:t>
      </w:r>
      <w:r>
        <w:t xml:space="preserve"> </w:t>
      </w:r>
      <w:r>
        <w:t xml:space="preserve">the difference in IM between B and A decomposed down the SIMM tree: risk class, margin type, bucket (</w:t>
      </w:r>
      <m:oMath>
        <m:sSub>
          <m:e>
            <m:r>
              <m:t>K</m:t>
            </m:r>
          </m:e>
          <m:sub>
            <m:r>
              <m:t>b</m:t>
            </m:r>
          </m:sub>
        </m:sSub>
      </m:oMath>
      <w:r>
        <w:t xml:space="preserve">), risk factor. The decomposition follows the largest absolute gap at each level, which localises the break.</w:t>
      </w:r>
    </w:p>
    <w:p>
      <w:pPr>
        <w:pStyle w:val="Compact"/>
        <w:numPr>
          <w:ilvl w:val="0"/>
          <w:numId w:val="1007"/>
        </w:numPr>
      </w:pPr>
      <w:r>
        <w:rPr>
          <w:b/>
          <w:bCs/>
        </w:rPr>
        <w:t xml:space="preserve">Euler contributions:</w:t>
      </w:r>
      <w:r>
        <w:t xml:space="preserve"> </w:t>
      </w:r>
      <w:r>
        <w:t xml:space="preserve">each trade's contribution to IM on each side, to see which trades explain the gap even when sensitivities are aggregated.</w:t>
      </w:r>
    </w:p>
    <w:p>
      <w:pPr>
        <w:pStyle w:val="FirstParagraph"/>
      </w:pPr>
      <w:r>
        <w:t xml:space="preserve">Example, D1 (gap USD -224,174, IM A USD 5,264,394, IM B USD 5,040,220):</w:t>
      </w:r>
    </w:p>
    <w:p>
      <w:pPr>
        <w:pStyle w:val="TableCaption"/>
      </w:pPr>
      <w:r>
        <w:t xml:space="preserve">Scenario D1, gap decomposition from risk class down to buckets (top items).</w:t>
      </w:r>
    </w:p>
    <w:tbl>
      <w:tblPr>
        <w:tblStyle w:val="Table"/>
        <w:tblW w:type="auto" w:w="0"/>
        <w:tblLook w:firstRow="1" w:lastRow="0" w:firstColumn="0" w:lastColumn="0" w:noHBand="0" w:noVBand="0" w:val="0020"/>
        <w:tblCaption w:val="Scenario D1, gap decomposition from risk class down to buckets (top item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Level</w:t>
            </w:r>
          </w:p>
        </w:tc>
        <w:tc>
          <w:tcPr/>
          <w:p>
            <w:pPr>
              <w:pStyle w:val="Compact"/>
              <w:jc w:val="left"/>
            </w:pPr>
            <w:r>
              <w:rPr>
                <w:sz w:val="17"/>
              </w:rPr>
              <w:t xml:space="preserve">Item</w:t>
            </w:r>
          </w:p>
        </w:tc>
        <w:tc>
          <w:tcPr/>
          <w:p>
            <w:pPr>
              <w:pStyle w:val="Compact"/>
              <w:jc w:val="right"/>
            </w:pPr>
            <w:r>
              <w:rPr>
                <w:sz w:val="17"/>
              </w:rPr>
              <w:t xml:space="preserve">Party A (USD)</w:t>
            </w:r>
          </w:p>
        </w:tc>
        <w:tc>
          <w:tcPr/>
          <w:p>
            <w:pPr>
              <w:pStyle w:val="Compact"/>
              <w:jc w:val="right"/>
            </w:pPr>
            <w:r>
              <w:rPr>
                <w:sz w:val="17"/>
              </w:rPr>
              <w:t xml:space="preserve">Party B (USD)</w:t>
            </w:r>
          </w:p>
        </w:tc>
        <w:tc>
          <w:tcPr/>
          <w:p>
            <w:pPr>
              <w:pStyle w:val="Compact"/>
              <w:jc w:val="right"/>
            </w:pPr>
            <w:r>
              <w:rPr>
                <w:sz w:val="17"/>
              </w:rPr>
              <w:t xml:space="preserve">Gap (USD)</w:t>
            </w:r>
          </w:p>
        </w:tc>
      </w:tr>
      <w:tr>
        <w:tc>
          <w:tcPr/>
          <w:p>
            <w:pPr>
              <w:pStyle w:val="Compact"/>
              <w:jc w:val="left"/>
            </w:pPr>
            <w:r>
              <w:rPr>
                <w:sz w:val="17"/>
              </w:rPr>
              <w:t xml:space="preserve">Risk class</w:t>
            </w:r>
          </w:p>
        </w:tc>
        <w:tc>
          <w:tcPr/>
          <w:p>
            <w:pPr>
              <w:pStyle w:val="Compact"/>
              <w:jc w:val="left"/>
            </w:pPr>
            <w:r>
              <w:rPr>
                <w:sz w:val="17"/>
              </w:rPr>
              <w:t xml:space="preserve">IR</w:t>
            </w:r>
          </w:p>
        </w:tc>
        <w:tc>
          <w:tcPr/>
          <w:p>
            <w:pPr>
              <w:pStyle w:val="Compact"/>
              <w:jc w:val="right"/>
            </w:pPr>
            <w:r>
              <w:rPr>
                <w:sz w:val="17"/>
              </w:rPr>
              <w:t xml:space="preserve">2,579,983</w:t>
            </w:r>
          </w:p>
        </w:tc>
        <w:tc>
          <w:tcPr/>
          <w:p>
            <w:pPr>
              <w:pStyle w:val="Compact"/>
              <w:jc w:val="right"/>
            </w:pPr>
            <w:r>
              <w:rPr>
                <w:sz w:val="17"/>
              </w:rPr>
              <w:t xml:space="preserve">2,279,851</w:t>
            </w:r>
          </w:p>
        </w:tc>
        <w:tc>
          <w:tcPr/>
          <w:p>
            <w:pPr>
              <w:pStyle w:val="Compact"/>
              <w:jc w:val="right"/>
            </w:pPr>
            <w:r>
              <w:rPr>
                <w:sz w:val="17"/>
              </w:rPr>
              <w:t xml:space="preserve">-300,133</w:t>
            </w:r>
          </w:p>
        </w:tc>
      </w:tr>
      <w:tr>
        <w:tc>
          <w:tcPr/>
          <w:p>
            <w:pPr>
              <w:pStyle w:val="Compact"/>
              <w:jc w:val="left"/>
            </w:pPr>
            <w:r>
              <w:rPr>
                <w:sz w:val="17"/>
              </w:rPr>
              <w:t xml:space="preserve">Risk class</w:t>
            </w:r>
          </w:p>
        </w:tc>
        <w:tc>
          <w:tcPr/>
          <w:p>
            <w:pPr>
              <w:pStyle w:val="Compact"/>
              <w:jc w:val="left"/>
            </w:pPr>
            <w:r>
              <w:rPr>
                <w:sz w:val="17"/>
              </w:rPr>
              <w:t xml:space="preserve">FX</w:t>
            </w:r>
          </w:p>
        </w:tc>
        <w:tc>
          <w:tcPr/>
          <w:p>
            <w:pPr>
              <w:pStyle w:val="Compact"/>
              <w:jc w:val="right"/>
            </w:pPr>
            <w:r>
              <w:rPr>
                <w:sz w:val="17"/>
              </w:rPr>
              <w:t xml:space="preserve">4,218,141</w:t>
            </w:r>
          </w:p>
        </w:tc>
        <w:tc>
          <w:tcPr/>
          <w:p>
            <w:pPr>
              <w:pStyle w:val="Compact"/>
              <w:jc w:val="right"/>
            </w:pPr>
            <w:r>
              <w:rPr>
                <w:sz w:val="17"/>
              </w:rPr>
              <w:t xml:space="preserve">4,166,131</w:t>
            </w:r>
          </w:p>
        </w:tc>
        <w:tc>
          <w:tcPr/>
          <w:p>
            <w:pPr>
              <w:pStyle w:val="Compact"/>
              <w:jc w:val="right"/>
            </w:pPr>
            <w:r>
              <w:rPr>
                <w:sz w:val="17"/>
              </w:rPr>
              <w:t xml:space="preserve">-52,009</w:t>
            </w:r>
          </w:p>
        </w:tc>
      </w:tr>
      <w:tr>
        <w:tc>
          <w:tcPr/>
          <w:p>
            <w:pPr>
              <w:pStyle w:val="Compact"/>
              <w:jc w:val="left"/>
            </w:pPr>
            <w:r>
              <w:rPr>
                <w:sz w:val="17"/>
              </w:rPr>
              <w:t xml:space="preserve">Margin type</w:t>
            </w:r>
          </w:p>
        </w:tc>
        <w:tc>
          <w:tcPr/>
          <w:p>
            <w:pPr>
              <w:pStyle w:val="Compact"/>
              <w:jc w:val="left"/>
            </w:pPr>
            <w:r>
              <w:rPr>
                <w:sz w:val="17"/>
              </w:rPr>
              <w:t xml:space="preserve">IR Delta</w:t>
            </w:r>
          </w:p>
        </w:tc>
        <w:tc>
          <w:tcPr/>
          <w:p>
            <w:pPr>
              <w:pStyle w:val="Compact"/>
              <w:jc w:val="right"/>
            </w:pPr>
            <w:r>
              <w:rPr>
                <w:sz w:val="17"/>
              </w:rPr>
              <w:t xml:space="preserve">1,732,462</w:t>
            </w:r>
          </w:p>
        </w:tc>
        <w:tc>
          <w:tcPr/>
          <w:p>
            <w:pPr>
              <w:pStyle w:val="Compact"/>
              <w:jc w:val="right"/>
            </w:pPr>
            <w:r>
              <w:rPr>
                <w:sz w:val="17"/>
              </w:rPr>
              <w:t xml:space="preserve">1,432,330</w:t>
            </w:r>
          </w:p>
        </w:tc>
        <w:tc>
          <w:tcPr/>
          <w:p>
            <w:pPr>
              <w:pStyle w:val="Compact"/>
              <w:jc w:val="right"/>
            </w:pPr>
            <w:r>
              <w:rPr>
                <w:sz w:val="17"/>
              </w:rPr>
              <w:t xml:space="preserve">-300,133</w:t>
            </w:r>
          </w:p>
        </w:tc>
      </w:tr>
      <w:tr>
        <w:tc>
          <w:tcPr/>
          <w:p>
            <w:pPr>
              <w:pStyle w:val="Compact"/>
              <w:jc w:val="left"/>
            </w:pPr>
            <w:r>
              <w:rPr>
                <w:sz w:val="17"/>
              </w:rPr>
              <w:t xml:space="preserve">Margin type</w:t>
            </w:r>
          </w:p>
        </w:tc>
        <w:tc>
          <w:tcPr/>
          <w:p>
            <w:pPr>
              <w:pStyle w:val="Compact"/>
              <w:jc w:val="left"/>
            </w:pPr>
            <w:r>
              <w:rPr>
                <w:sz w:val="17"/>
              </w:rPr>
              <w:t xml:space="preserve">FX Delta</w:t>
            </w:r>
          </w:p>
        </w:tc>
        <w:tc>
          <w:tcPr/>
          <w:p>
            <w:pPr>
              <w:pStyle w:val="Compact"/>
              <w:jc w:val="right"/>
            </w:pPr>
            <w:r>
              <w:rPr>
                <w:sz w:val="17"/>
              </w:rPr>
              <w:t xml:space="preserve">3,213,853</w:t>
            </w:r>
          </w:p>
        </w:tc>
        <w:tc>
          <w:tcPr/>
          <w:p>
            <w:pPr>
              <w:pStyle w:val="Compact"/>
              <w:jc w:val="right"/>
            </w:pPr>
            <w:r>
              <w:rPr>
                <w:sz w:val="17"/>
              </w:rPr>
              <w:t xml:space="preserve">3,161,844</w:t>
            </w:r>
          </w:p>
        </w:tc>
        <w:tc>
          <w:tcPr/>
          <w:p>
            <w:pPr>
              <w:pStyle w:val="Compact"/>
              <w:jc w:val="right"/>
            </w:pPr>
            <w:r>
              <w:rPr>
                <w:sz w:val="17"/>
              </w:rPr>
              <w:t xml:space="preserve">-52,009</w:t>
            </w:r>
          </w:p>
        </w:tc>
      </w:tr>
      <w:tr>
        <w:tc>
          <w:tcPr/>
          <w:p>
            <w:pPr>
              <w:pStyle w:val="Compact"/>
              <w:jc w:val="left"/>
            </w:pPr>
            <w:r>
              <w:rPr>
                <w:sz w:val="17"/>
              </w:rPr>
              <w:t xml:space="preserve">Bucket K</w:t>
            </w:r>
          </w:p>
        </w:tc>
        <w:tc>
          <w:tcPr/>
          <w:p>
            <w:pPr>
              <w:pStyle w:val="Compact"/>
              <w:jc w:val="left"/>
            </w:pPr>
            <w:r>
              <w:rPr>
                <w:sz w:val="17"/>
              </w:rPr>
              <w:t xml:space="preserve">IR Delta EUR</w:t>
            </w:r>
          </w:p>
        </w:tc>
        <w:tc>
          <w:tcPr/>
          <w:p>
            <w:pPr>
              <w:pStyle w:val="Compact"/>
              <w:jc w:val="right"/>
            </w:pPr>
            <w:r>
              <w:rPr>
                <w:sz w:val="17"/>
              </w:rPr>
              <w:t xml:space="preserve">1,503,105</w:t>
            </w:r>
          </w:p>
        </w:tc>
        <w:tc>
          <w:tcPr/>
          <w:p>
            <w:pPr>
              <w:pStyle w:val="Compact"/>
              <w:jc w:val="right"/>
            </w:pPr>
            <w:r>
              <w:rPr>
                <w:sz w:val="17"/>
              </w:rPr>
              <w:t xml:space="preserve">509,866</w:t>
            </w:r>
          </w:p>
        </w:tc>
        <w:tc>
          <w:tcPr/>
          <w:p>
            <w:pPr>
              <w:pStyle w:val="Compact"/>
              <w:jc w:val="right"/>
            </w:pPr>
            <w:r>
              <w:rPr>
                <w:sz w:val="17"/>
              </w:rPr>
              <w:t xml:space="preserve">-993,239</w:t>
            </w:r>
          </w:p>
        </w:tc>
      </w:tr>
      <w:tr>
        <w:tc>
          <w:tcPr/>
          <w:p>
            <w:pPr>
              <w:pStyle w:val="Compact"/>
              <w:jc w:val="left"/>
            </w:pPr>
            <w:r>
              <w:rPr>
                <w:sz w:val="17"/>
              </w:rPr>
              <w:t xml:space="preserve">Bucket K</w:t>
            </w:r>
          </w:p>
        </w:tc>
        <w:tc>
          <w:tcPr/>
          <w:p>
            <w:pPr>
              <w:pStyle w:val="Compact"/>
              <w:jc w:val="left"/>
            </w:pPr>
            <w:r>
              <w:rPr>
                <w:sz w:val="17"/>
              </w:rPr>
              <w:t xml:space="preserve">FX Delta FX</w:t>
            </w:r>
          </w:p>
        </w:tc>
        <w:tc>
          <w:tcPr/>
          <w:p>
            <w:pPr>
              <w:pStyle w:val="Compact"/>
              <w:jc w:val="right"/>
            </w:pPr>
            <w:r>
              <w:rPr>
                <w:sz w:val="17"/>
              </w:rPr>
              <w:t xml:space="preserve">3,213,853</w:t>
            </w:r>
          </w:p>
        </w:tc>
        <w:tc>
          <w:tcPr/>
          <w:p>
            <w:pPr>
              <w:pStyle w:val="Compact"/>
              <w:jc w:val="right"/>
            </w:pPr>
            <w:r>
              <w:rPr>
                <w:sz w:val="17"/>
              </w:rPr>
              <w:t xml:space="preserve">3,161,844</w:t>
            </w:r>
          </w:p>
        </w:tc>
        <w:tc>
          <w:tcPr/>
          <w:p>
            <w:pPr>
              <w:pStyle w:val="Compact"/>
              <w:jc w:val="right"/>
            </w:pPr>
            <w:r>
              <w:rPr>
                <w:sz w:val="17"/>
              </w:rPr>
              <w:t xml:space="preserve">-52,009</w:t>
            </w:r>
          </w:p>
        </w:tc>
      </w:tr>
      <w:tr>
        <w:tc>
          <w:tcPr/>
          <w:p>
            <w:pPr>
              <w:pStyle w:val="Compact"/>
              <w:jc w:val="left"/>
            </w:pPr>
            <w:r>
              <w:rPr>
                <w:sz w:val="17"/>
              </w:rPr>
              <w:t xml:space="preserve">Bucket K</w:t>
            </w:r>
          </w:p>
        </w:tc>
        <w:tc>
          <w:tcPr/>
          <w:p>
            <w:pPr>
              <w:pStyle w:val="Compact"/>
              <w:jc w:val="left"/>
            </w:pPr>
            <w:r>
              <w:rPr>
                <w:sz w:val="17"/>
              </w:rPr>
              <w:t xml:space="preserve">FX Curvature FX</w:t>
            </w:r>
          </w:p>
        </w:tc>
        <w:tc>
          <w:tcPr/>
          <w:p>
            <w:pPr>
              <w:pStyle w:val="Compact"/>
              <w:jc w:val="right"/>
            </w:pPr>
            <w:r>
              <w:rPr>
                <w:sz w:val="17"/>
              </w:rPr>
              <w:t xml:space="preserve">77,562</w:t>
            </w:r>
          </w:p>
        </w:tc>
        <w:tc>
          <w:tcPr/>
          <w:p>
            <w:pPr>
              <w:pStyle w:val="Compact"/>
              <w:jc w:val="right"/>
            </w:pPr>
            <w:r>
              <w:rPr>
                <w:sz w:val="17"/>
              </w:rPr>
              <w:t xml:space="preserve">77,562</w:t>
            </w:r>
          </w:p>
        </w:tc>
        <w:tc>
          <w:tcPr/>
          <w:p>
            <w:pPr>
              <w:pStyle w:val="Compact"/>
              <w:jc w:val="right"/>
            </w:pPr>
            <w:r>
              <w:rPr>
                <w:sz w:val="17"/>
              </w:rPr>
              <w:t xml:space="preserve">0</w:t>
            </w:r>
          </w:p>
        </w:tc>
      </w:tr>
    </w:tbl>
    <w:p/>
    <w:p>
      <w:pPr>
        <w:pStyle w:val="TableCaption"/>
      </w:pPr>
      <w:r>
        <w:t xml:space="preserve">Scenario D1, largest trade-level differences in Euler contribution. The missing trade IRS_EUR_10Y has contribution zero on B's side.</w:t>
      </w:r>
    </w:p>
    <w:tbl>
      <w:tblPr>
        <w:tblStyle w:val="Table"/>
        <w:tblW w:type="pct" w:w="5000"/>
        <w:tblLayout w:type="fixed"/>
        <w:tblLook w:firstRow="1" w:lastRow="0" w:firstColumn="0" w:lastColumn="0" w:noHBand="0" w:noVBand="0" w:val="0020"/>
        <w:tblCaption w:val="Scenario D1, largest trade-level differences in Euler contribution. The missing trade IRS_EUR_10Y has contribution zero on B's sid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Trade</w:t>
            </w:r>
          </w:p>
        </w:tc>
        <w:tc>
          <w:tcPr/>
          <w:p>
            <w:pPr>
              <w:pStyle w:val="Compact"/>
              <w:jc w:val="right"/>
            </w:pPr>
            <w:r>
              <w:rPr>
                <w:sz w:val="17"/>
              </w:rPr>
              <w:t xml:space="preserve">Euler contribution A (USD)</w:t>
            </w:r>
          </w:p>
        </w:tc>
        <w:tc>
          <w:tcPr/>
          <w:p>
            <w:pPr>
              <w:pStyle w:val="Compact"/>
              <w:jc w:val="right"/>
            </w:pPr>
            <w:r>
              <w:rPr>
                <w:sz w:val="17"/>
              </w:rPr>
              <w:t xml:space="preserve">Euler contribution B (USD)</w:t>
            </w:r>
          </w:p>
        </w:tc>
        <w:tc>
          <w:tcPr/>
          <w:p>
            <w:pPr>
              <w:pStyle w:val="Compact"/>
              <w:jc w:val="right"/>
            </w:pPr>
            <w:r>
              <w:rPr>
                <w:sz w:val="17"/>
              </w:rPr>
              <w:t xml:space="preserve">Gap (USD)</w:t>
            </w:r>
          </w:p>
        </w:tc>
      </w:tr>
      <w:tr>
        <w:tc>
          <w:tcPr/>
          <w:p>
            <w:pPr>
              <w:pStyle w:val="Compact"/>
              <w:jc w:val="left"/>
            </w:pPr>
            <w:r>
              <w:rPr>
                <w:sz w:val="17"/>
              </w:rPr>
              <w:t xml:space="preserve">SWPT_EUR_4Yx10Y</w:t>
            </w:r>
          </w:p>
        </w:tc>
        <w:tc>
          <w:tcPr/>
          <w:p>
            <w:pPr>
              <w:pStyle w:val="Compact"/>
              <w:jc w:val="right"/>
            </w:pPr>
            <w:r>
              <w:rPr>
                <w:sz w:val="17"/>
              </w:rPr>
              <w:t xml:space="preserve">951,749</w:t>
            </w:r>
          </w:p>
        </w:tc>
        <w:tc>
          <w:tcPr/>
          <w:p>
            <w:pPr>
              <w:pStyle w:val="Compact"/>
              <w:jc w:val="right"/>
            </w:pPr>
            <w:r>
              <w:rPr>
                <w:sz w:val="17"/>
              </w:rPr>
              <w:t xml:space="preserve">460,940</w:t>
            </w:r>
          </w:p>
        </w:tc>
        <w:tc>
          <w:tcPr/>
          <w:p>
            <w:pPr>
              <w:pStyle w:val="Compact"/>
              <w:jc w:val="right"/>
            </w:pPr>
            <w:r>
              <w:rPr>
                <w:sz w:val="17"/>
              </w:rPr>
              <w:t xml:space="preserve">-490,809</w:t>
            </w:r>
          </w:p>
        </w:tc>
      </w:tr>
      <w:tr>
        <w:tc>
          <w:tcPr/>
          <w:p>
            <w:pPr>
              <w:pStyle w:val="Compact"/>
              <w:jc w:val="left"/>
            </w:pPr>
            <w:r>
              <w:rPr>
                <w:sz w:val="17"/>
              </w:rPr>
              <w:t xml:space="preserve">IRS_EUR_10Y</w:t>
            </w:r>
          </w:p>
        </w:tc>
        <w:tc>
          <w:tcPr/>
          <w:p>
            <w:pPr>
              <w:pStyle w:val="Compact"/>
              <w:jc w:val="right"/>
            </w:pPr>
            <w:r>
              <w:rPr>
                <w:sz w:val="17"/>
              </w:rPr>
              <w:t xml:space="preserve">484,966</w:t>
            </w:r>
          </w:p>
        </w:tc>
        <w:tc>
          <w:tcPr/>
          <w:p>
            <w:pPr>
              <w:pStyle w:val="Compact"/>
              <w:jc w:val="right"/>
            </w:pPr>
            <w:r>
              <w:rPr>
                <w:sz w:val="17"/>
              </w:rPr>
              <w:t xml:space="preserve">0</w:t>
            </w:r>
          </w:p>
        </w:tc>
        <w:tc>
          <w:tcPr/>
          <w:p>
            <w:pPr>
              <w:pStyle w:val="Compact"/>
              <w:jc w:val="right"/>
            </w:pPr>
            <w:r>
              <w:rPr>
                <w:sz w:val="17"/>
              </w:rPr>
              <w:t xml:space="preserve">-484,966</w:t>
            </w:r>
          </w:p>
        </w:tc>
      </w:tr>
      <w:tr>
        <w:tc>
          <w:tcPr/>
          <w:p>
            <w:pPr>
              <w:pStyle w:val="Compact"/>
              <w:jc w:val="left"/>
            </w:pPr>
            <w:r>
              <w:rPr>
                <w:sz w:val="17"/>
              </w:rPr>
              <w:t xml:space="preserve">IRS_EUR_5Y</w:t>
            </w:r>
          </w:p>
        </w:tc>
        <w:tc>
          <w:tcPr/>
          <w:p>
            <w:pPr>
              <w:pStyle w:val="Compact"/>
              <w:jc w:val="right"/>
            </w:pPr>
            <w:r>
              <w:rPr>
                <w:sz w:val="17"/>
              </w:rPr>
              <w:t xml:space="preserve">-299,663</w:t>
            </w:r>
          </w:p>
        </w:tc>
        <w:tc>
          <w:tcPr/>
          <w:p>
            <w:pPr>
              <w:pStyle w:val="Compact"/>
              <w:jc w:val="right"/>
            </w:pPr>
            <w:r>
              <w:rPr>
                <w:sz w:val="17"/>
              </w:rPr>
              <w:t xml:space="preserve">130,354</w:t>
            </w:r>
          </w:p>
        </w:tc>
        <w:tc>
          <w:tcPr/>
          <w:p>
            <w:pPr>
              <w:pStyle w:val="Compact"/>
              <w:jc w:val="right"/>
            </w:pPr>
            <w:r>
              <w:rPr>
                <w:sz w:val="17"/>
              </w:rPr>
              <w:t xml:space="preserve">430,018</w:t>
            </w:r>
          </w:p>
        </w:tc>
      </w:tr>
      <w:tr>
        <w:tc>
          <w:tcPr/>
          <w:p>
            <w:pPr>
              <w:pStyle w:val="Compact"/>
              <w:jc w:val="left"/>
            </w:pPr>
            <w:r>
              <w:rPr>
                <w:sz w:val="17"/>
              </w:rPr>
              <w:t xml:space="preserve">IRS_GBP_7Y</w:t>
            </w:r>
          </w:p>
        </w:tc>
        <w:tc>
          <w:tcPr/>
          <w:p>
            <w:pPr>
              <w:pStyle w:val="Compact"/>
              <w:jc w:val="right"/>
            </w:pPr>
            <w:r>
              <w:rPr>
                <w:sz w:val="17"/>
              </w:rPr>
              <w:t xml:space="preserve">254,431</w:t>
            </w:r>
          </w:p>
        </w:tc>
        <w:tc>
          <w:tcPr/>
          <w:p>
            <w:pPr>
              <w:pStyle w:val="Compact"/>
              <w:jc w:val="right"/>
            </w:pPr>
            <w:r>
              <w:rPr>
                <w:sz w:val="17"/>
              </w:rPr>
              <w:t xml:space="preserve">487,039</w:t>
            </w:r>
          </w:p>
        </w:tc>
        <w:tc>
          <w:tcPr/>
          <w:p>
            <w:pPr>
              <w:pStyle w:val="Compact"/>
              <w:jc w:val="right"/>
            </w:pPr>
            <w:r>
              <w:rPr>
                <w:sz w:val="17"/>
              </w:rPr>
              <w:t xml:space="preserve">232,609</w:t>
            </w:r>
          </w:p>
        </w:tc>
      </w:tr>
    </w:tbl>
    <w:p>
      <w:pPr>
        <w:pStyle w:val="CaptionedFigure"/>
      </w:pPr>
      <w:r>
        <w:drawing>
          <wp:inline>
            <wp:extent cx="5334000" cy="2400300"/>
            <wp:effectExtent b="0" l="0" r="0" t="0"/>
            <wp:docPr descr="Gap decomposition by risk class and margin type for D1 and D8." title="" id="94" name="Picture"/>
            <a:graphic>
              <a:graphicData uri="http://schemas.openxmlformats.org/drawingml/2006/picture">
                <pic:pic>
                  <pic:nvPicPr>
                    <pic:cNvPr descr="../python/outputs/charts/dispute_gap_decomposition.png" id="95" name="Picture"/>
                    <pic:cNvPicPr>
                      <a:picLocks noChangeArrowheads="1" noChangeAspect="1"/>
                    </pic:cNvPicPr>
                  </pic:nvPicPr>
                  <pic:blipFill>
                    <a:blip r:embed="rId93"/>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Gap decomposition by risk class and margin type for D1 and D8.</w:t>
      </w:r>
    </w:p>
    <w:bookmarkEnd w:id="96"/>
    <w:bookmarkStart w:id="100" w:name="ranking-the-causes"/>
    <w:p>
      <w:pPr>
        <w:pStyle w:val="Heading2"/>
      </w:pPr>
      <w:r>
        <w:rPr>
          <w:rStyle w:val="SectionNumber"/>
        </w:rPr>
        <w:t xml:space="preserve">11.4</w:t>
      </w:r>
      <w:r>
        <w:tab/>
      </w:r>
      <w:r>
        <w:t xml:space="preserve">Ranking the causes</w:t>
      </w:r>
    </w:p>
    <w:p>
      <w:pPr>
        <w:pStyle w:val="FirstParagraph"/>
      </w:pPr>
      <w:r>
        <w:t xml:space="preserve">The ranking step turns the reconciliation into a hypothesis test.</w:t>
      </w:r>
      <w:r>
        <w:t xml:space="preserve"> </w:t>
      </w:r>
      <w:r>
        <w:rPr>
          <w:rStyle w:val="VerbatimChar"/>
        </w:rPr>
        <w:t xml:space="preserve">rank_causes</w:t>
      </w:r>
      <w:r>
        <w:t xml:space="preserve"> </w:t>
      </w:r>
      <w:r>
        <w:t xml:space="preserve">has eight hypotheses (the causes in D1 to D8). For each one it applies the counterfactual fix to B (for example: add the missing trades, restore the notionals, rebuild the delta rows from par quotes, re-weight FX vega with the SIMM vol, convert with today's FX, use linear rebucketing, rebuild from today's curves, switch parameter version), recomputes B's IM, and ranks hypotheses by the residual gap left. Ties within the tolerance are broken in favour of the fix that touches fewer CRIF rows (the narrower explanation), and a signature score reports the share of reconciliation breaks that the fix removes. This implements the principle that the right explanation is the one that, when undone, makes the numbers agree.</w:t>
      </w:r>
    </w:p>
    <w:p>
      <w:pPr>
        <w:pStyle w:val="TableCaption"/>
      </w:pPr>
      <w:r>
        <w:t xml:space="preserve">Dispute scenarios. Rank(s) is the rank of the seeded cause (both causes for D9). Accepted means rank 1 for D1 to D8 and both causes within the top three for D9.</w:t>
      </w:r>
    </w:p>
    <w:tbl>
      <w:tblPr>
        <w:tblStyle w:val="Table"/>
        <w:tblW w:type="pct" w:w="5000"/>
        <w:tblLayout w:type="fixed"/>
        <w:tblLook w:firstRow="1" w:lastRow="0" w:firstColumn="0" w:lastColumn="0" w:noHBand="0" w:noVBand="0" w:val="0020"/>
        <w:tblCaption w:val="Dispute scenarios. Rank(s) is the rank of the seeded cause (both causes for D9). Accepted means rank 1 for D1 to D8 and both causes within the top three for D9."/>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79"/>
        <w:gridCol w:w="879"/>
        <w:gridCol w:w="879"/>
        <w:gridCol w:w="879"/>
        <w:gridCol w:w="879"/>
        <w:gridCol w:w="879"/>
        <w:gridCol w:w="879"/>
        <w:gridCol w:w="879"/>
        <w:gridCol w:w="879"/>
      </w:tblGrid>
      <w:tr>
        <w:trPr>
          <w:tblHeader w:val="on"/>
        </w:trPr>
        <w:tc>
          <w:tcPr/>
          <w:p>
            <w:pPr>
              <w:pStyle w:val="Compact"/>
              <w:jc w:val="left"/>
            </w:pPr>
            <w:r>
              <w:rPr>
                <w:sz w:val="17"/>
              </w:rPr>
              <w:t xml:space="preserve">Scenario</w:t>
            </w:r>
          </w:p>
        </w:tc>
        <w:tc>
          <w:tcPr/>
          <w:p>
            <w:pPr>
              <w:pStyle w:val="Compact"/>
              <w:jc w:val="left"/>
            </w:pPr>
            <w:r>
              <w:rPr>
                <w:sz w:val="17"/>
              </w:rPr>
              <w:t xml:space="preserve">Seeded cause</w:t>
            </w:r>
          </w:p>
        </w:tc>
        <w:tc>
          <w:tcPr/>
          <w:p>
            <w:pPr>
              <w:pStyle w:val="Compact"/>
              <w:jc w:val="left"/>
            </w:pPr>
            <w:r>
              <w:rPr>
                <w:sz w:val="17"/>
              </w:rPr>
              <w:t xml:space="preserve">Rank(s)</w:t>
            </w:r>
          </w:p>
        </w:tc>
        <w:tc>
          <w:tcPr/>
          <w:p>
            <w:pPr>
              <w:pStyle w:val="Compact"/>
              <w:jc w:val="right"/>
            </w:pPr>
            <w:r>
              <w:rPr>
                <w:sz w:val="17"/>
              </w:rPr>
              <w:t xml:space="preserve">IM A (USD)</w:t>
            </w:r>
          </w:p>
        </w:tc>
        <w:tc>
          <w:tcPr/>
          <w:p>
            <w:pPr>
              <w:pStyle w:val="Compact"/>
              <w:jc w:val="right"/>
            </w:pPr>
            <w:r>
              <w:rPr>
                <w:sz w:val="17"/>
              </w:rPr>
              <w:t xml:space="preserve">IM B (USD)</w:t>
            </w:r>
          </w:p>
        </w:tc>
        <w:tc>
          <w:tcPr/>
          <w:p>
            <w:pPr>
              <w:pStyle w:val="Compact"/>
              <w:jc w:val="right"/>
            </w:pPr>
            <w:r>
              <w:rPr>
                <w:sz w:val="17"/>
              </w:rPr>
              <w:t xml:space="preserve">Gap B minus A (USD)</w:t>
            </w:r>
          </w:p>
        </w:tc>
        <w:tc>
          <w:tcPr/>
          <w:p>
            <w:pPr>
              <w:pStyle w:val="Compact"/>
              <w:jc w:val="left"/>
            </w:pPr>
            <w:r>
              <w:rPr>
                <w:sz w:val="17"/>
              </w:rPr>
              <w:t xml:space="preserve">Top-ranked cause</w:t>
            </w:r>
          </w:p>
        </w:tc>
        <w:tc>
          <w:tcPr/>
          <w:p>
            <w:pPr>
              <w:pStyle w:val="Compact"/>
              <w:jc w:val="right"/>
            </w:pPr>
            <w:r>
              <w:rPr>
                <w:sz w:val="17"/>
              </w:rPr>
              <w:t xml:space="preserve">Residual after top fix (USD)</w:t>
            </w:r>
          </w:p>
        </w:tc>
        <w:tc>
          <w:tcPr/>
          <w:p>
            <w:pPr>
              <w:pStyle w:val="Compact"/>
              <w:jc w:val="left"/>
            </w:pPr>
            <w:r>
              <w:rPr>
                <w:sz w:val="17"/>
              </w:rPr>
              <w:t xml:space="preserve">Accepted</w:t>
            </w:r>
          </w:p>
        </w:tc>
      </w:tr>
      <w:tr>
        <w:tc>
          <w:tcPr/>
          <w:p>
            <w:pPr>
              <w:pStyle w:val="Compact"/>
              <w:jc w:val="left"/>
            </w:pPr>
            <w:r>
              <w:rPr>
                <w:sz w:val="17"/>
              </w:rPr>
              <w:t xml:space="preserve">D1</w:t>
            </w:r>
          </w:p>
        </w:tc>
        <w:tc>
          <w:tcPr/>
          <w:p>
            <w:pPr>
              <w:pStyle w:val="Compact"/>
              <w:jc w:val="left"/>
            </w:pPr>
            <w:r>
              <w:rPr>
                <w:sz w:val="17"/>
              </w:rPr>
              <w:t xml:space="preserve">missing trade</w:t>
            </w:r>
          </w:p>
        </w:tc>
        <w:tc>
          <w:tcPr/>
          <w:p>
            <w:pPr>
              <w:pStyle w:val="Compact"/>
              <w:jc w:val="left"/>
            </w:pPr>
            <w:r>
              <w:rPr>
                <w:sz w:val="17"/>
              </w:rPr>
              <w:t xml:space="preserve">1</w:t>
            </w:r>
          </w:p>
        </w:tc>
        <w:tc>
          <w:tcPr/>
          <w:p>
            <w:pPr>
              <w:pStyle w:val="Compact"/>
              <w:jc w:val="right"/>
            </w:pPr>
            <w:r>
              <w:rPr>
                <w:sz w:val="17"/>
              </w:rPr>
              <w:t xml:space="preserve">5,264,394</w:t>
            </w:r>
          </w:p>
        </w:tc>
        <w:tc>
          <w:tcPr/>
          <w:p>
            <w:pPr>
              <w:pStyle w:val="Compact"/>
              <w:jc w:val="right"/>
            </w:pPr>
            <w:r>
              <w:rPr>
                <w:sz w:val="17"/>
              </w:rPr>
              <w:t xml:space="preserve">5,040,220</w:t>
            </w:r>
          </w:p>
        </w:tc>
        <w:tc>
          <w:tcPr/>
          <w:p>
            <w:pPr>
              <w:pStyle w:val="Compact"/>
              <w:jc w:val="right"/>
            </w:pPr>
            <w:r>
              <w:rPr>
                <w:sz w:val="17"/>
              </w:rPr>
              <w:t xml:space="preserve">-224,174</w:t>
            </w:r>
          </w:p>
        </w:tc>
        <w:tc>
          <w:tcPr/>
          <w:p>
            <w:pPr>
              <w:pStyle w:val="Compact"/>
              <w:jc w:val="left"/>
            </w:pPr>
            <w:r>
              <w:rPr>
                <w:sz w:val="17"/>
              </w:rPr>
              <w:t xml:space="preserve">missing trade</w:t>
            </w:r>
          </w:p>
        </w:tc>
        <w:tc>
          <w:tcPr/>
          <w:p>
            <w:pPr>
              <w:pStyle w:val="Compact"/>
              <w:jc w:val="right"/>
            </w:pPr>
            <w:r>
              <w:rPr>
                <w:sz w:val="17"/>
              </w:rPr>
              <w:t xml:space="preserve">0</w:t>
            </w:r>
          </w:p>
        </w:tc>
        <w:tc>
          <w:tcPr/>
          <w:p>
            <w:pPr>
              <w:pStyle w:val="Compact"/>
              <w:jc w:val="left"/>
            </w:pPr>
            <w:r>
              <w:rPr>
                <w:sz w:val="17"/>
              </w:rPr>
              <w:t xml:space="preserve">yes</w:t>
            </w:r>
          </w:p>
        </w:tc>
      </w:tr>
      <w:tr>
        <w:tc>
          <w:tcPr/>
          <w:p>
            <w:pPr>
              <w:pStyle w:val="Compact"/>
              <w:jc w:val="left"/>
            </w:pPr>
            <w:r>
              <w:rPr>
                <w:sz w:val="17"/>
              </w:rPr>
              <w:t xml:space="preserve">D2</w:t>
            </w:r>
          </w:p>
        </w:tc>
        <w:tc>
          <w:tcPr/>
          <w:p>
            <w:pPr>
              <w:pStyle w:val="Compact"/>
              <w:jc w:val="left"/>
            </w:pPr>
            <w:r>
              <w:rPr>
                <w:sz w:val="17"/>
              </w:rPr>
              <w:t xml:space="preserve">notional amendment</w:t>
            </w:r>
          </w:p>
        </w:tc>
        <w:tc>
          <w:tcPr/>
          <w:p>
            <w:pPr>
              <w:pStyle w:val="Compact"/>
              <w:jc w:val="left"/>
            </w:pPr>
            <w:r>
              <w:rPr>
                <w:sz w:val="17"/>
              </w:rPr>
              <w:t xml:space="preserve">1</w:t>
            </w:r>
          </w:p>
        </w:tc>
        <w:tc>
          <w:tcPr/>
          <w:p>
            <w:pPr>
              <w:pStyle w:val="Compact"/>
              <w:jc w:val="right"/>
            </w:pPr>
            <w:r>
              <w:rPr>
                <w:sz w:val="17"/>
              </w:rPr>
              <w:t xml:space="preserve">5,264,394</w:t>
            </w:r>
          </w:p>
        </w:tc>
        <w:tc>
          <w:tcPr/>
          <w:p>
            <w:pPr>
              <w:pStyle w:val="Compact"/>
              <w:jc w:val="right"/>
            </w:pPr>
            <w:r>
              <w:rPr>
                <w:sz w:val="17"/>
              </w:rPr>
              <w:t xml:space="preserve">5,269,689</w:t>
            </w:r>
          </w:p>
        </w:tc>
        <w:tc>
          <w:tcPr/>
          <w:p>
            <w:pPr>
              <w:pStyle w:val="Compact"/>
              <w:jc w:val="right"/>
            </w:pPr>
            <w:r>
              <w:rPr>
                <w:sz w:val="17"/>
              </w:rPr>
              <w:t xml:space="preserve">5,295</w:t>
            </w:r>
          </w:p>
        </w:tc>
        <w:tc>
          <w:tcPr/>
          <w:p>
            <w:pPr>
              <w:pStyle w:val="Compact"/>
              <w:jc w:val="left"/>
            </w:pPr>
            <w:r>
              <w:rPr>
                <w:sz w:val="17"/>
              </w:rPr>
              <w:t xml:space="preserve">notional amendment</w:t>
            </w:r>
          </w:p>
        </w:tc>
        <w:tc>
          <w:tcPr/>
          <w:p>
            <w:pPr>
              <w:pStyle w:val="Compact"/>
              <w:jc w:val="right"/>
            </w:pPr>
            <w:r>
              <w:rPr>
                <w:sz w:val="17"/>
              </w:rPr>
              <w:t xml:space="preserve">0</w:t>
            </w:r>
          </w:p>
        </w:tc>
        <w:tc>
          <w:tcPr/>
          <w:p>
            <w:pPr>
              <w:pStyle w:val="Compact"/>
              <w:jc w:val="left"/>
            </w:pPr>
            <w:r>
              <w:rPr>
                <w:sz w:val="17"/>
              </w:rPr>
              <w:t xml:space="preserve">yes</w:t>
            </w:r>
          </w:p>
        </w:tc>
      </w:tr>
      <w:tr>
        <w:tc>
          <w:tcPr/>
          <w:p>
            <w:pPr>
              <w:pStyle w:val="Compact"/>
              <w:jc w:val="left"/>
            </w:pPr>
            <w:r>
              <w:rPr>
                <w:sz w:val="17"/>
              </w:rPr>
              <w:t xml:space="preserve">D3</w:t>
            </w:r>
          </w:p>
        </w:tc>
        <w:tc>
          <w:tcPr/>
          <w:p>
            <w:pPr>
              <w:pStyle w:val="Compact"/>
              <w:jc w:val="left"/>
            </w:pPr>
            <w:r>
              <w:rPr>
                <w:sz w:val="17"/>
              </w:rPr>
              <w:t xml:space="preserve">zero-rate instead of par delta</w:t>
            </w:r>
          </w:p>
        </w:tc>
        <w:tc>
          <w:tcPr/>
          <w:p>
            <w:pPr>
              <w:pStyle w:val="Compact"/>
              <w:jc w:val="left"/>
            </w:pPr>
            <w:r>
              <w:rPr>
                <w:sz w:val="17"/>
              </w:rPr>
              <w:t xml:space="preserve">1</w:t>
            </w:r>
          </w:p>
        </w:tc>
        <w:tc>
          <w:tcPr/>
          <w:p>
            <w:pPr>
              <w:pStyle w:val="Compact"/>
              <w:jc w:val="right"/>
            </w:pPr>
            <w:r>
              <w:rPr>
                <w:sz w:val="17"/>
              </w:rPr>
              <w:t xml:space="preserve">5,264,394</w:t>
            </w:r>
          </w:p>
        </w:tc>
        <w:tc>
          <w:tcPr/>
          <w:p>
            <w:pPr>
              <w:pStyle w:val="Compact"/>
              <w:jc w:val="right"/>
            </w:pPr>
            <w:r>
              <w:rPr>
                <w:sz w:val="17"/>
              </w:rPr>
              <w:t xml:space="preserve">5,275,981</w:t>
            </w:r>
          </w:p>
        </w:tc>
        <w:tc>
          <w:tcPr/>
          <w:p>
            <w:pPr>
              <w:pStyle w:val="Compact"/>
              <w:jc w:val="right"/>
            </w:pPr>
            <w:r>
              <w:rPr>
                <w:sz w:val="17"/>
              </w:rPr>
              <w:t xml:space="preserve">11,587</w:t>
            </w:r>
          </w:p>
        </w:tc>
        <w:tc>
          <w:tcPr/>
          <w:p>
            <w:pPr>
              <w:pStyle w:val="Compact"/>
              <w:jc w:val="left"/>
            </w:pPr>
            <w:r>
              <w:rPr>
                <w:sz w:val="17"/>
              </w:rPr>
              <w:t xml:space="preserve">zero-rate instead of par delta</w:t>
            </w:r>
          </w:p>
        </w:tc>
        <w:tc>
          <w:tcPr/>
          <w:p>
            <w:pPr>
              <w:pStyle w:val="Compact"/>
              <w:jc w:val="right"/>
            </w:pPr>
            <w:r>
              <w:rPr>
                <w:sz w:val="17"/>
              </w:rPr>
              <w:t xml:space="preserve">0</w:t>
            </w:r>
          </w:p>
        </w:tc>
        <w:tc>
          <w:tcPr/>
          <w:p>
            <w:pPr>
              <w:pStyle w:val="Compact"/>
              <w:jc w:val="left"/>
            </w:pPr>
            <w:r>
              <w:rPr>
                <w:sz w:val="17"/>
              </w:rPr>
              <w:t xml:space="preserve">yes</w:t>
            </w:r>
          </w:p>
        </w:tc>
      </w:tr>
      <w:tr>
        <w:tc>
          <w:tcPr/>
          <w:p>
            <w:pPr>
              <w:pStyle w:val="Compact"/>
              <w:jc w:val="left"/>
            </w:pPr>
            <w:r>
              <w:rPr>
                <w:sz w:val="17"/>
              </w:rPr>
              <w:t xml:space="preserve">D4</w:t>
            </w:r>
          </w:p>
        </w:tc>
        <w:tc>
          <w:tcPr/>
          <w:p>
            <w:pPr>
              <w:pStyle w:val="Compact"/>
              <w:jc w:val="left"/>
            </w:pPr>
            <w:r>
              <w:rPr>
                <w:sz w:val="17"/>
              </w:rPr>
              <w:t xml:space="preserve">FX vega at implied vol</w:t>
            </w:r>
          </w:p>
        </w:tc>
        <w:tc>
          <w:tcPr/>
          <w:p>
            <w:pPr>
              <w:pStyle w:val="Compact"/>
              <w:jc w:val="left"/>
            </w:pPr>
            <w:r>
              <w:rPr>
                <w:sz w:val="17"/>
              </w:rPr>
              <w:t xml:space="preserve">1</w:t>
            </w:r>
          </w:p>
        </w:tc>
        <w:tc>
          <w:tcPr/>
          <w:p>
            <w:pPr>
              <w:pStyle w:val="Compact"/>
              <w:jc w:val="right"/>
            </w:pPr>
            <w:r>
              <w:rPr>
                <w:sz w:val="17"/>
              </w:rPr>
              <w:t xml:space="preserve">5,264,394</w:t>
            </w:r>
          </w:p>
        </w:tc>
        <w:tc>
          <w:tcPr/>
          <w:p>
            <w:pPr>
              <w:pStyle w:val="Compact"/>
              <w:jc w:val="right"/>
            </w:pPr>
            <w:r>
              <w:rPr>
                <w:sz w:val="17"/>
              </w:rPr>
              <w:t xml:space="preserve">5,109,601</w:t>
            </w:r>
          </w:p>
        </w:tc>
        <w:tc>
          <w:tcPr/>
          <w:p>
            <w:pPr>
              <w:pStyle w:val="Compact"/>
              <w:jc w:val="right"/>
            </w:pPr>
            <w:r>
              <w:rPr>
                <w:sz w:val="17"/>
              </w:rPr>
              <w:t xml:space="preserve">-154,793</w:t>
            </w:r>
          </w:p>
        </w:tc>
        <w:tc>
          <w:tcPr/>
          <w:p>
            <w:pPr>
              <w:pStyle w:val="Compact"/>
              <w:jc w:val="left"/>
            </w:pPr>
            <w:r>
              <w:rPr>
                <w:sz w:val="17"/>
              </w:rPr>
              <w:t xml:space="preserve">FX vega at implied vol</w:t>
            </w:r>
          </w:p>
        </w:tc>
        <w:tc>
          <w:tcPr/>
          <w:p>
            <w:pPr>
              <w:pStyle w:val="Compact"/>
              <w:jc w:val="right"/>
            </w:pPr>
            <w:r>
              <w:rPr>
                <w:sz w:val="17"/>
              </w:rPr>
              <w:t xml:space="preserve">0</w:t>
            </w:r>
          </w:p>
        </w:tc>
        <w:tc>
          <w:tcPr/>
          <w:p>
            <w:pPr>
              <w:pStyle w:val="Compact"/>
              <w:jc w:val="left"/>
            </w:pPr>
            <w:r>
              <w:rPr>
                <w:sz w:val="17"/>
              </w:rPr>
              <w:t xml:space="preserve">yes</w:t>
            </w:r>
          </w:p>
        </w:tc>
      </w:tr>
      <w:tr>
        <w:tc>
          <w:tcPr/>
          <w:p>
            <w:pPr>
              <w:pStyle w:val="Compact"/>
              <w:jc w:val="left"/>
            </w:pPr>
            <w:r>
              <w:rPr>
                <w:sz w:val="17"/>
              </w:rPr>
              <w:t xml:space="preserve">D5</w:t>
            </w:r>
          </w:p>
        </w:tc>
        <w:tc>
          <w:tcPr/>
          <w:p>
            <w:pPr>
              <w:pStyle w:val="Compact"/>
              <w:jc w:val="left"/>
            </w:pPr>
            <w:r>
              <w:rPr>
                <w:sz w:val="17"/>
              </w:rPr>
              <w:t xml:space="preserve">stale FX rate</w:t>
            </w:r>
          </w:p>
        </w:tc>
        <w:tc>
          <w:tcPr/>
          <w:p>
            <w:pPr>
              <w:pStyle w:val="Compact"/>
              <w:jc w:val="left"/>
            </w:pPr>
            <w:r>
              <w:rPr>
                <w:sz w:val="17"/>
              </w:rPr>
              <w:t xml:space="preserve">1</w:t>
            </w:r>
          </w:p>
        </w:tc>
        <w:tc>
          <w:tcPr/>
          <w:p>
            <w:pPr>
              <w:pStyle w:val="Compact"/>
              <w:jc w:val="right"/>
            </w:pPr>
            <w:r>
              <w:rPr>
                <w:sz w:val="17"/>
              </w:rPr>
              <w:t xml:space="preserve">5,264,394</w:t>
            </w:r>
          </w:p>
        </w:tc>
        <w:tc>
          <w:tcPr/>
          <w:p>
            <w:pPr>
              <w:pStyle w:val="Compact"/>
              <w:jc w:val="right"/>
            </w:pPr>
            <w:r>
              <w:rPr>
                <w:sz w:val="17"/>
              </w:rPr>
              <w:t xml:space="preserve">5,249,408</w:t>
            </w:r>
          </w:p>
        </w:tc>
        <w:tc>
          <w:tcPr/>
          <w:p>
            <w:pPr>
              <w:pStyle w:val="Compact"/>
              <w:jc w:val="right"/>
            </w:pPr>
            <w:r>
              <w:rPr>
                <w:sz w:val="17"/>
              </w:rPr>
              <w:t xml:space="preserve">-14,986</w:t>
            </w:r>
          </w:p>
        </w:tc>
        <w:tc>
          <w:tcPr/>
          <w:p>
            <w:pPr>
              <w:pStyle w:val="Compact"/>
              <w:jc w:val="left"/>
            </w:pPr>
            <w:r>
              <w:rPr>
                <w:sz w:val="17"/>
              </w:rPr>
              <w:t xml:space="preserve">stale FX rate</w:t>
            </w:r>
          </w:p>
        </w:tc>
        <w:tc>
          <w:tcPr/>
          <w:p>
            <w:pPr>
              <w:pStyle w:val="Compact"/>
              <w:jc w:val="right"/>
            </w:pPr>
            <w:r>
              <w:rPr>
                <w:sz w:val="17"/>
              </w:rPr>
              <w:t xml:space="preserve">0</w:t>
            </w:r>
          </w:p>
        </w:tc>
        <w:tc>
          <w:tcPr/>
          <w:p>
            <w:pPr>
              <w:pStyle w:val="Compact"/>
              <w:jc w:val="left"/>
            </w:pPr>
            <w:r>
              <w:rPr>
                <w:sz w:val="17"/>
              </w:rPr>
              <w:t xml:space="preserve">yes</w:t>
            </w:r>
          </w:p>
        </w:tc>
      </w:tr>
      <w:tr>
        <w:tc>
          <w:tcPr/>
          <w:p>
            <w:pPr>
              <w:pStyle w:val="Compact"/>
              <w:jc w:val="left"/>
            </w:pPr>
            <w:r>
              <w:rPr>
                <w:sz w:val="17"/>
              </w:rPr>
              <w:t xml:space="preserve">D6</w:t>
            </w:r>
          </w:p>
        </w:tc>
        <w:tc>
          <w:tcPr/>
          <w:p>
            <w:pPr>
              <w:pStyle w:val="Compact"/>
              <w:jc w:val="left"/>
            </w:pPr>
            <w:r>
              <w:rPr>
                <w:sz w:val="17"/>
              </w:rPr>
              <w:t xml:space="preserve">no linear rebucketing</w:t>
            </w:r>
          </w:p>
        </w:tc>
        <w:tc>
          <w:tcPr/>
          <w:p>
            <w:pPr>
              <w:pStyle w:val="Compact"/>
              <w:jc w:val="left"/>
            </w:pPr>
            <w:r>
              <w:rPr>
                <w:sz w:val="17"/>
              </w:rPr>
              <w:t xml:space="preserve">1</w:t>
            </w:r>
          </w:p>
        </w:tc>
        <w:tc>
          <w:tcPr/>
          <w:p>
            <w:pPr>
              <w:pStyle w:val="Compact"/>
              <w:jc w:val="right"/>
            </w:pPr>
            <w:r>
              <w:rPr>
                <w:sz w:val="17"/>
              </w:rPr>
              <w:t xml:space="preserve">5,264,394</w:t>
            </w:r>
          </w:p>
        </w:tc>
        <w:tc>
          <w:tcPr/>
          <w:p>
            <w:pPr>
              <w:pStyle w:val="Compact"/>
              <w:jc w:val="right"/>
            </w:pPr>
            <w:r>
              <w:rPr>
                <w:sz w:val="17"/>
              </w:rPr>
              <w:t xml:space="preserve">5,244,840</w:t>
            </w:r>
          </w:p>
        </w:tc>
        <w:tc>
          <w:tcPr/>
          <w:p>
            <w:pPr>
              <w:pStyle w:val="Compact"/>
              <w:jc w:val="right"/>
            </w:pPr>
            <w:r>
              <w:rPr>
                <w:sz w:val="17"/>
              </w:rPr>
              <w:t xml:space="preserve">-19,555</w:t>
            </w:r>
          </w:p>
        </w:tc>
        <w:tc>
          <w:tcPr/>
          <w:p>
            <w:pPr>
              <w:pStyle w:val="Compact"/>
              <w:jc w:val="left"/>
            </w:pPr>
            <w:r>
              <w:rPr>
                <w:sz w:val="17"/>
              </w:rPr>
              <w:t xml:space="preserve">no linear rebucketing</w:t>
            </w:r>
          </w:p>
        </w:tc>
        <w:tc>
          <w:tcPr/>
          <w:p>
            <w:pPr>
              <w:pStyle w:val="Compact"/>
              <w:jc w:val="right"/>
            </w:pPr>
            <w:r>
              <w:rPr>
                <w:sz w:val="17"/>
              </w:rPr>
              <w:t xml:space="preserve">0</w:t>
            </w:r>
          </w:p>
        </w:tc>
        <w:tc>
          <w:tcPr/>
          <w:p>
            <w:pPr>
              <w:pStyle w:val="Compact"/>
              <w:jc w:val="left"/>
            </w:pPr>
            <w:r>
              <w:rPr>
                <w:sz w:val="17"/>
              </w:rPr>
              <w:t xml:space="preserve">yes</w:t>
            </w:r>
          </w:p>
        </w:tc>
      </w:tr>
      <w:tr>
        <w:tc>
          <w:tcPr/>
          <w:p>
            <w:pPr>
              <w:pStyle w:val="Compact"/>
              <w:jc w:val="left"/>
            </w:pPr>
            <w:r>
              <w:rPr>
                <w:sz w:val="17"/>
              </w:rPr>
              <w:t xml:space="preserve">D7</w:t>
            </w:r>
          </w:p>
        </w:tc>
        <w:tc>
          <w:tcPr/>
          <w:p>
            <w:pPr>
              <w:pStyle w:val="Compact"/>
              <w:jc w:val="left"/>
            </w:pPr>
            <w:r>
              <w:rPr>
                <w:sz w:val="17"/>
              </w:rPr>
              <w:t xml:space="preserve">stale curve</w:t>
            </w:r>
          </w:p>
        </w:tc>
        <w:tc>
          <w:tcPr/>
          <w:p>
            <w:pPr>
              <w:pStyle w:val="Compact"/>
              <w:jc w:val="left"/>
            </w:pPr>
            <w:r>
              <w:rPr>
                <w:sz w:val="17"/>
              </w:rPr>
              <w:t xml:space="preserve">1</w:t>
            </w:r>
          </w:p>
        </w:tc>
        <w:tc>
          <w:tcPr/>
          <w:p>
            <w:pPr>
              <w:pStyle w:val="Compact"/>
              <w:jc w:val="right"/>
            </w:pPr>
            <w:r>
              <w:rPr>
                <w:sz w:val="17"/>
              </w:rPr>
              <w:t xml:space="preserve">5,264,394</w:t>
            </w:r>
          </w:p>
        </w:tc>
        <w:tc>
          <w:tcPr/>
          <w:p>
            <w:pPr>
              <w:pStyle w:val="Compact"/>
              <w:jc w:val="right"/>
            </w:pPr>
            <w:r>
              <w:rPr>
                <w:sz w:val="17"/>
              </w:rPr>
              <w:t xml:space="preserve">5,266,020</w:t>
            </w:r>
          </w:p>
        </w:tc>
        <w:tc>
          <w:tcPr/>
          <w:p>
            <w:pPr>
              <w:pStyle w:val="Compact"/>
              <w:jc w:val="right"/>
            </w:pPr>
            <w:r>
              <w:rPr>
                <w:sz w:val="17"/>
              </w:rPr>
              <w:t xml:space="preserve">1,625</w:t>
            </w:r>
          </w:p>
        </w:tc>
        <w:tc>
          <w:tcPr/>
          <w:p>
            <w:pPr>
              <w:pStyle w:val="Compact"/>
              <w:jc w:val="left"/>
            </w:pPr>
            <w:r>
              <w:rPr>
                <w:sz w:val="17"/>
              </w:rPr>
              <w:t xml:space="preserve">stale curve</w:t>
            </w:r>
          </w:p>
        </w:tc>
        <w:tc>
          <w:tcPr/>
          <w:p>
            <w:pPr>
              <w:pStyle w:val="Compact"/>
              <w:jc w:val="right"/>
            </w:pPr>
            <w:r>
              <w:rPr>
                <w:sz w:val="17"/>
              </w:rPr>
              <w:t xml:space="preserve">0</w:t>
            </w:r>
          </w:p>
        </w:tc>
        <w:tc>
          <w:tcPr/>
          <w:p>
            <w:pPr>
              <w:pStyle w:val="Compact"/>
              <w:jc w:val="left"/>
            </w:pPr>
            <w:r>
              <w:rPr>
                <w:sz w:val="17"/>
              </w:rPr>
              <w:t xml:space="preserve">yes</w:t>
            </w:r>
          </w:p>
        </w:tc>
      </w:tr>
      <w:tr>
        <w:tc>
          <w:tcPr/>
          <w:p>
            <w:pPr>
              <w:pStyle w:val="Compact"/>
              <w:jc w:val="left"/>
            </w:pPr>
            <w:r>
              <w:rPr>
                <w:sz w:val="17"/>
              </w:rPr>
              <w:t xml:space="preserve">D8</w:t>
            </w:r>
          </w:p>
        </w:tc>
        <w:tc>
          <w:tcPr/>
          <w:p>
            <w:pPr>
              <w:pStyle w:val="Compact"/>
              <w:jc w:val="left"/>
            </w:pPr>
            <w:r>
              <w:rPr>
                <w:sz w:val="17"/>
              </w:rPr>
              <w:t xml:space="preserve">parameter version 2506</w:t>
            </w:r>
          </w:p>
        </w:tc>
        <w:tc>
          <w:tcPr/>
          <w:p>
            <w:pPr>
              <w:pStyle w:val="Compact"/>
              <w:jc w:val="left"/>
            </w:pPr>
            <w:r>
              <w:rPr>
                <w:sz w:val="17"/>
              </w:rPr>
              <w:t xml:space="preserve">1</w:t>
            </w:r>
          </w:p>
        </w:tc>
        <w:tc>
          <w:tcPr/>
          <w:p>
            <w:pPr>
              <w:pStyle w:val="Compact"/>
              <w:jc w:val="right"/>
            </w:pPr>
            <w:r>
              <w:rPr>
                <w:sz w:val="17"/>
              </w:rPr>
              <w:t xml:space="preserve">5,264,394</w:t>
            </w:r>
          </w:p>
        </w:tc>
        <w:tc>
          <w:tcPr/>
          <w:p>
            <w:pPr>
              <w:pStyle w:val="Compact"/>
              <w:jc w:val="right"/>
            </w:pPr>
            <w:r>
              <w:rPr>
                <w:sz w:val="17"/>
              </w:rPr>
              <w:t xml:space="preserve">5,029,888</w:t>
            </w:r>
          </w:p>
        </w:tc>
        <w:tc>
          <w:tcPr/>
          <w:p>
            <w:pPr>
              <w:pStyle w:val="Compact"/>
              <w:jc w:val="right"/>
            </w:pPr>
            <w:r>
              <w:rPr>
                <w:sz w:val="17"/>
              </w:rPr>
              <w:t xml:space="preserve">-234,506</w:t>
            </w:r>
          </w:p>
        </w:tc>
        <w:tc>
          <w:tcPr/>
          <w:p>
            <w:pPr>
              <w:pStyle w:val="Compact"/>
              <w:jc w:val="left"/>
            </w:pPr>
            <w:r>
              <w:rPr>
                <w:sz w:val="17"/>
              </w:rPr>
              <w:t xml:space="preserve">parameter version 2506</w:t>
            </w:r>
          </w:p>
        </w:tc>
        <w:tc>
          <w:tcPr/>
          <w:p>
            <w:pPr>
              <w:pStyle w:val="Compact"/>
              <w:jc w:val="right"/>
            </w:pPr>
            <w:r>
              <w:rPr>
                <w:sz w:val="17"/>
              </w:rPr>
              <w:t xml:space="preserve">0</w:t>
            </w:r>
          </w:p>
        </w:tc>
        <w:tc>
          <w:tcPr/>
          <w:p>
            <w:pPr>
              <w:pStyle w:val="Compact"/>
              <w:jc w:val="left"/>
            </w:pPr>
            <w:r>
              <w:rPr>
                <w:sz w:val="17"/>
              </w:rPr>
              <w:t xml:space="preserve">yes</w:t>
            </w:r>
          </w:p>
        </w:tc>
      </w:tr>
      <w:tr>
        <w:tc>
          <w:tcPr/>
          <w:p>
            <w:pPr>
              <w:pStyle w:val="Compact"/>
              <w:jc w:val="left"/>
            </w:pPr>
            <w:r>
              <w:rPr>
                <w:sz w:val="17"/>
              </w:rPr>
              <w:t xml:space="preserve">D9</w:t>
            </w:r>
          </w:p>
        </w:tc>
        <w:tc>
          <w:tcPr/>
          <w:p>
            <w:pPr>
              <w:pStyle w:val="Compact"/>
              <w:jc w:val="left"/>
            </w:pPr>
            <w:r>
              <w:rPr>
                <w:sz w:val="17"/>
              </w:rPr>
              <w:t xml:space="preserve">missing trade plus stale FX rate</w:t>
            </w:r>
          </w:p>
        </w:tc>
        <w:tc>
          <w:tcPr/>
          <w:p>
            <w:pPr>
              <w:pStyle w:val="Compact"/>
              <w:jc w:val="left"/>
            </w:pPr>
            <w:r>
              <w:rPr>
                <w:sz w:val="17"/>
              </w:rPr>
              <w:t xml:space="preserve">1+3</w:t>
            </w:r>
          </w:p>
        </w:tc>
        <w:tc>
          <w:tcPr/>
          <w:p>
            <w:pPr>
              <w:pStyle w:val="Compact"/>
              <w:jc w:val="right"/>
            </w:pPr>
            <w:r>
              <w:rPr>
                <w:sz w:val="17"/>
              </w:rPr>
              <w:t xml:space="preserve">5,264,394</w:t>
            </w:r>
          </w:p>
        </w:tc>
        <w:tc>
          <w:tcPr/>
          <w:p>
            <w:pPr>
              <w:pStyle w:val="Compact"/>
              <w:jc w:val="right"/>
            </w:pPr>
            <w:r>
              <w:rPr>
                <w:sz w:val="17"/>
              </w:rPr>
              <w:t xml:space="preserve">5,036,440</w:t>
            </w:r>
          </w:p>
        </w:tc>
        <w:tc>
          <w:tcPr/>
          <w:p>
            <w:pPr>
              <w:pStyle w:val="Compact"/>
              <w:jc w:val="right"/>
            </w:pPr>
            <w:r>
              <w:rPr>
                <w:sz w:val="17"/>
              </w:rPr>
              <w:t xml:space="preserve">-227,955</w:t>
            </w:r>
          </w:p>
        </w:tc>
        <w:tc>
          <w:tcPr/>
          <w:p>
            <w:pPr>
              <w:pStyle w:val="Compact"/>
              <w:jc w:val="left"/>
            </w:pPr>
            <w:r>
              <w:rPr>
                <w:sz w:val="17"/>
              </w:rPr>
              <w:t xml:space="preserve">missing trade</w:t>
            </w:r>
          </w:p>
        </w:tc>
        <w:tc>
          <w:tcPr/>
          <w:p>
            <w:pPr>
              <w:pStyle w:val="Compact"/>
              <w:jc w:val="right"/>
            </w:pPr>
            <w:r>
              <w:rPr>
                <w:sz w:val="17"/>
              </w:rPr>
              <w:t xml:space="preserve">9,040</w:t>
            </w:r>
          </w:p>
        </w:tc>
        <w:tc>
          <w:tcPr/>
          <w:p>
            <w:pPr>
              <w:pStyle w:val="Compact"/>
              <w:jc w:val="left"/>
            </w:pPr>
            <w:r>
              <w:rPr>
                <w:sz w:val="17"/>
              </w:rPr>
              <w:t xml:space="preserve">yes</w:t>
            </w:r>
          </w:p>
        </w:tc>
      </w:tr>
    </w:tbl>
    <w:p>
      <w:pPr>
        <w:pStyle w:val="CaptionedFigure"/>
      </w:pPr>
      <w:r>
        <w:drawing>
          <wp:inline>
            <wp:extent cx="5334000" cy="2400300"/>
            <wp:effectExtent b="0" l="0" r="0" t="0"/>
            <wp:docPr descr="Size of the IM gap and rank of the seeded cause by scenario." title="" id="98" name="Picture"/>
            <a:graphic>
              <a:graphicData uri="http://schemas.openxmlformats.org/drawingml/2006/picture">
                <pic:pic>
                  <pic:nvPicPr>
                    <pic:cNvPr descr="../python/outputs/charts/dispute_rank_and_gap.png" id="99" name="Picture"/>
                    <pic:cNvPicPr>
                      <a:picLocks noChangeArrowheads="1" noChangeAspect="1"/>
                    </pic:cNvPicPr>
                  </pic:nvPicPr>
                  <pic:blipFill>
                    <a:blip r:embed="rId97"/>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Size of the IM gap and rank of the seeded cause by scenario.</w:t>
      </w:r>
    </w:p>
    <w:p>
      <w:pPr>
        <w:pStyle w:val="BodyText"/>
      </w:pPr>
      <w:r>
        <w:rPr>
          <w:b/>
          <w:bCs/>
        </w:rPr>
        <w:t xml:space="preserve">Result.</w:t>
      </w:r>
      <w:r>
        <w:t xml:space="preserve"> </w:t>
      </w:r>
      <w:r>
        <w:t xml:space="preserve">9 of 9 scenarios were accepted. The absolute gap ranges from USD 1,625 (D7, the stale curve, is the smallest) to USD 234,506 on an IM of about USD 5,264,394. All single-cause scenarios have the seeded cause at rank 1 with a residual of zero after the fix.</w:t>
      </w:r>
    </w:p>
    <w:p>
      <w:pPr>
        <w:pStyle w:val="BodyText"/>
      </w:pPr>
      <w:r>
        <w:rPr>
          <w:b/>
          <w:bCs/>
        </w:rPr>
        <w:t xml:space="preserve">Tie in D4.</w:t>
      </w:r>
      <w:r>
        <w:t xml:space="preserve"> </w:t>
      </w:r>
      <w:r>
        <w:t xml:space="preserve">The ranking in D4 shows why the narrower-fix rule is needed:</w:t>
      </w:r>
    </w:p>
    <w:p>
      <w:pPr>
        <w:pStyle w:val="TableCaption"/>
      </w:pPr>
      <w:r>
        <w:t xml:space="preserve">Scenario D4, top of the ranking.</w:t>
      </w:r>
    </w:p>
    <w:tbl>
      <w:tblPr>
        <w:tblStyle w:val="Table"/>
        <w:tblW w:type="pct" w:w="5000"/>
        <w:tblLayout w:type="fixed"/>
        <w:tblLook w:firstRow="1" w:lastRow="0" w:firstColumn="0" w:lastColumn="0" w:noHBand="0" w:noVBand="0" w:val="0020"/>
        <w:tblCaption w:val="Scenario D4, top of the ranking."/>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Hypothesis</w:t>
            </w:r>
          </w:p>
        </w:tc>
        <w:tc>
          <w:tcPr/>
          <w:p>
            <w:pPr>
              <w:pStyle w:val="Compact"/>
              <w:jc w:val="right"/>
            </w:pPr>
            <w:r>
              <w:rPr>
                <w:sz w:val="17"/>
              </w:rPr>
              <w:t xml:space="preserve">Signature score</w:t>
            </w:r>
          </w:p>
        </w:tc>
        <w:tc>
          <w:tcPr/>
          <w:p>
            <w:pPr>
              <w:pStyle w:val="Compact"/>
              <w:jc w:val="right"/>
            </w:pPr>
            <w:r>
              <w:rPr>
                <w:sz w:val="17"/>
              </w:rPr>
              <w:t xml:space="preserve">Explained gap (USD)</w:t>
            </w:r>
          </w:p>
        </w:tc>
        <w:tc>
          <w:tcPr/>
          <w:p>
            <w:pPr>
              <w:pStyle w:val="Compact"/>
              <w:jc w:val="right"/>
            </w:pPr>
            <w:r>
              <w:rPr>
                <w:sz w:val="17"/>
              </w:rPr>
              <w:t xml:space="preserve">Residual after fix (USD)</w:t>
            </w:r>
          </w:p>
        </w:tc>
        <w:tc>
          <w:tcPr/>
          <w:p>
            <w:pPr>
              <w:pStyle w:val="Compact"/>
              <w:jc w:val="right"/>
            </w:pPr>
            <w:r>
              <w:rPr>
                <w:sz w:val="17"/>
              </w:rPr>
              <w:t xml:space="preserve">CRIF rows in scope</w:t>
            </w:r>
          </w:p>
        </w:tc>
        <w:tc>
          <w:tcPr/>
          <w:p>
            <w:pPr>
              <w:pStyle w:val="Compact"/>
              <w:jc w:val="right"/>
            </w:pPr>
            <w:r>
              <w:rPr>
                <w:sz w:val="17"/>
              </w:rPr>
              <w:t xml:space="preserve">Rank</w:t>
            </w:r>
          </w:p>
        </w:tc>
      </w:tr>
      <w:tr>
        <w:tc>
          <w:tcPr/>
          <w:p>
            <w:pPr>
              <w:pStyle w:val="Compact"/>
              <w:jc w:val="left"/>
            </w:pPr>
            <w:r>
              <w:rPr>
                <w:sz w:val="17"/>
              </w:rPr>
              <w:t xml:space="preserve">FX vega at implied vol</w:t>
            </w:r>
          </w:p>
        </w:tc>
        <w:tc>
          <w:tcPr/>
          <w:p>
            <w:pPr>
              <w:pStyle w:val="Compact"/>
              <w:jc w:val="right"/>
            </w:pPr>
            <w:r>
              <w:rPr>
                <w:sz w:val="17"/>
              </w:rPr>
              <w:t xml:space="preserve">1.000</w:t>
            </w:r>
          </w:p>
        </w:tc>
        <w:tc>
          <w:tcPr/>
          <w:p>
            <w:pPr>
              <w:pStyle w:val="Compact"/>
              <w:jc w:val="right"/>
            </w:pPr>
            <w:r>
              <w:rPr>
                <w:sz w:val="17"/>
              </w:rPr>
              <w:t xml:space="preserve">154,793</w:t>
            </w:r>
          </w:p>
        </w:tc>
        <w:tc>
          <w:tcPr/>
          <w:p>
            <w:pPr>
              <w:pStyle w:val="Compact"/>
              <w:jc w:val="right"/>
            </w:pPr>
            <w:r>
              <w:rPr>
                <w:sz w:val="17"/>
              </w:rPr>
              <w:t xml:space="preserve">0</w:t>
            </w:r>
          </w:p>
        </w:tc>
        <w:tc>
          <w:tcPr/>
          <w:p>
            <w:pPr>
              <w:pStyle w:val="Compact"/>
              <w:jc w:val="right"/>
            </w:pPr>
            <w:r>
              <w:rPr>
                <w:sz w:val="17"/>
              </w:rPr>
              <w:t xml:space="preserve">4</w:t>
            </w:r>
          </w:p>
        </w:tc>
        <w:tc>
          <w:tcPr/>
          <w:p>
            <w:pPr>
              <w:pStyle w:val="Compact"/>
              <w:jc w:val="right"/>
            </w:pPr>
            <w:r>
              <w:rPr>
                <w:sz w:val="17"/>
              </w:rPr>
              <w:t xml:space="preserve">1</w:t>
            </w:r>
          </w:p>
        </w:tc>
      </w:tr>
      <w:tr>
        <w:tc>
          <w:tcPr/>
          <w:p>
            <w:pPr>
              <w:pStyle w:val="Compact"/>
              <w:jc w:val="left"/>
            </w:pPr>
            <w:r>
              <w:rPr>
                <w:sz w:val="17"/>
              </w:rPr>
              <w:t xml:space="preserve">stale curve</w:t>
            </w:r>
          </w:p>
        </w:tc>
        <w:tc>
          <w:tcPr/>
          <w:p>
            <w:pPr>
              <w:pStyle w:val="Compact"/>
              <w:jc w:val="right"/>
            </w:pPr>
            <w:r>
              <w:rPr>
                <w:sz w:val="17"/>
              </w:rPr>
              <w:t xml:space="preserve">1.000</w:t>
            </w:r>
          </w:p>
        </w:tc>
        <w:tc>
          <w:tcPr/>
          <w:p>
            <w:pPr>
              <w:pStyle w:val="Compact"/>
              <w:jc w:val="right"/>
            </w:pPr>
            <w:r>
              <w:rPr>
                <w:sz w:val="17"/>
              </w:rPr>
              <w:t xml:space="preserve">154,793</w:t>
            </w:r>
          </w:p>
        </w:tc>
        <w:tc>
          <w:tcPr/>
          <w:p>
            <w:pPr>
              <w:pStyle w:val="Compact"/>
              <w:jc w:val="right"/>
            </w:pPr>
            <w:r>
              <w:rPr>
                <w:sz w:val="17"/>
              </w:rPr>
              <w:t xml:space="preserve">0</w:t>
            </w:r>
          </w:p>
        </w:tc>
        <w:tc>
          <w:tcPr/>
          <w:p>
            <w:pPr>
              <w:pStyle w:val="Compact"/>
              <w:jc w:val="right"/>
            </w:pPr>
            <w:r>
              <w:rPr>
                <w:sz w:val="17"/>
              </w:rPr>
              <w:t xml:space="preserve">96</w:t>
            </w:r>
          </w:p>
        </w:tc>
        <w:tc>
          <w:tcPr/>
          <w:p>
            <w:pPr>
              <w:pStyle w:val="Compact"/>
              <w:jc w:val="right"/>
            </w:pPr>
            <w:r>
              <w:rPr>
                <w:sz w:val="17"/>
              </w:rPr>
              <w:t xml:space="preserve">2</w:t>
            </w:r>
          </w:p>
        </w:tc>
      </w:tr>
      <w:tr>
        <w:tc>
          <w:tcPr/>
          <w:p>
            <w:pPr>
              <w:pStyle w:val="Compact"/>
              <w:jc w:val="left"/>
            </w:pPr>
            <w:r>
              <w:rPr>
                <w:sz w:val="17"/>
              </w:rPr>
              <w:t xml:space="preserve">missing trade</w:t>
            </w:r>
          </w:p>
        </w:tc>
        <w:tc>
          <w:tcPr/>
          <w:p>
            <w:pPr>
              <w:pStyle w:val="Compact"/>
              <w:jc w:val="right"/>
            </w:pPr>
            <w:r>
              <w:rPr>
                <w:sz w:val="17"/>
              </w:rPr>
              <w:t xml:space="preserve">0.000</w:t>
            </w:r>
          </w:p>
        </w:tc>
        <w:tc>
          <w:tcPr/>
          <w:p>
            <w:pPr>
              <w:pStyle w:val="Compact"/>
              <w:jc w:val="right"/>
            </w:pPr>
            <w:r>
              <w:rPr>
                <w:sz w:val="17"/>
              </w:rPr>
              <w:t xml:space="preserve">0</w:t>
            </w:r>
          </w:p>
        </w:tc>
        <w:tc>
          <w:tcPr/>
          <w:p>
            <w:pPr>
              <w:pStyle w:val="Compact"/>
              <w:jc w:val="right"/>
            </w:pPr>
            <w:r>
              <w:rPr>
                <w:sz w:val="17"/>
              </w:rPr>
              <w:t xml:space="preserve">154,793</w:t>
            </w:r>
          </w:p>
        </w:tc>
        <w:tc>
          <w:tcPr/>
          <w:p>
            <w:pPr>
              <w:pStyle w:val="Compact"/>
              <w:jc w:val="right"/>
            </w:pPr>
            <w:r>
              <w:rPr>
                <w:sz w:val="17"/>
              </w:rPr>
              <w:t xml:space="preserve">0</w:t>
            </w:r>
          </w:p>
        </w:tc>
        <w:tc>
          <w:tcPr/>
          <w:p>
            <w:pPr>
              <w:pStyle w:val="Compact"/>
              <w:jc w:val="right"/>
            </w:pPr>
            <w:r>
              <w:rPr>
                <w:sz w:val="17"/>
              </w:rPr>
              <w:t xml:space="preserve">3</w:t>
            </w:r>
          </w:p>
        </w:tc>
      </w:tr>
    </w:tbl>
    <w:p>
      <w:pPr>
        <w:pStyle w:val="BodyText"/>
      </w:pPr>
      <w:r>
        <w:t xml:space="preserve">Rebuilding the whole CRIF from today's curves ("stale curve") also removes the difference, because it regenerates the FX vega rows with the correct convention; but it touches 96 rows while the FX vega fix touches 4. Without the tie-break the engine would report a wrong cause.</w:t>
      </w:r>
    </w:p>
    <w:p>
      <w:pPr>
        <w:pStyle w:val="BodyText"/>
      </w:pPr>
      <w:r>
        <w:rPr>
          <w:b/>
          <w:bCs/>
        </w:rPr>
        <w:t xml:space="preserve">The composite case D9.</w:t>
      </w:r>
      <w:r>
        <w:t xml:space="preserve"> </w:t>
      </w:r>
      <w:r>
        <w:t xml:space="preserve">With two causes at once the ranking is harder, because the larger break masks the smaller one:</w:t>
      </w:r>
    </w:p>
    <w:p>
      <w:pPr>
        <w:pStyle w:val="TableCaption"/>
      </w:pPr>
      <w:r>
        <w:t xml:space="preserve">Scenario D9, top of the ranking (missing trade plus stale FX rate).</w:t>
      </w:r>
    </w:p>
    <w:tbl>
      <w:tblPr>
        <w:tblStyle w:val="Table"/>
        <w:tblW w:type="pct" w:w="5000"/>
        <w:tblLayout w:type="fixed"/>
        <w:tblLook w:firstRow="1" w:lastRow="0" w:firstColumn="0" w:lastColumn="0" w:noHBand="0" w:noVBand="0" w:val="0020"/>
        <w:tblCaption w:val="Scenario D9, top of the ranking (missing trade plus stale FX rat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Hypothesis</w:t>
            </w:r>
          </w:p>
        </w:tc>
        <w:tc>
          <w:tcPr/>
          <w:p>
            <w:pPr>
              <w:pStyle w:val="Compact"/>
              <w:jc w:val="right"/>
            </w:pPr>
            <w:r>
              <w:rPr>
                <w:sz w:val="17"/>
              </w:rPr>
              <w:t xml:space="preserve">Signature score</w:t>
            </w:r>
          </w:p>
        </w:tc>
        <w:tc>
          <w:tcPr/>
          <w:p>
            <w:pPr>
              <w:pStyle w:val="Compact"/>
              <w:jc w:val="right"/>
            </w:pPr>
            <w:r>
              <w:rPr>
                <w:sz w:val="17"/>
              </w:rPr>
              <w:t xml:space="preserve">Explained gap (USD)</w:t>
            </w:r>
          </w:p>
        </w:tc>
        <w:tc>
          <w:tcPr/>
          <w:p>
            <w:pPr>
              <w:pStyle w:val="Compact"/>
              <w:jc w:val="right"/>
            </w:pPr>
            <w:r>
              <w:rPr>
                <w:sz w:val="17"/>
              </w:rPr>
              <w:t xml:space="preserve">Residual after fix (USD)</w:t>
            </w:r>
          </w:p>
        </w:tc>
        <w:tc>
          <w:tcPr/>
          <w:p>
            <w:pPr>
              <w:pStyle w:val="Compact"/>
              <w:jc w:val="right"/>
            </w:pPr>
            <w:r>
              <w:rPr>
                <w:sz w:val="17"/>
              </w:rPr>
              <w:t xml:space="preserve">CRIF rows in scope</w:t>
            </w:r>
          </w:p>
        </w:tc>
        <w:tc>
          <w:tcPr/>
          <w:p>
            <w:pPr>
              <w:pStyle w:val="Compact"/>
              <w:jc w:val="right"/>
            </w:pPr>
            <w:r>
              <w:rPr>
                <w:sz w:val="17"/>
              </w:rPr>
              <w:t xml:space="preserve">Rank</w:t>
            </w:r>
          </w:p>
        </w:tc>
      </w:tr>
      <w:tr>
        <w:tc>
          <w:tcPr/>
          <w:p>
            <w:pPr>
              <w:pStyle w:val="Compact"/>
              <w:jc w:val="left"/>
            </w:pPr>
            <w:r>
              <w:rPr>
                <w:sz w:val="17"/>
              </w:rPr>
              <w:t xml:space="preserve">missing trade</w:t>
            </w:r>
          </w:p>
        </w:tc>
        <w:tc>
          <w:tcPr/>
          <w:p>
            <w:pPr>
              <w:pStyle w:val="Compact"/>
              <w:jc w:val="right"/>
            </w:pPr>
            <w:r>
              <w:rPr>
                <w:sz w:val="17"/>
              </w:rPr>
              <w:t xml:space="preserve">0.219</w:t>
            </w:r>
          </w:p>
        </w:tc>
        <w:tc>
          <w:tcPr/>
          <w:p>
            <w:pPr>
              <w:pStyle w:val="Compact"/>
              <w:jc w:val="right"/>
            </w:pPr>
            <w:r>
              <w:rPr>
                <w:sz w:val="17"/>
              </w:rPr>
              <w:t xml:space="preserve">218,915</w:t>
            </w:r>
          </w:p>
        </w:tc>
        <w:tc>
          <w:tcPr/>
          <w:p>
            <w:pPr>
              <w:pStyle w:val="Compact"/>
              <w:jc w:val="right"/>
            </w:pPr>
            <w:r>
              <w:rPr>
                <w:sz w:val="17"/>
              </w:rPr>
              <w:t xml:space="preserve">9,040</w:t>
            </w:r>
          </w:p>
        </w:tc>
        <w:tc>
          <w:tcPr/>
          <w:p>
            <w:pPr>
              <w:pStyle w:val="Compact"/>
              <w:jc w:val="right"/>
            </w:pPr>
            <w:r>
              <w:rPr>
                <w:sz w:val="17"/>
              </w:rPr>
              <w:t xml:space="preserve">6</w:t>
            </w:r>
          </w:p>
        </w:tc>
        <w:tc>
          <w:tcPr/>
          <w:p>
            <w:pPr>
              <w:pStyle w:val="Compact"/>
              <w:jc w:val="right"/>
            </w:pPr>
            <w:r>
              <w:rPr>
                <w:sz w:val="17"/>
              </w:rPr>
              <w:t xml:space="preserve">1</w:t>
            </w:r>
          </w:p>
        </w:tc>
      </w:tr>
      <w:tr>
        <w:tc>
          <w:tcPr/>
          <w:p>
            <w:pPr>
              <w:pStyle w:val="Compact"/>
              <w:jc w:val="left"/>
            </w:pPr>
            <w:r>
              <w:rPr>
                <w:sz w:val="17"/>
              </w:rPr>
              <w:t xml:space="preserve">no linear rebucketing</w:t>
            </w:r>
          </w:p>
        </w:tc>
        <w:tc>
          <w:tcPr/>
          <w:p>
            <w:pPr>
              <w:pStyle w:val="Compact"/>
              <w:jc w:val="right"/>
            </w:pPr>
            <w:r>
              <w:rPr>
                <w:sz w:val="17"/>
              </w:rPr>
              <w:t xml:space="preserve">0.125</w:t>
            </w:r>
          </w:p>
        </w:tc>
        <w:tc>
          <w:tcPr/>
          <w:p>
            <w:pPr>
              <w:pStyle w:val="Compact"/>
              <w:jc w:val="right"/>
            </w:pPr>
            <w:r>
              <w:rPr>
                <w:sz w:val="17"/>
              </w:rPr>
              <w:t xml:space="preserve">6,789</w:t>
            </w:r>
          </w:p>
        </w:tc>
        <w:tc>
          <w:tcPr/>
          <w:p>
            <w:pPr>
              <w:pStyle w:val="Compact"/>
              <w:jc w:val="right"/>
            </w:pPr>
            <w:r>
              <w:rPr>
                <w:sz w:val="17"/>
              </w:rPr>
              <w:t xml:space="preserve">221,165</w:t>
            </w:r>
          </w:p>
        </w:tc>
        <w:tc>
          <w:tcPr/>
          <w:p>
            <w:pPr>
              <w:pStyle w:val="Compact"/>
              <w:jc w:val="right"/>
            </w:pPr>
            <w:r>
              <w:rPr>
                <w:sz w:val="17"/>
              </w:rPr>
              <w:t xml:space="preserve">15</w:t>
            </w:r>
          </w:p>
        </w:tc>
        <w:tc>
          <w:tcPr/>
          <w:p>
            <w:pPr>
              <w:pStyle w:val="Compact"/>
              <w:jc w:val="right"/>
            </w:pPr>
            <w:r>
              <w:rPr>
                <w:sz w:val="17"/>
              </w:rPr>
              <w:t xml:space="preserve">2</w:t>
            </w:r>
          </w:p>
        </w:tc>
      </w:tr>
      <w:tr>
        <w:tc>
          <w:tcPr/>
          <w:p>
            <w:pPr>
              <w:pStyle w:val="Compact"/>
              <w:jc w:val="left"/>
            </w:pPr>
            <w:r>
              <w:rPr>
                <w:sz w:val="17"/>
              </w:rPr>
              <w:t xml:space="preserve">stale FX rate</w:t>
            </w:r>
          </w:p>
        </w:tc>
        <w:tc>
          <w:tcPr/>
          <w:p>
            <w:pPr>
              <w:pStyle w:val="Compact"/>
              <w:jc w:val="right"/>
            </w:pPr>
            <w:r>
              <w:rPr>
                <w:sz w:val="17"/>
              </w:rPr>
              <w:t xml:space="preserve">0.781</w:t>
            </w:r>
          </w:p>
        </w:tc>
        <w:tc>
          <w:tcPr/>
          <w:p>
            <w:pPr>
              <w:pStyle w:val="Compact"/>
              <w:jc w:val="right"/>
            </w:pPr>
            <w:r>
              <w:rPr>
                <w:sz w:val="17"/>
              </w:rPr>
              <w:t xml:space="preserve">3,781</w:t>
            </w:r>
          </w:p>
        </w:tc>
        <w:tc>
          <w:tcPr/>
          <w:p>
            <w:pPr>
              <w:pStyle w:val="Compact"/>
              <w:jc w:val="right"/>
            </w:pPr>
            <w:r>
              <w:rPr>
                <w:sz w:val="17"/>
              </w:rPr>
              <w:t xml:space="preserve">224,174</w:t>
            </w:r>
          </w:p>
        </w:tc>
        <w:tc>
          <w:tcPr/>
          <w:p>
            <w:pPr>
              <w:pStyle w:val="Compact"/>
              <w:jc w:val="right"/>
            </w:pPr>
            <w:r>
              <w:rPr>
                <w:sz w:val="17"/>
              </w:rPr>
              <w:t xml:space="preserve">39</w:t>
            </w:r>
          </w:p>
        </w:tc>
        <w:tc>
          <w:tcPr/>
          <w:p>
            <w:pPr>
              <w:pStyle w:val="Compact"/>
              <w:jc w:val="right"/>
            </w:pPr>
            <w:r>
              <w:rPr>
                <w:sz w:val="17"/>
              </w:rPr>
              <w:t xml:space="preserve">3</w:t>
            </w:r>
          </w:p>
        </w:tc>
      </w:tr>
      <w:tr>
        <w:tc>
          <w:tcPr/>
          <w:p>
            <w:pPr>
              <w:pStyle w:val="Compact"/>
              <w:jc w:val="left"/>
            </w:pPr>
            <w:r>
              <w:rPr>
                <w:sz w:val="17"/>
              </w:rPr>
              <w:t xml:space="preserve">stale curve</w:t>
            </w:r>
          </w:p>
        </w:tc>
        <w:tc>
          <w:tcPr/>
          <w:p>
            <w:pPr>
              <w:pStyle w:val="Compact"/>
              <w:jc w:val="right"/>
            </w:pPr>
            <w:r>
              <w:rPr>
                <w:sz w:val="17"/>
              </w:rPr>
              <w:t xml:space="preserve">0.781</w:t>
            </w:r>
          </w:p>
        </w:tc>
        <w:tc>
          <w:tcPr/>
          <w:p>
            <w:pPr>
              <w:pStyle w:val="Compact"/>
              <w:jc w:val="right"/>
            </w:pPr>
            <w:r>
              <w:rPr>
                <w:sz w:val="17"/>
              </w:rPr>
              <w:t xml:space="preserve">3,781</w:t>
            </w:r>
          </w:p>
        </w:tc>
        <w:tc>
          <w:tcPr/>
          <w:p>
            <w:pPr>
              <w:pStyle w:val="Compact"/>
              <w:jc w:val="right"/>
            </w:pPr>
            <w:r>
              <w:rPr>
                <w:sz w:val="17"/>
              </w:rPr>
              <w:t xml:space="preserve">224,174</w:t>
            </w:r>
          </w:p>
        </w:tc>
        <w:tc>
          <w:tcPr/>
          <w:p>
            <w:pPr>
              <w:pStyle w:val="Compact"/>
              <w:jc w:val="right"/>
            </w:pPr>
            <w:r>
              <w:rPr>
                <w:sz w:val="17"/>
              </w:rPr>
              <w:t xml:space="preserve">90</w:t>
            </w:r>
          </w:p>
        </w:tc>
        <w:tc>
          <w:tcPr/>
          <w:p>
            <w:pPr>
              <w:pStyle w:val="Compact"/>
              <w:jc w:val="right"/>
            </w:pPr>
            <w:r>
              <w:rPr>
                <w:sz w:val="17"/>
              </w:rPr>
              <w:t xml:space="preserve">4</w:t>
            </w:r>
          </w:p>
        </w:tc>
      </w:tr>
      <w:tr>
        <w:tc>
          <w:tcPr/>
          <w:p>
            <w:pPr>
              <w:pStyle w:val="Compact"/>
              <w:jc w:val="left"/>
            </w:pPr>
            <w:r>
              <w:rPr>
                <w:sz w:val="17"/>
              </w:rPr>
              <w:t xml:space="preserve">notional amendment</w:t>
            </w:r>
          </w:p>
        </w:tc>
        <w:tc>
          <w:tcPr/>
          <w:p>
            <w:pPr>
              <w:pStyle w:val="Compact"/>
              <w:jc w:val="right"/>
            </w:pPr>
            <w:r>
              <w:rPr>
                <w:sz w:val="17"/>
              </w:rPr>
              <w:t xml:space="preserve">0.000</w:t>
            </w:r>
          </w:p>
        </w:tc>
        <w:tc>
          <w:tcPr/>
          <w:p>
            <w:pPr>
              <w:pStyle w:val="Compact"/>
              <w:jc w:val="right"/>
            </w:pPr>
            <w:r>
              <w:rPr>
                <w:sz w:val="17"/>
              </w:rPr>
              <w:t xml:space="preserve">0</w:t>
            </w:r>
          </w:p>
        </w:tc>
        <w:tc>
          <w:tcPr/>
          <w:p>
            <w:pPr>
              <w:pStyle w:val="Compact"/>
              <w:jc w:val="right"/>
            </w:pPr>
            <w:r>
              <w:rPr>
                <w:sz w:val="17"/>
              </w:rPr>
              <w:t xml:space="preserve">227,955</w:t>
            </w:r>
          </w:p>
        </w:tc>
        <w:tc>
          <w:tcPr/>
          <w:p>
            <w:pPr>
              <w:pStyle w:val="Compact"/>
              <w:jc w:val="right"/>
            </w:pPr>
            <w:r>
              <w:rPr>
                <w:sz w:val="17"/>
              </w:rPr>
              <w:t xml:space="preserve">0</w:t>
            </w:r>
          </w:p>
        </w:tc>
        <w:tc>
          <w:tcPr/>
          <w:p>
            <w:pPr>
              <w:pStyle w:val="Compact"/>
              <w:jc w:val="right"/>
            </w:pPr>
            <w:r>
              <w:rPr>
                <w:sz w:val="17"/>
              </w:rPr>
              <w:t xml:space="preserve">5</w:t>
            </w:r>
          </w:p>
        </w:tc>
      </w:tr>
    </w:tbl>
    <w:p>
      <w:pPr>
        <w:pStyle w:val="BodyText"/>
      </w:pPr>
      <w:r>
        <w:t xml:space="preserve">The missing trade is rank 1 and explains USD 218,915 of the gap; the stale FX rate ranks only 3, behind a spurious "no linear rebucketing" hypothesis, because its stand-alone effect (USD 3,781) is small and it overlaps with other rows; a residual of USD 9,040 remains after the top fix. The acceptance rule for composites (both causes in the top three) is met, but the example shows the usual lesson: fix the biggest break, re-run, and look again. This is also a limitation (Section 16): the ranking assumes a single dominant cause and a fixed hypothesis list.</w:t>
      </w:r>
    </w:p>
    <w:bookmarkEnd w:id="100"/>
    <w:bookmarkEnd w:id="101"/>
    <w:bookmarkStart w:id="114" w:name="im-attribution"/>
    <w:p>
      <w:pPr>
        <w:pStyle w:val="Heading1"/>
      </w:pPr>
      <w:r>
        <w:rPr>
          <w:rStyle w:val="SectionNumber"/>
        </w:rPr>
        <w:t xml:space="preserve">12</w:t>
      </w:r>
      <w:r>
        <w:tab/>
      </w:r>
      <w:r>
        <w:t xml:space="preserve">IM attribution</w:t>
      </w:r>
    </w:p>
    <w:bookmarkStart w:id="102" w:name="the-business-problem-1"/>
    <w:p>
      <w:pPr>
        <w:pStyle w:val="Heading2"/>
      </w:pPr>
      <w:r>
        <w:rPr>
          <w:rStyle w:val="SectionNumber"/>
        </w:rPr>
        <w:t xml:space="preserve">12.1</w:t>
      </w:r>
      <w:r>
        <w:tab/>
      </w:r>
      <w:r>
        <w:t xml:space="preserve">The business problem</w:t>
      </w:r>
    </w:p>
    <w:p>
      <w:pPr>
        <w:pStyle w:val="FirstParagraph"/>
      </w:pPr>
      <w:r>
        <w:t xml:space="preserve">Every morning the IM call changes, and the first question from the desk is why. The change comes from different sources: trades that matured, trades that were booked, market moves and, on rare dates, a change in the SIMM parameters (the move from v2.8+2506 to v2.8+2512). The sources interact (a new trade changes the netting benefit of existing trades, a market move changes the sensitivities of the new trade), so a naive decomposition does not add up.</w:t>
      </w:r>
    </w:p>
    <w:bookmarkEnd w:id="102"/>
    <w:bookmarkStart w:id="103" w:name="three-methods"/>
    <w:p>
      <w:pPr>
        <w:pStyle w:val="Heading2"/>
      </w:pPr>
      <w:r>
        <w:rPr>
          <w:rStyle w:val="SectionNumber"/>
        </w:rPr>
        <w:t xml:space="preserve">12.2</w:t>
      </w:r>
      <w:r>
        <w:tab/>
      </w:r>
      <w:r>
        <w:t xml:space="preserve">Three methods</w:t>
      </w:r>
    </w:p>
    <w:p>
      <w:pPr>
        <w:pStyle w:val="FirstParagraph"/>
      </w:pPr>
      <w:r>
        <w:t xml:space="preserve">Let</w:t>
      </w:r>
      <w:r>
        <w:t xml:space="preserve"> </w:t>
      </w:r>
      <m:oMath>
        <m:r>
          <m:t>I</m:t>
        </m:r>
        <m:r>
          <m:t>M</m:t>
        </m:r>
        <m:r>
          <m:rPr>
            <m:sty m:val="p"/>
          </m:rPr>
          <m:t>(</m:t>
        </m:r>
        <m:r>
          <m:t>S</m:t>
        </m:r>
        <m:r>
          <m:rPr>
            <m:sty m:val="p"/>
          </m:rPr>
          <m:t>)</m:t>
        </m:r>
      </m:oMath>
      <w:r>
        <w:t xml:space="preserve"> </w:t>
      </w:r>
      <w:r>
        <w:t xml:space="preserve">be the SIMM-style IM of the state in which the drivers in subset</w:t>
      </w:r>
      <w:r>
        <w:t xml:space="preserve"> </w:t>
      </w:r>
      <m:oMath>
        <m:r>
          <m:t>S</m:t>
        </m:r>
      </m:oMath>
      <w:r>
        <w:t xml:space="preserve"> </w:t>
      </w:r>
      <w:r>
        <w:t xml:space="preserve">have been switched from their day-0 to their day-1 setting. With four drivers there are 16 states, all computed by</w:t>
      </w:r>
      <w:r>
        <w:t xml:space="preserve"> </w:t>
      </w:r>
      <w:r>
        <w:rPr>
          <w:rStyle w:val="VerbatimChar"/>
        </w:rPr>
        <w:t xml:space="preserve">attribution.attribute</w:t>
      </w:r>
      <w:r>
        <w:t xml:space="preserve">.</w:t>
      </w:r>
    </w:p>
    <w:p>
      <w:pPr>
        <w:pStyle w:val="Compact"/>
        <w:numPr>
          <w:ilvl w:val="0"/>
          <w:numId w:val="1008"/>
        </w:numPr>
      </w:pPr>
      <w:r>
        <w:rPr>
          <w:b/>
          <w:bCs/>
        </w:rPr>
        <w:t xml:space="preserve">Shapley value.</w:t>
      </w:r>
      <w:r>
        <w:t xml:space="preserve"> </w:t>
      </w:r>
      <w:r>
        <w:t xml:space="preserve">The contribution of driver</w:t>
      </w:r>
      <w:r>
        <w:t xml:space="preserve"> </w:t>
      </w:r>
      <m:oMath>
        <m:r>
          <m:t>i</m:t>
        </m:r>
      </m:oMath>
      <w:r>
        <w:t xml:space="preserve"> </w:t>
      </w:r>
      <w:r>
        <w:t xml:space="preserve">is its marginal effect averaged over all orders in which drivers can be switched on:</w:t>
      </w:r>
    </w:p>
    <w:p>
      <w:pPr>
        <w:pStyle w:val="Compac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N</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t> </m:t>
                  </m:r>
                  <m:r>
                    <m:rPr>
                      <m:sty m:val="p"/>
                    </m:rPr>
                    <m:t>(</m:t>
                  </m:r>
                  <m:r>
                    <m:t>n</m:t>
                  </m:r>
                  <m:r>
                    <m:rPr>
                      <m:sty m:val="p"/>
                    </m:rPr>
                    <m:t>−</m:t>
                  </m:r>
                  <m:r>
                    <m:rPr>
                      <m:sty m:val="p"/>
                    </m:rPr>
                    <m:t>|</m:t>
                  </m:r>
                  <m:r>
                    <m:t>S</m:t>
                  </m:r>
                  <m:r>
                    <m:rPr>
                      <m:sty m:val="p"/>
                    </m:rPr>
                    <m:t>|</m:t>
                  </m:r>
                  <m:r>
                    <m:rPr>
                      <m:sty m:val="p"/>
                    </m:rPr>
                    <m:t>−</m:t>
                  </m:r>
                  <m:r>
                    <m:t>1</m:t>
                  </m:r>
                  <m:r>
                    <m:rPr>
                      <m:sty m:val="p"/>
                    </m:rPr>
                    <m:t>)</m:t>
                  </m:r>
                  <m:r>
                    <m:rPr>
                      <m:sty m:val="p"/>
                    </m:rPr>
                    <m:t>!</m:t>
                  </m:r>
                </m:num>
                <m:den>
                  <m:r>
                    <m:t>n</m:t>
                  </m:r>
                  <m:r>
                    <m:rPr>
                      <m:sty m:val="p"/>
                    </m:rPr>
                    <m:t>!</m:t>
                  </m:r>
                </m:den>
              </m:f>
            </m:e>
          </m:nary>
          <m:r>
            <m:t> </m:t>
          </m:r>
          <m:d>
            <m:dPr>
              <m:begChr m:val="["/>
              <m:sepChr m:val=""/>
              <m:endChr m:val="]"/>
              <m:grow/>
            </m:dPr>
            <m:e>
              <m:r>
                <m:t>I</m:t>
              </m:r>
              <m:r>
                <m:t>M</m:t>
              </m:r>
              <m:r>
                <m:rPr>
                  <m:sty m:val="p"/>
                </m:rPr>
                <m:t>(</m:t>
              </m:r>
              <m:r>
                <m:t>S</m:t>
              </m:r>
              <m:r>
                <m:rPr>
                  <m:sty m:val="p"/>
                </m:rPr>
                <m:t>∪</m:t>
              </m:r>
              <m:r>
                <m:rPr>
                  <m:sty m:val="p"/>
                </m:rPr>
                <m:t>{</m:t>
              </m:r>
              <m:r>
                <m:t>i</m:t>
              </m:r>
              <m:r>
                <m:rPr>
                  <m:sty m:val="p"/>
                </m:rPr>
                <m:t>}</m:t>
              </m:r>
              <m:r>
                <m:rPr>
                  <m:sty m:val="p"/>
                </m:rPr>
                <m:t>)</m:t>
              </m:r>
              <m:r>
                <m:rPr>
                  <m:sty m:val="p"/>
                </m:rPr>
                <m:t>−</m:t>
              </m:r>
              <m:r>
                <m:t>I</m:t>
              </m:r>
              <m:r>
                <m:t>M</m:t>
              </m:r>
              <m:r>
                <m:rPr>
                  <m:sty m:val="p"/>
                </m:rPr>
                <m:t>(</m:t>
              </m:r>
              <m:r>
                <m:t>S</m:t>
              </m:r>
              <m:r>
                <m:rPr>
                  <m:sty m:val="p"/>
                </m:rPr>
                <m:t>)</m:t>
              </m:r>
            </m:e>
          </m:d>
          <m:r>
            <m:rPr>
              <m:sty m:val="p"/>
            </m:rPr>
            <m:t>.</m:t>
          </m:r>
        </m:oMath>
      </m:oMathPara>
    </w:p>
    <w:p>
      <w:pPr>
        <w:pStyle w:val="Compact"/>
        <w:numPr>
          <w:ilvl w:val="0"/>
          <w:numId w:val="1000"/>
        </w:numPr>
      </w:pPr>
      <w:r>
        <w:t xml:space="preserve">It is the unique allocation that is symmetric and efficient: the contributions add up exactly to</w:t>
      </w:r>
      <w:r>
        <w:t xml:space="preserve"> </w:t>
      </w:r>
      <m:oMath>
        <m:r>
          <m:t>I</m:t>
        </m:r>
        <m:r>
          <m:t>M</m:t>
        </m:r>
        <m:r>
          <m:rPr>
            <m:sty m:val="p"/>
          </m:rPr>
          <m:t>(</m:t>
        </m:r>
        <m:r>
          <m:t>N</m:t>
        </m:r>
        <m:r>
          <m:rPr>
            <m:sty m:val="p"/>
          </m:rPr>
          <m:t>)</m:t>
        </m:r>
        <m:r>
          <m:rPr>
            <m:sty m:val="p"/>
          </m:rPr>
          <m:t>−</m:t>
        </m:r>
        <m:r>
          <m:t>I</m:t>
        </m:r>
        <m:r>
          <m:t>M</m:t>
        </m:r>
        <m:r>
          <m:rPr>
            <m:sty m:val="p"/>
          </m:rPr>
          <m:t>(</m:t>
        </m:r>
        <m:r>
          <m:rPr>
            <m:sty m:val="p"/>
          </m:rPr>
          <m:t>∅</m:t>
        </m:r>
        <m:r>
          <m:rPr>
            <m:sty m:val="p"/>
          </m:rPr>
          <m:t>)</m:t>
        </m:r>
      </m:oMath>
      <w:r>
        <w:t xml:space="preserve">.</w:t>
      </w:r>
    </w:p>
    <w:p>
      <w:pPr>
        <w:pStyle w:val="Compact"/>
        <w:numPr>
          <w:ilvl w:val="0"/>
          <w:numId w:val="1008"/>
        </w:numPr>
      </w:pPr>
      <w:r>
        <w:rPr>
          <w:b/>
          <w:bCs/>
        </w:rPr>
        <w:t xml:space="preserve">Sequential bridge.</w:t>
      </w:r>
      <w:r>
        <w:t xml:space="preserve"> </w:t>
      </w:r>
      <w:r>
        <w:t xml:space="preserve">Switch drivers on in a fixed documented order: matured trades, new trades, then the market move split into rates, FX and vol, then parameters. Each step is valued after the previous ones, so the steps telescope to the total. It reads as a narrative ("first the maturities, then the new trade...") but depends on the order. The order chosen values trade changes at the old market and parameters, market moves on the new population, and the methodology change last, which is how a version-change impact is normally quoted.</w:t>
      </w:r>
    </w:p>
    <w:p>
      <w:pPr>
        <w:pStyle w:val="Compact"/>
        <w:numPr>
          <w:ilvl w:val="0"/>
          <w:numId w:val="1008"/>
        </w:numPr>
      </w:pPr>
      <w:r>
        <w:rPr>
          <w:b/>
          <w:bCs/>
        </w:rPr>
        <w:t xml:space="preserve">One at a time.</w:t>
      </w:r>
      <w:r>
        <w:t xml:space="preserve"> </w:t>
      </w:r>
      <w:r>
        <w:t xml:space="preserve">Switch each driver alone from the base state. This is the simplest to compute and explain but ignores interactions, so the contributions do not add up and leave an interaction residual.</w:t>
      </w:r>
    </w:p>
    <w:bookmarkEnd w:id="103"/>
    <w:bookmarkStart w:id="107" w:name="scenario-day"/>
    <w:p>
      <w:pPr>
        <w:pStyle w:val="Heading2"/>
      </w:pPr>
      <w:r>
        <w:rPr>
          <w:rStyle w:val="SectionNumber"/>
        </w:rPr>
        <w:t xml:space="preserve">12.3</w:t>
      </w:r>
      <w:r>
        <w:tab/>
      </w:r>
      <w:r>
        <w:t xml:space="preserve">Scenario day</w:t>
      </w:r>
    </w:p>
    <w:p>
      <w:pPr>
        <w:pStyle w:val="FirstParagraph"/>
      </w:pPr>
      <w:r>
        <w:t xml:space="preserve">The scenario day is 10 Jul 2026, the first COB of v2.8+2512. The designed move combines a stress-like market shock (parallel rate increases of 8 to 70 bp by currency, EUR, GBP and MXN weakening against USD, JPY strengthening, IR vol up 40% and FX vol up 60%), two 3-month trades that mature (FXF_USDJPY_3M, FXO_EURUSD_C3M), a new USD 150 million 10-year swap, and the parameter switch. IM moves from USD 4,970,798 to USD 9,011,268, a change of USD 4,040,470 (81.3%).</w:t>
      </w:r>
    </w:p>
    <w:p>
      <w:pPr>
        <w:pStyle w:val="TableCaption"/>
      </w:pPr>
      <w:r>
        <w:t xml:space="preserve">Attribution of the change in IM on the scenario day, three methods.</w:t>
      </w:r>
    </w:p>
    <w:tbl>
      <w:tblPr>
        <w:tblStyle w:val="Table"/>
        <w:tblW w:type="pct" w:w="5000"/>
        <w:tblLayout w:type="fixed"/>
        <w:tblLook w:firstRow="1" w:lastRow="0" w:firstColumn="0" w:lastColumn="0" w:noHBand="0" w:noVBand="0" w:val="0020"/>
        <w:tblCaption w:val="Attribution of the change in IM on the scenario day, three method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Driver</w:t>
            </w:r>
          </w:p>
        </w:tc>
        <w:tc>
          <w:tcPr/>
          <w:p>
            <w:pPr>
              <w:pStyle w:val="Compact"/>
              <w:jc w:val="right"/>
            </w:pPr>
            <w:r>
              <w:rPr>
                <w:sz w:val="17"/>
              </w:rPr>
              <w:t xml:space="preserve">Shapley (USD)</w:t>
            </w:r>
          </w:p>
        </w:tc>
        <w:tc>
          <w:tcPr/>
          <w:p>
            <w:pPr>
              <w:pStyle w:val="Compact"/>
              <w:jc w:val="right"/>
            </w:pPr>
            <w:r>
              <w:rPr>
                <w:sz w:val="17"/>
              </w:rPr>
              <w:t xml:space="preserve">Share</w:t>
            </w:r>
          </w:p>
        </w:tc>
        <w:tc>
          <w:tcPr/>
          <w:p>
            <w:pPr>
              <w:pStyle w:val="Compact"/>
              <w:jc w:val="right"/>
            </w:pPr>
            <w:r>
              <w:rPr>
                <w:sz w:val="17"/>
              </w:rPr>
              <w:t xml:space="preserve">Bridge (USD)</w:t>
            </w:r>
          </w:p>
        </w:tc>
        <w:tc>
          <w:tcPr/>
          <w:p>
            <w:pPr>
              <w:pStyle w:val="Compact"/>
              <w:jc w:val="right"/>
            </w:pPr>
            <w:r>
              <w:rPr>
                <w:sz w:val="17"/>
              </w:rPr>
              <w:t xml:space="preserve">Share</w:t>
            </w:r>
          </w:p>
        </w:tc>
        <w:tc>
          <w:tcPr/>
          <w:p>
            <w:pPr>
              <w:pStyle w:val="Compact"/>
              <w:jc w:val="right"/>
            </w:pPr>
            <w:r>
              <w:rPr>
                <w:sz w:val="17"/>
              </w:rPr>
              <w:t xml:space="preserve">One at a time (USD)</w:t>
            </w:r>
          </w:p>
        </w:tc>
      </w:tr>
      <w:tr>
        <w:tc>
          <w:tcPr/>
          <w:p>
            <w:pPr>
              <w:pStyle w:val="Compact"/>
              <w:jc w:val="left"/>
            </w:pPr>
            <w:r>
              <w:rPr>
                <w:sz w:val="17"/>
              </w:rPr>
              <w:t xml:space="preserve">Matured trades</w:t>
            </w:r>
          </w:p>
        </w:tc>
        <w:tc>
          <w:tcPr/>
          <w:p>
            <w:pPr>
              <w:pStyle w:val="Compact"/>
              <w:jc w:val="right"/>
            </w:pPr>
            <w:r>
              <w:rPr>
                <w:sz w:val="17"/>
              </w:rPr>
              <w:t xml:space="preserve">-691,528</w:t>
            </w:r>
          </w:p>
        </w:tc>
        <w:tc>
          <w:tcPr/>
          <w:p>
            <w:pPr>
              <w:pStyle w:val="Compact"/>
              <w:jc w:val="right"/>
            </w:pPr>
            <w:r>
              <w:rPr>
                <w:sz w:val="17"/>
              </w:rPr>
              <w:t xml:space="preserve">-17.1%</w:t>
            </w:r>
          </w:p>
        </w:tc>
        <w:tc>
          <w:tcPr/>
          <w:p>
            <w:pPr>
              <w:pStyle w:val="Compact"/>
              <w:jc w:val="right"/>
            </w:pPr>
            <w:r>
              <w:rPr>
                <w:sz w:val="17"/>
              </w:rPr>
              <w:t xml:space="preserve">-914,221</w:t>
            </w:r>
          </w:p>
        </w:tc>
        <w:tc>
          <w:tcPr/>
          <w:p>
            <w:pPr>
              <w:pStyle w:val="Compact"/>
              <w:jc w:val="right"/>
            </w:pPr>
            <w:r>
              <w:rPr>
                <w:sz w:val="17"/>
              </w:rPr>
              <w:t xml:space="preserve">-22.6%</w:t>
            </w:r>
          </w:p>
        </w:tc>
        <w:tc>
          <w:tcPr/>
          <w:p>
            <w:pPr>
              <w:pStyle w:val="Compact"/>
              <w:jc w:val="right"/>
            </w:pPr>
            <w:r>
              <w:rPr>
                <w:sz w:val="17"/>
              </w:rPr>
              <w:t xml:space="preserve">-914,221</w:t>
            </w:r>
          </w:p>
        </w:tc>
      </w:tr>
      <w:tr>
        <w:tc>
          <w:tcPr/>
          <w:p>
            <w:pPr>
              <w:pStyle w:val="Compact"/>
              <w:jc w:val="left"/>
            </w:pPr>
            <w:r>
              <w:rPr>
                <w:sz w:val="17"/>
              </w:rPr>
              <w:t xml:space="preserve">New trades</w:t>
            </w:r>
          </w:p>
        </w:tc>
        <w:tc>
          <w:tcPr/>
          <w:p>
            <w:pPr>
              <w:pStyle w:val="Compact"/>
              <w:jc w:val="right"/>
            </w:pPr>
            <w:r>
              <w:rPr>
                <w:sz w:val="17"/>
              </w:rPr>
              <w:t xml:space="preserve">4,674,898</w:t>
            </w:r>
          </w:p>
        </w:tc>
        <w:tc>
          <w:tcPr/>
          <w:p>
            <w:pPr>
              <w:pStyle w:val="Compact"/>
              <w:jc w:val="right"/>
            </w:pPr>
            <w:r>
              <w:rPr>
                <w:sz w:val="17"/>
              </w:rPr>
              <w:t xml:space="preserve">115.7%</w:t>
            </w:r>
          </w:p>
        </w:tc>
        <w:tc>
          <w:tcPr/>
          <w:p>
            <w:pPr>
              <w:pStyle w:val="Compact"/>
              <w:jc w:val="right"/>
            </w:pPr>
            <w:r>
              <w:rPr>
                <w:sz w:val="17"/>
              </w:rPr>
              <w:t xml:space="preserve">4,964,959</w:t>
            </w:r>
          </w:p>
        </w:tc>
        <w:tc>
          <w:tcPr/>
          <w:p>
            <w:pPr>
              <w:pStyle w:val="Compact"/>
              <w:jc w:val="right"/>
            </w:pPr>
            <w:r>
              <w:rPr>
                <w:sz w:val="17"/>
              </w:rPr>
              <w:t xml:space="preserve">122.9%</w:t>
            </w:r>
          </w:p>
        </w:tc>
        <w:tc>
          <w:tcPr/>
          <w:p>
            <w:pPr>
              <w:pStyle w:val="Compact"/>
              <w:jc w:val="right"/>
            </w:pPr>
            <w:r>
              <w:rPr>
                <w:sz w:val="17"/>
              </w:rPr>
              <w:t xml:space="preserve">4,576,775</w:t>
            </w:r>
          </w:p>
        </w:tc>
      </w:tr>
      <w:tr>
        <w:tc>
          <w:tcPr/>
          <w:p>
            <w:pPr>
              <w:pStyle w:val="Compact"/>
              <w:jc w:val="left"/>
            </w:pPr>
            <w:r>
              <w:rPr>
                <w:sz w:val="17"/>
              </w:rPr>
              <w:t xml:space="preserve">Market move</w:t>
            </w:r>
          </w:p>
        </w:tc>
        <w:tc>
          <w:tcPr/>
          <w:p>
            <w:pPr>
              <w:pStyle w:val="Compact"/>
              <w:jc w:val="right"/>
            </w:pPr>
            <w:r>
              <w:rPr>
                <w:sz w:val="17"/>
              </w:rPr>
              <w:t xml:space="preserve">-146,711</w:t>
            </w:r>
          </w:p>
        </w:tc>
        <w:tc>
          <w:tcPr/>
          <w:p>
            <w:pPr>
              <w:pStyle w:val="Compact"/>
              <w:jc w:val="right"/>
            </w:pPr>
            <w:r>
              <w:rPr>
                <w:sz w:val="17"/>
              </w:rPr>
              <w:t xml:space="preserve">-3.6%</w:t>
            </w:r>
          </w:p>
        </w:tc>
        <w:tc>
          <w:tcPr/>
          <w:p>
            <w:pPr>
              <w:pStyle w:val="Compact"/>
              <w:jc w:val="right"/>
            </w:pPr>
            <w:r>
              <w:rPr>
                <w:sz w:val="17"/>
              </w:rPr>
              <w:t xml:space="preserve">-183,276</w:t>
            </w:r>
          </w:p>
        </w:tc>
        <w:tc>
          <w:tcPr/>
          <w:p>
            <w:pPr>
              <w:pStyle w:val="Compact"/>
              <w:jc w:val="right"/>
            </w:pPr>
            <w:r>
              <w:rPr>
                <w:sz w:val="17"/>
              </w:rPr>
              <w:t xml:space="preserve">-4.5%</w:t>
            </w:r>
          </w:p>
        </w:tc>
        <w:tc>
          <w:tcPr/>
          <w:p>
            <w:pPr>
              <w:pStyle w:val="Compact"/>
              <w:jc w:val="right"/>
            </w:pPr>
            <w:r>
              <w:rPr>
                <w:sz w:val="17"/>
              </w:rPr>
              <w:t xml:space="preserve">-127,877</w:t>
            </w:r>
          </w:p>
        </w:tc>
      </w:tr>
      <w:tr>
        <w:tc>
          <w:tcPr/>
          <w:p>
            <w:pPr>
              <w:pStyle w:val="Compact"/>
              <w:jc w:val="left"/>
            </w:pPr>
            <w:r>
              <w:rPr>
                <w:sz w:val="17"/>
              </w:rPr>
              <w:t xml:space="preserve">Parameter version</w:t>
            </w:r>
          </w:p>
        </w:tc>
        <w:tc>
          <w:tcPr/>
          <w:p>
            <w:pPr>
              <w:pStyle w:val="Compact"/>
              <w:jc w:val="right"/>
            </w:pPr>
            <w:r>
              <w:rPr>
                <w:sz w:val="17"/>
              </w:rPr>
              <w:t xml:space="preserve">203,811</w:t>
            </w:r>
          </w:p>
        </w:tc>
        <w:tc>
          <w:tcPr/>
          <w:p>
            <w:pPr>
              <w:pStyle w:val="Compact"/>
              <w:jc w:val="right"/>
            </w:pPr>
            <w:r>
              <w:rPr>
                <w:sz w:val="17"/>
              </w:rPr>
              <w:t xml:space="preserve">5.0%</w:t>
            </w:r>
          </w:p>
        </w:tc>
        <w:tc>
          <w:tcPr/>
          <w:p>
            <w:pPr>
              <w:pStyle w:val="Compact"/>
              <w:jc w:val="right"/>
            </w:pPr>
            <w:r>
              <w:rPr>
                <w:sz w:val="17"/>
              </w:rPr>
              <w:t xml:space="preserve">173,007</w:t>
            </w:r>
          </w:p>
        </w:tc>
        <w:tc>
          <w:tcPr/>
          <w:p>
            <w:pPr>
              <w:pStyle w:val="Compact"/>
              <w:jc w:val="right"/>
            </w:pPr>
            <w:r>
              <w:rPr>
                <w:sz w:val="17"/>
              </w:rPr>
              <w:t xml:space="preserve">4.3%</w:t>
            </w:r>
          </w:p>
        </w:tc>
        <w:tc>
          <w:tcPr/>
          <w:p>
            <w:pPr>
              <w:pStyle w:val="Compact"/>
              <w:jc w:val="right"/>
            </w:pPr>
            <w:r>
              <w:rPr>
                <w:sz w:val="17"/>
              </w:rPr>
              <w:t xml:space="preserve">231,658</w:t>
            </w:r>
          </w:p>
        </w:tc>
      </w:tr>
      <w:tr>
        <w:tc>
          <w:tcPr/>
          <w:p>
            <w:pPr>
              <w:pStyle w:val="Compact"/>
              <w:jc w:val="left"/>
            </w:pPr>
            <w:r>
              <w:rPr>
                <w:b/>
                <w:bCs/>
                <w:sz w:val="17"/>
              </w:rPr>
              <w:t xml:space="preserve">Sum of drivers</w:t>
            </w:r>
          </w:p>
        </w:tc>
        <w:tc>
          <w:tcPr/>
          <w:p>
            <w:pPr>
              <w:pStyle w:val="Compact"/>
              <w:jc w:val="right"/>
            </w:pPr>
            <w:r>
              <w:rPr>
                <w:b/>
                <w:bCs/>
                <w:sz w:val="17"/>
              </w:rPr>
              <w:t xml:space="preserve">4,040,470</w:t>
            </w:r>
          </w:p>
        </w:tc>
        <w:tc>
          <w:tcPr/>
          <w:p>
            <w:pPr>
              <w:pStyle w:val="Compact"/>
            </w:pPr>
          </w:p>
        </w:tc>
        <w:tc>
          <w:tcPr/>
          <w:p>
            <w:pPr>
              <w:pStyle w:val="Compact"/>
              <w:jc w:val="right"/>
            </w:pPr>
            <w:r>
              <w:rPr>
                <w:b/>
                <w:bCs/>
                <w:sz w:val="17"/>
              </w:rPr>
              <w:t xml:space="preserve">4,040,470</w:t>
            </w:r>
          </w:p>
        </w:tc>
        <w:tc>
          <w:tcPr/>
          <w:p>
            <w:pPr>
              <w:pStyle w:val="Compact"/>
            </w:pPr>
          </w:p>
        </w:tc>
        <w:tc>
          <w:tcPr/>
          <w:p>
            <w:pPr>
              <w:pStyle w:val="Compact"/>
              <w:jc w:val="right"/>
            </w:pPr>
            <w:r>
              <w:rPr>
                <w:b/>
                <w:bCs/>
                <w:sz w:val="17"/>
              </w:rPr>
              <w:t xml:space="preserve">3,766,335</w:t>
            </w:r>
          </w:p>
        </w:tc>
      </w:tr>
      <w:tr>
        <w:tc>
          <w:tcPr/>
          <w:p>
            <w:pPr>
              <w:pStyle w:val="Compact"/>
              <w:jc w:val="left"/>
            </w:pPr>
            <w:r>
              <w:rPr>
                <w:b/>
                <w:bCs/>
                <w:sz w:val="17"/>
              </w:rPr>
              <w:t xml:space="preserve">Total change in IM</w:t>
            </w:r>
          </w:p>
        </w:tc>
        <w:tc>
          <w:tcPr/>
          <w:p>
            <w:pPr>
              <w:pStyle w:val="Compact"/>
              <w:jc w:val="right"/>
            </w:pPr>
            <w:r>
              <w:rPr>
                <w:b/>
                <w:bCs/>
                <w:sz w:val="17"/>
              </w:rPr>
              <w:t xml:space="preserve">4,040,470</w:t>
            </w:r>
          </w:p>
        </w:tc>
        <w:tc>
          <w:tcPr/>
          <w:p>
            <w:pPr>
              <w:pStyle w:val="Compact"/>
            </w:pPr>
          </w:p>
        </w:tc>
        <w:tc>
          <w:tcPr/>
          <w:p>
            <w:pPr>
              <w:pStyle w:val="Compact"/>
              <w:jc w:val="right"/>
            </w:pPr>
            <w:r>
              <w:rPr>
                <w:b/>
                <w:bCs/>
                <w:sz w:val="17"/>
              </w:rPr>
              <w:t xml:space="preserve">4,040,470</w:t>
            </w:r>
          </w:p>
        </w:tc>
        <w:tc>
          <w:tcPr/>
          <w:p>
            <w:pPr>
              <w:pStyle w:val="Compact"/>
            </w:pPr>
          </w:p>
        </w:tc>
        <w:tc>
          <w:tcPr/>
          <w:p>
            <w:pPr>
              <w:pStyle w:val="Compact"/>
              <w:jc w:val="right"/>
            </w:pPr>
            <w:r>
              <w:rPr>
                <w:b/>
                <w:bCs/>
                <w:sz w:val="17"/>
              </w:rPr>
              <w:t xml:space="preserve">4,040,470</w:t>
            </w:r>
          </w:p>
        </w:tc>
      </w:tr>
      <w:tr>
        <w:tc>
          <w:tcPr/>
          <w:p>
            <w:pPr>
              <w:pStyle w:val="Compact"/>
              <w:jc w:val="left"/>
            </w:pPr>
            <w:r>
              <w:rPr>
                <w:sz w:val="17"/>
              </w:rPr>
              <w:t xml:space="preserve">Interaction residual</w:t>
            </w:r>
          </w:p>
        </w:tc>
        <w:tc>
          <w:tcPr/>
          <w:p>
            <w:pPr>
              <w:pStyle w:val="Compact"/>
              <w:jc w:val="right"/>
            </w:pPr>
            <w:r>
              <w:rPr>
                <w:sz w:val="17"/>
              </w:rPr>
              <w:t xml:space="preserve">0</w:t>
            </w:r>
          </w:p>
        </w:tc>
        <w:tc>
          <w:tcPr/>
          <w:p>
            <w:pPr>
              <w:pStyle w:val="Compact"/>
            </w:pPr>
          </w:p>
        </w:tc>
        <w:tc>
          <w:tcPr/>
          <w:p>
            <w:pPr>
              <w:pStyle w:val="Compact"/>
              <w:jc w:val="right"/>
            </w:pPr>
            <w:r>
              <w:rPr>
                <w:sz w:val="17"/>
              </w:rPr>
              <w:t xml:space="preserve">0</w:t>
            </w:r>
          </w:p>
        </w:tc>
        <w:tc>
          <w:tcPr/>
          <w:p>
            <w:pPr>
              <w:pStyle w:val="Compact"/>
            </w:pPr>
          </w:p>
        </w:tc>
        <w:tc>
          <w:tcPr/>
          <w:p>
            <w:pPr>
              <w:pStyle w:val="Compact"/>
              <w:jc w:val="right"/>
            </w:pPr>
            <w:r>
              <w:rPr>
                <w:sz w:val="17"/>
              </w:rPr>
              <w:t xml:space="preserve">274,134</w:t>
            </w:r>
          </w:p>
        </w:tc>
      </w:tr>
    </w:tbl>
    <w:p>
      <w:pPr>
        <w:pStyle w:val="CaptionedFigure"/>
      </w:pPr>
      <w:r>
        <w:drawing>
          <wp:inline>
            <wp:extent cx="5334000" cy="3000375"/>
            <wp:effectExtent b="0" l="0" r="0" t="0"/>
            <wp:docPr descr="Shapley waterfall of the change in IM." title="" id="105" name="Picture"/>
            <a:graphic>
              <a:graphicData uri="http://schemas.openxmlformats.org/drawingml/2006/picture">
                <pic:pic>
                  <pic:nvPicPr>
                    <pic:cNvPr descr="../python/outputs/charts/attribution_waterfall.png" id="106" name="Picture"/>
                    <pic:cNvPicPr>
                      <a:picLocks noChangeArrowheads="1" noChangeAspect="1"/>
                    </pic:cNvPicPr>
                  </pic:nvPicPr>
                  <pic:blipFill>
                    <a:blip r:embed="rId10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Shapley waterfall of the change in IM.</w:t>
      </w:r>
    </w:p>
    <w:p>
      <w:pPr>
        <w:pStyle w:val="BodyText"/>
      </w:pPr>
      <w:r>
        <w:t xml:space="preserve">The new trade explains USD 4,674,898 (115.7% of the change); maturities change IM by USD -691,528; the market move changes IM by USD -146,711 (the bridge below splits it into rates, FX and volatility effects of opposite signs); and the parameter change adds USD 203,811. The three methods agree on the ranking but differ in size by up to a few hundred thousand USD, the signature of interactions. The one-at-a-time total misses USD 274,134 (6.8% of the change). Shapley and the bridge have zero residual by construction.</w:t>
      </w:r>
    </w:p>
    <w:p>
      <w:pPr>
        <w:pStyle w:val="TableCaption"/>
      </w:pPr>
      <w:r>
        <w:t xml:space="preserve">The bridge splits the market step into rates, FX and volatility. A large positive vol effect offset by negative rates and FX effects nets to a small total.</w:t>
      </w:r>
    </w:p>
    <w:tbl>
      <w:tblPr>
        <w:tblStyle w:val="Table"/>
        <w:tblW w:type="auto" w:w="0"/>
        <w:tblLook w:firstRow="1" w:lastRow="0" w:firstColumn="0" w:lastColumn="0" w:noHBand="0" w:noVBand="0" w:val="0020"/>
        <w:tblCaption w:val="The bridge splits the market step into rates, FX and volatility. A large positive vol effect offset by negative rates and FX effects nets to a small total."/>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Market sub-step (bridge)</w:t>
            </w:r>
          </w:p>
        </w:tc>
        <w:tc>
          <w:tcPr/>
          <w:p>
            <w:pPr>
              <w:pStyle w:val="Compact"/>
              <w:jc w:val="right"/>
            </w:pPr>
            <w:r>
              <w:rPr>
                <w:sz w:val="17"/>
              </w:rPr>
              <w:t xml:space="preserve">Impact (USD)</w:t>
            </w:r>
          </w:p>
        </w:tc>
        <w:tc>
          <w:tcPr/>
          <w:p>
            <w:pPr>
              <w:pStyle w:val="Compact"/>
              <w:jc w:val="right"/>
            </w:pPr>
            <w:r>
              <w:rPr>
                <w:sz w:val="17"/>
              </w:rPr>
              <w:t xml:space="preserve">Share of total change</w:t>
            </w:r>
          </w:p>
        </w:tc>
      </w:tr>
      <w:tr>
        <w:tc>
          <w:tcPr/>
          <w:p>
            <w:pPr>
              <w:pStyle w:val="Compact"/>
              <w:jc w:val="left"/>
            </w:pPr>
            <w:r>
              <w:rPr>
                <w:sz w:val="17"/>
              </w:rPr>
              <w:t xml:space="preserve">Rates (curves and basis)</w:t>
            </w:r>
          </w:p>
        </w:tc>
        <w:tc>
          <w:tcPr/>
          <w:p>
            <w:pPr>
              <w:pStyle w:val="Compact"/>
              <w:jc w:val="right"/>
            </w:pPr>
            <w:r>
              <w:rPr>
                <w:sz w:val="17"/>
              </w:rPr>
              <w:t xml:space="preserve">-498,794</w:t>
            </w:r>
          </w:p>
        </w:tc>
        <w:tc>
          <w:tcPr/>
          <w:p>
            <w:pPr>
              <w:pStyle w:val="Compact"/>
              <w:jc w:val="right"/>
            </w:pPr>
            <w:r>
              <w:rPr>
                <w:sz w:val="17"/>
              </w:rPr>
              <w:t xml:space="preserve">-12.3%</w:t>
            </w:r>
          </w:p>
        </w:tc>
      </w:tr>
      <w:tr>
        <w:tc>
          <w:tcPr/>
          <w:p>
            <w:pPr>
              <w:pStyle w:val="Compact"/>
              <w:jc w:val="left"/>
            </w:pPr>
            <w:r>
              <w:rPr>
                <w:sz w:val="17"/>
              </w:rPr>
              <w:t xml:space="preserve">FX spot</w:t>
            </w:r>
          </w:p>
        </w:tc>
        <w:tc>
          <w:tcPr/>
          <w:p>
            <w:pPr>
              <w:pStyle w:val="Compact"/>
              <w:jc w:val="right"/>
            </w:pPr>
            <w:r>
              <w:rPr>
                <w:sz w:val="17"/>
              </w:rPr>
              <w:t xml:space="preserve">-95,145</w:t>
            </w:r>
          </w:p>
        </w:tc>
        <w:tc>
          <w:tcPr/>
          <w:p>
            <w:pPr>
              <w:pStyle w:val="Compact"/>
              <w:jc w:val="right"/>
            </w:pPr>
            <w:r>
              <w:rPr>
                <w:sz w:val="17"/>
              </w:rPr>
              <w:t xml:space="preserve">-2.4%</w:t>
            </w:r>
          </w:p>
        </w:tc>
      </w:tr>
      <w:tr>
        <w:tc>
          <w:tcPr/>
          <w:p>
            <w:pPr>
              <w:pStyle w:val="Compact"/>
              <w:jc w:val="left"/>
            </w:pPr>
            <w:r>
              <w:rPr>
                <w:sz w:val="17"/>
              </w:rPr>
              <w:t xml:space="preserve">Volatilities</w:t>
            </w:r>
          </w:p>
        </w:tc>
        <w:tc>
          <w:tcPr/>
          <w:p>
            <w:pPr>
              <w:pStyle w:val="Compact"/>
              <w:jc w:val="right"/>
            </w:pPr>
            <w:r>
              <w:rPr>
                <w:sz w:val="17"/>
              </w:rPr>
              <w:t xml:space="preserve">410,663</w:t>
            </w:r>
          </w:p>
        </w:tc>
        <w:tc>
          <w:tcPr/>
          <w:p>
            <w:pPr>
              <w:pStyle w:val="Compact"/>
              <w:jc w:val="right"/>
            </w:pPr>
            <w:r>
              <w:rPr>
                <w:sz w:val="17"/>
              </w:rPr>
              <w:t xml:space="preserve">10.2%</w:t>
            </w:r>
          </w:p>
        </w:tc>
      </w:tr>
    </w:tbl>
    <w:bookmarkEnd w:id="107"/>
    <w:bookmarkStart w:id="108" w:name="a-shapley-calculation-by-hand"/>
    <w:p>
      <w:pPr>
        <w:pStyle w:val="Heading2"/>
      </w:pPr>
      <w:r>
        <w:rPr>
          <w:rStyle w:val="SectionNumber"/>
        </w:rPr>
        <w:t xml:space="preserve">12.4</w:t>
      </w:r>
      <w:r>
        <w:tab/>
      </w:r>
      <w:r>
        <w:t xml:space="preserve">A Shapley calculation by hand</w:t>
      </w:r>
    </w:p>
    <w:p>
      <w:pPr>
        <w:pStyle w:val="FirstParagraph"/>
      </w:pPr>
      <w:r>
        <w:t xml:space="preserve">The 16 subset IMs are in the output file</w:t>
      </w:r>
      <w:r>
        <w:t xml:space="preserve"> </w:t>
      </w:r>
      <w:r>
        <w:rPr>
          <w:rStyle w:val="VerbatimChar"/>
        </w:rPr>
        <w:t xml:space="preserve">attribution_subset_ims.csv</w:t>
      </w:r>
      <w:r>
        <w:t xml:space="preserve">. The Shapley value of the new trade needs the eight pairs of subsets that differ only in whether the new trade is included. With</w:t>
      </w:r>
      <w:r>
        <w:t xml:space="preserve"> </w:t>
      </w:r>
      <m:oMath>
        <m:r>
          <m:t>n</m:t>
        </m:r>
        <m:r>
          <m:rPr>
            <m:sty m:val="p"/>
          </m:rPr>
          <m:t>=</m:t>
        </m:r>
        <m:r>
          <m:t>4</m:t>
        </m:r>
      </m:oMath>
      <w:r>
        <w:t xml:space="preserve"> </w:t>
      </w:r>
      <w:r>
        <w:t xml:space="preserve">drivers the weights are</w:t>
      </w:r>
      <w:r>
        <w:t xml:space="preserve"> </w:t>
      </w:r>
      <m:oMath>
        <m:r>
          <m:t>0</m:t>
        </m:r>
        <m:r>
          <m:rPr>
            <m:sty m:val="p"/>
          </m:rPr>
          <m:t>!</m:t>
        </m:r>
        <m:r>
          <m:t> </m:t>
        </m:r>
        <m:r>
          <m:t>3</m:t>
        </m:r>
        <m:r>
          <m:rPr>
            <m:sty m:val="p"/>
          </m:rPr>
          <m:t>!</m:t>
        </m:r>
        <m:r>
          <m:rPr>
            <m:sty m:val="p"/>
          </m:rPr>
          <m:t>/</m:t>
        </m:r>
        <m:r>
          <m:t>4</m:t>
        </m:r>
        <m:r>
          <m:rPr>
            <m:sty m:val="p"/>
          </m:rPr>
          <m:t>!</m:t>
        </m:r>
        <m:r>
          <m:rPr>
            <m:sty m:val="p"/>
          </m:rPr>
          <m:t>=</m:t>
        </m:r>
        <m:r>
          <m:t>0.25</m:t>
        </m:r>
      </m:oMath>
      <w:r>
        <w:t xml:space="preserve"> </w:t>
      </w:r>
      <w:r>
        <w:t xml:space="preserve">for no other driver switched,</w:t>
      </w:r>
      <w:r>
        <w:t xml:space="preserve"> </w:t>
      </w:r>
      <m:oMath>
        <m:r>
          <m:t>1</m:t>
        </m:r>
        <m:r>
          <m:rPr>
            <m:sty m:val="p"/>
          </m:rPr>
          <m:t>!</m:t>
        </m:r>
        <m:r>
          <m:t> </m:t>
        </m:r>
        <m:r>
          <m:t>2</m:t>
        </m:r>
        <m:r>
          <m:rPr>
            <m:sty m:val="p"/>
          </m:rPr>
          <m:t>!</m:t>
        </m:r>
        <m:r>
          <m:rPr>
            <m:sty m:val="p"/>
          </m:rPr>
          <m:t>/</m:t>
        </m:r>
        <m:r>
          <m:t>4</m:t>
        </m:r>
        <m:r>
          <m:rPr>
            <m:sty m:val="p"/>
          </m:rPr>
          <m:t>!</m:t>
        </m:r>
        <m:r>
          <m:rPr>
            <m:sty m:val="p"/>
          </m:rPr>
          <m:t>=</m:t>
        </m:r>
        <m:r>
          <m:t>1</m:t>
        </m:r>
        <m:r>
          <m:rPr>
            <m:sty m:val="p"/>
          </m:rPr>
          <m:t>/</m:t>
        </m:r>
        <m:r>
          <m:t>12</m:t>
        </m:r>
      </m:oMath>
      <w:r>
        <w:t xml:space="preserve"> </w:t>
      </w:r>
      <w:r>
        <w:t xml:space="preserve">for one,</w:t>
      </w:r>
      <w:r>
        <w:t xml:space="preserve"> </w:t>
      </w:r>
      <m:oMath>
        <m:r>
          <m:t>2</m:t>
        </m:r>
        <m:r>
          <m:rPr>
            <m:sty m:val="p"/>
          </m:rPr>
          <m:t>!</m:t>
        </m:r>
        <m:r>
          <m:t> </m:t>
        </m:r>
        <m:r>
          <m:t>1</m:t>
        </m:r>
        <m:r>
          <m:rPr>
            <m:sty m:val="p"/>
          </m:rPr>
          <m:t>!</m:t>
        </m:r>
        <m:r>
          <m:rPr>
            <m:sty m:val="p"/>
          </m:rPr>
          <m:t>/</m:t>
        </m:r>
        <m:r>
          <m:t>4</m:t>
        </m:r>
        <m:r>
          <m:rPr>
            <m:sty m:val="p"/>
          </m:rPr>
          <m:t>!</m:t>
        </m:r>
        <m:r>
          <m:rPr>
            <m:sty m:val="p"/>
          </m:rPr>
          <m:t>=</m:t>
        </m:r>
        <m:r>
          <m:t>1</m:t>
        </m:r>
        <m:r>
          <m:rPr>
            <m:sty m:val="p"/>
          </m:rPr>
          <m:t>/</m:t>
        </m:r>
        <m:r>
          <m:t>12</m:t>
        </m:r>
      </m:oMath>
      <w:r>
        <w:t xml:space="preserve"> </w:t>
      </w:r>
      <w:r>
        <w:t xml:space="preserve">for two and</w:t>
      </w:r>
      <w:r>
        <w:t xml:space="preserve"> </w:t>
      </w:r>
      <m:oMath>
        <m:r>
          <m:t>3</m:t>
        </m:r>
        <m:r>
          <m:rPr>
            <m:sty m:val="p"/>
          </m:rPr>
          <m:t>!</m:t>
        </m:r>
        <m:r>
          <m:t> </m:t>
        </m:r>
        <m:r>
          <m:t>0</m:t>
        </m:r>
        <m:r>
          <m:rPr>
            <m:sty m:val="p"/>
          </m:rPr>
          <m:t>!</m:t>
        </m:r>
        <m:r>
          <m:rPr>
            <m:sty m:val="p"/>
          </m:rPr>
          <m:t>/</m:t>
        </m:r>
        <m:r>
          <m:t>4</m:t>
        </m:r>
        <m:r>
          <m:rPr>
            <m:sty m:val="p"/>
          </m:rPr>
          <m:t>!</m:t>
        </m:r>
        <m:r>
          <m:rPr>
            <m:sty m:val="p"/>
          </m:rPr>
          <m:t>=</m:t>
        </m:r>
        <m:r>
          <m:t>0.25</m:t>
        </m:r>
      </m:oMath>
      <w:r>
        <w:t xml:space="preserve"> </w:t>
      </w:r>
      <w:r>
        <w:t xml:space="preserve">for all three.</w:t>
      </w:r>
    </w:p>
    <w:p>
      <w:pPr>
        <w:pStyle w:val="TableCaption"/>
      </w:pPr>
      <w:r>
        <w:t xml:space="preserve">Shapley value of the new trades: the eight marginal effects with their weights. The weights sum to one and the weighted sum equals the Shapley value in the table above (USD 4,674,898).</w:t>
      </w:r>
    </w:p>
    <w:tbl>
      <w:tblPr>
        <w:tblStyle w:val="Table"/>
        <w:tblW w:type="pct" w:w="5000"/>
        <w:tblLayout w:type="fixed"/>
        <w:tblLook w:firstRow="1" w:lastRow="0" w:firstColumn="0" w:lastColumn="0" w:noHBand="0" w:noVBand="0" w:val="0020"/>
        <w:tblCaption w:val="Shapley value of the new trades: the eight marginal effects with their weights. The weights sum to one and the weighted sum equals the Shapley value in the table above (USD 4,674,898)."/>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Other drivers already switched</w:t>
            </w:r>
          </w:p>
        </w:tc>
        <w:tc>
          <w:tcPr/>
          <w:p>
            <w:pPr>
              <w:pStyle w:val="Compact"/>
              <w:jc w:val="right"/>
            </w:pPr>
            <w:r>
              <w:rPr>
                <w:sz w:val="17"/>
              </w:rPr>
              <w:t xml:space="preserve">IM without new trades (USD)</w:t>
            </w:r>
          </w:p>
        </w:tc>
        <w:tc>
          <w:tcPr/>
          <w:p>
            <w:pPr>
              <w:pStyle w:val="Compact"/>
              <w:jc w:val="right"/>
            </w:pPr>
            <w:r>
              <w:rPr>
                <w:sz w:val="17"/>
              </w:rPr>
              <w:t xml:space="preserve">IM with new trades (USD)</w:t>
            </w:r>
          </w:p>
        </w:tc>
        <w:tc>
          <w:tcPr/>
          <w:p>
            <w:pPr>
              <w:pStyle w:val="Compact"/>
              <w:jc w:val="right"/>
            </w:pPr>
            <w:r>
              <w:rPr>
                <w:sz w:val="17"/>
              </w:rPr>
              <w:t xml:space="preserve">Marginal effect (USD)</w:t>
            </w:r>
          </w:p>
        </w:tc>
        <w:tc>
          <w:tcPr/>
          <w:p>
            <w:pPr>
              <w:pStyle w:val="Compact"/>
              <w:jc w:val="right"/>
            </w:pPr>
            <w:r>
              <w:rPr>
                <w:sz w:val="17"/>
              </w:rPr>
              <w:t xml:space="preserve">Weight</w:t>
            </w:r>
          </w:p>
        </w:tc>
        <w:tc>
          <w:tcPr/>
          <w:p>
            <w:pPr>
              <w:pStyle w:val="Compact"/>
              <w:jc w:val="right"/>
            </w:pPr>
            <w:r>
              <w:rPr>
                <w:sz w:val="17"/>
              </w:rPr>
              <w:t xml:space="preserve">Weighted (USD)</w:t>
            </w:r>
          </w:p>
        </w:tc>
      </w:tr>
      <w:tr>
        <w:tc>
          <w:tcPr/>
          <w:p>
            <w:pPr>
              <w:pStyle w:val="Compact"/>
              <w:jc w:val="left"/>
            </w:pPr>
            <w:r>
              <w:rPr>
                <w:sz w:val="17"/>
              </w:rPr>
              <w:t xml:space="preserve">none</w:t>
            </w:r>
          </w:p>
        </w:tc>
        <w:tc>
          <w:tcPr/>
          <w:p>
            <w:pPr>
              <w:pStyle w:val="Compact"/>
              <w:jc w:val="right"/>
            </w:pPr>
            <w:r>
              <w:rPr>
                <w:sz w:val="17"/>
              </w:rPr>
              <w:t xml:space="preserve">4,970,798</w:t>
            </w:r>
          </w:p>
        </w:tc>
        <w:tc>
          <w:tcPr/>
          <w:p>
            <w:pPr>
              <w:pStyle w:val="Compact"/>
              <w:jc w:val="right"/>
            </w:pPr>
            <w:r>
              <w:rPr>
                <w:sz w:val="17"/>
              </w:rPr>
              <w:t xml:space="preserve">9,547,573</w:t>
            </w:r>
          </w:p>
        </w:tc>
        <w:tc>
          <w:tcPr/>
          <w:p>
            <w:pPr>
              <w:pStyle w:val="Compact"/>
              <w:jc w:val="right"/>
            </w:pPr>
            <w:r>
              <w:rPr>
                <w:sz w:val="17"/>
              </w:rPr>
              <w:t xml:space="preserve">4,576,775</w:t>
            </w:r>
          </w:p>
        </w:tc>
        <w:tc>
          <w:tcPr/>
          <w:p>
            <w:pPr>
              <w:pStyle w:val="Compact"/>
              <w:jc w:val="right"/>
            </w:pPr>
            <w:r>
              <w:rPr>
                <w:sz w:val="17"/>
              </w:rPr>
              <w:t xml:space="preserve">0.2500</w:t>
            </w:r>
          </w:p>
        </w:tc>
        <w:tc>
          <w:tcPr/>
          <w:p>
            <w:pPr>
              <w:pStyle w:val="Compact"/>
              <w:jc w:val="right"/>
            </w:pPr>
            <w:r>
              <w:rPr>
                <w:sz w:val="17"/>
              </w:rPr>
              <w:t xml:space="preserve">1,144,194</w:t>
            </w:r>
          </w:p>
        </w:tc>
      </w:tr>
      <w:tr>
        <w:tc>
          <w:tcPr/>
          <w:p>
            <w:pPr>
              <w:pStyle w:val="Compact"/>
              <w:jc w:val="left"/>
            </w:pPr>
            <w:r>
              <w:rPr>
                <w:sz w:val="17"/>
              </w:rPr>
              <w:t xml:space="preserve">matured</w:t>
            </w:r>
          </w:p>
        </w:tc>
        <w:tc>
          <w:tcPr/>
          <w:p>
            <w:pPr>
              <w:pStyle w:val="Compact"/>
              <w:jc w:val="right"/>
            </w:pPr>
            <w:r>
              <w:rPr>
                <w:sz w:val="17"/>
              </w:rPr>
              <w:t xml:space="preserve">4,056,577</w:t>
            </w:r>
          </w:p>
        </w:tc>
        <w:tc>
          <w:tcPr/>
          <w:p>
            <w:pPr>
              <w:pStyle w:val="Compact"/>
              <w:jc w:val="right"/>
            </w:pPr>
            <w:r>
              <w:rPr>
                <w:sz w:val="17"/>
              </w:rPr>
              <w:t xml:space="preserve">9,021,536</w:t>
            </w:r>
          </w:p>
        </w:tc>
        <w:tc>
          <w:tcPr/>
          <w:p>
            <w:pPr>
              <w:pStyle w:val="Compact"/>
              <w:jc w:val="right"/>
            </w:pPr>
            <w:r>
              <w:rPr>
                <w:sz w:val="17"/>
              </w:rPr>
              <w:t xml:space="preserve">4,964,959</w:t>
            </w:r>
          </w:p>
        </w:tc>
        <w:tc>
          <w:tcPr/>
          <w:p>
            <w:pPr>
              <w:pStyle w:val="Compact"/>
              <w:jc w:val="right"/>
            </w:pPr>
            <w:r>
              <w:rPr>
                <w:sz w:val="17"/>
              </w:rPr>
              <w:t xml:space="preserve">0.0833</w:t>
            </w:r>
          </w:p>
        </w:tc>
        <w:tc>
          <w:tcPr/>
          <w:p>
            <w:pPr>
              <w:pStyle w:val="Compact"/>
              <w:jc w:val="right"/>
            </w:pPr>
            <w:r>
              <w:rPr>
                <w:sz w:val="17"/>
              </w:rPr>
              <w:t xml:space="preserve">413,747</w:t>
            </w:r>
          </w:p>
        </w:tc>
      </w:tr>
      <w:tr>
        <w:tc>
          <w:tcPr/>
          <w:p>
            <w:pPr>
              <w:pStyle w:val="Compact"/>
              <w:jc w:val="left"/>
            </w:pPr>
            <w:r>
              <w:rPr>
                <w:sz w:val="17"/>
              </w:rPr>
              <w:t xml:space="preserve">market</w:t>
            </w:r>
          </w:p>
        </w:tc>
        <w:tc>
          <w:tcPr/>
          <w:p>
            <w:pPr>
              <w:pStyle w:val="Compact"/>
              <w:jc w:val="right"/>
            </w:pPr>
            <w:r>
              <w:rPr>
                <w:sz w:val="17"/>
              </w:rPr>
              <w:t xml:space="preserve">4,842,921</w:t>
            </w:r>
          </w:p>
        </w:tc>
        <w:tc>
          <w:tcPr/>
          <w:p>
            <w:pPr>
              <w:pStyle w:val="Compact"/>
              <w:jc w:val="right"/>
            </w:pPr>
            <w:r>
              <w:rPr>
                <w:sz w:val="17"/>
              </w:rPr>
              <w:t xml:space="preserve">9,273,759</w:t>
            </w:r>
          </w:p>
        </w:tc>
        <w:tc>
          <w:tcPr/>
          <w:p>
            <w:pPr>
              <w:pStyle w:val="Compact"/>
              <w:jc w:val="right"/>
            </w:pPr>
            <w:r>
              <w:rPr>
                <w:sz w:val="17"/>
              </w:rPr>
              <w:t xml:space="preserve">4,430,838</w:t>
            </w:r>
          </w:p>
        </w:tc>
        <w:tc>
          <w:tcPr/>
          <w:p>
            <w:pPr>
              <w:pStyle w:val="Compact"/>
              <w:jc w:val="right"/>
            </w:pPr>
            <w:r>
              <w:rPr>
                <w:sz w:val="17"/>
              </w:rPr>
              <w:t xml:space="preserve">0.0833</w:t>
            </w:r>
          </w:p>
        </w:tc>
        <w:tc>
          <w:tcPr/>
          <w:p>
            <w:pPr>
              <w:pStyle w:val="Compact"/>
              <w:jc w:val="right"/>
            </w:pPr>
            <w:r>
              <w:rPr>
                <w:sz w:val="17"/>
              </w:rPr>
              <w:t xml:space="preserve">369,237</w:t>
            </w:r>
          </w:p>
        </w:tc>
      </w:tr>
      <w:tr>
        <w:tc>
          <w:tcPr/>
          <w:p>
            <w:pPr>
              <w:pStyle w:val="Compact"/>
              <w:jc w:val="left"/>
            </w:pPr>
            <w:r>
              <w:rPr>
                <w:sz w:val="17"/>
              </w:rPr>
              <w:t xml:space="preserve">matured + market</w:t>
            </w:r>
          </w:p>
        </w:tc>
        <w:tc>
          <w:tcPr/>
          <w:p>
            <w:pPr>
              <w:pStyle w:val="Compact"/>
              <w:jc w:val="right"/>
            </w:pPr>
            <w:r>
              <w:rPr>
                <w:sz w:val="17"/>
              </w:rPr>
              <w:t xml:space="preserve">4,101,151</w:t>
            </w:r>
          </w:p>
        </w:tc>
        <w:tc>
          <w:tcPr/>
          <w:p>
            <w:pPr>
              <w:pStyle w:val="Compact"/>
              <w:jc w:val="right"/>
            </w:pPr>
            <w:r>
              <w:rPr>
                <w:sz w:val="17"/>
              </w:rPr>
              <w:t xml:space="preserve">8,838,260</w:t>
            </w:r>
          </w:p>
        </w:tc>
        <w:tc>
          <w:tcPr/>
          <w:p>
            <w:pPr>
              <w:pStyle w:val="Compact"/>
              <w:jc w:val="right"/>
            </w:pPr>
            <w:r>
              <w:rPr>
                <w:sz w:val="17"/>
              </w:rPr>
              <w:t xml:space="preserve">4,737,109</w:t>
            </w:r>
          </w:p>
        </w:tc>
        <w:tc>
          <w:tcPr/>
          <w:p>
            <w:pPr>
              <w:pStyle w:val="Compact"/>
              <w:jc w:val="right"/>
            </w:pPr>
            <w:r>
              <w:rPr>
                <w:sz w:val="17"/>
              </w:rPr>
              <w:t xml:space="preserve">0.0833</w:t>
            </w:r>
          </w:p>
        </w:tc>
        <w:tc>
          <w:tcPr/>
          <w:p>
            <w:pPr>
              <w:pStyle w:val="Compact"/>
              <w:jc w:val="right"/>
            </w:pPr>
            <w:r>
              <w:rPr>
                <w:sz w:val="17"/>
              </w:rPr>
              <w:t xml:space="preserve">394,759</w:t>
            </w:r>
          </w:p>
        </w:tc>
      </w:tr>
      <w:tr>
        <w:tc>
          <w:tcPr/>
          <w:p>
            <w:pPr>
              <w:pStyle w:val="Compact"/>
              <w:jc w:val="left"/>
            </w:pPr>
            <w:r>
              <w:rPr>
                <w:sz w:val="17"/>
              </w:rPr>
              <w:t xml:space="preserve">version</w:t>
            </w:r>
          </w:p>
        </w:tc>
        <w:tc>
          <w:tcPr/>
          <w:p>
            <w:pPr>
              <w:pStyle w:val="Compact"/>
              <w:jc w:val="right"/>
            </w:pPr>
            <w:r>
              <w:rPr>
                <w:sz w:val="17"/>
              </w:rPr>
              <w:t xml:space="preserve">5,202,455</w:t>
            </w:r>
          </w:p>
        </w:tc>
        <w:tc>
          <w:tcPr/>
          <w:p>
            <w:pPr>
              <w:pStyle w:val="Compact"/>
              <w:jc w:val="right"/>
            </w:pPr>
            <w:r>
              <w:rPr>
                <w:sz w:val="17"/>
              </w:rPr>
              <w:t xml:space="preserve">9,801,243</w:t>
            </w:r>
          </w:p>
        </w:tc>
        <w:tc>
          <w:tcPr/>
          <w:p>
            <w:pPr>
              <w:pStyle w:val="Compact"/>
              <w:jc w:val="right"/>
            </w:pPr>
            <w:r>
              <w:rPr>
                <w:sz w:val="17"/>
              </w:rPr>
              <w:t xml:space="preserve">4,598,787</w:t>
            </w:r>
          </w:p>
        </w:tc>
        <w:tc>
          <w:tcPr/>
          <w:p>
            <w:pPr>
              <w:pStyle w:val="Compact"/>
              <w:jc w:val="right"/>
            </w:pPr>
            <w:r>
              <w:rPr>
                <w:sz w:val="17"/>
              </w:rPr>
              <w:t xml:space="preserve">0.0833</w:t>
            </w:r>
          </w:p>
        </w:tc>
        <w:tc>
          <w:tcPr/>
          <w:p>
            <w:pPr>
              <w:pStyle w:val="Compact"/>
              <w:jc w:val="right"/>
            </w:pPr>
            <w:r>
              <w:rPr>
                <w:sz w:val="17"/>
              </w:rPr>
              <w:t xml:space="preserve">383,232</w:t>
            </w:r>
          </w:p>
        </w:tc>
      </w:tr>
      <w:tr>
        <w:tc>
          <w:tcPr/>
          <w:p>
            <w:pPr>
              <w:pStyle w:val="Compact"/>
              <w:jc w:val="left"/>
            </w:pPr>
            <w:r>
              <w:rPr>
                <w:sz w:val="17"/>
              </w:rPr>
              <w:t xml:space="preserve">matured + version</w:t>
            </w:r>
          </w:p>
        </w:tc>
        <w:tc>
          <w:tcPr/>
          <w:p>
            <w:pPr>
              <w:pStyle w:val="Compact"/>
              <w:jc w:val="right"/>
            </w:pPr>
            <w:r>
              <w:rPr>
                <w:sz w:val="17"/>
              </w:rPr>
              <w:t xml:space="preserve">4,230,987</w:t>
            </w:r>
          </w:p>
        </w:tc>
        <w:tc>
          <w:tcPr/>
          <w:p>
            <w:pPr>
              <w:pStyle w:val="Compact"/>
              <w:jc w:val="right"/>
            </w:pPr>
            <w:r>
              <w:rPr>
                <w:sz w:val="17"/>
              </w:rPr>
              <w:t xml:space="preserve">9,201,631</w:t>
            </w:r>
          </w:p>
        </w:tc>
        <w:tc>
          <w:tcPr/>
          <w:p>
            <w:pPr>
              <w:pStyle w:val="Compact"/>
              <w:jc w:val="right"/>
            </w:pPr>
            <w:r>
              <w:rPr>
                <w:sz w:val="17"/>
              </w:rPr>
              <w:t xml:space="preserve">4,970,644</w:t>
            </w:r>
          </w:p>
        </w:tc>
        <w:tc>
          <w:tcPr/>
          <w:p>
            <w:pPr>
              <w:pStyle w:val="Compact"/>
              <w:jc w:val="right"/>
            </w:pPr>
            <w:r>
              <w:rPr>
                <w:sz w:val="17"/>
              </w:rPr>
              <w:t xml:space="preserve">0.0833</w:t>
            </w:r>
          </w:p>
        </w:tc>
        <w:tc>
          <w:tcPr/>
          <w:p>
            <w:pPr>
              <w:pStyle w:val="Compact"/>
              <w:jc w:val="right"/>
            </w:pPr>
            <w:r>
              <w:rPr>
                <w:sz w:val="17"/>
              </w:rPr>
              <w:t xml:space="preserve">414,220</w:t>
            </w:r>
          </w:p>
        </w:tc>
      </w:tr>
      <w:tr>
        <w:tc>
          <w:tcPr/>
          <w:p>
            <w:pPr>
              <w:pStyle w:val="Compact"/>
              <w:jc w:val="left"/>
            </w:pPr>
            <w:r>
              <w:rPr>
                <w:sz w:val="17"/>
              </w:rPr>
              <w:t xml:space="preserve">market + version</w:t>
            </w:r>
          </w:p>
        </w:tc>
        <w:tc>
          <w:tcPr/>
          <w:p>
            <w:pPr>
              <w:pStyle w:val="Compact"/>
              <w:jc w:val="right"/>
            </w:pPr>
            <w:r>
              <w:rPr>
                <w:sz w:val="17"/>
              </w:rPr>
              <w:t xml:space="preserve">5,061,974</w:t>
            </w:r>
          </w:p>
        </w:tc>
        <w:tc>
          <w:tcPr/>
          <w:p>
            <w:pPr>
              <w:pStyle w:val="Compact"/>
              <w:jc w:val="right"/>
            </w:pPr>
            <w:r>
              <w:rPr>
                <w:sz w:val="17"/>
              </w:rPr>
              <w:t xml:space="preserve">9,508,134</w:t>
            </w:r>
          </w:p>
        </w:tc>
        <w:tc>
          <w:tcPr/>
          <w:p>
            <w:pPr>
              <w:pStyle w:val="Compact"/>
              <w:jc w:val="right"/>
            </w:pPr>
            <w:r>
              <w:rPr>
                <w:sz w:val="17"/>
              </w:rPr>
              <w:t xml:space="preserve">4,446,160</w:t>
            </w:r>
          </w:p>
        </w:tc>
        <w:tc>
          <w:tcPr/>
          <w:p>
            <w:pPr>
              <w:pStyle w:val="Compact"/>
              <w:jc w:val="right"/>
            </w:pPr>
            <w:r>
              <w:rPr>
                <w:sz w:val="17"/>
              </w:rPr>
              <w:t xml:space="preserve">0.0833</w:t>
            </w:r>
          </w:p>
        </w:tc>
        <w:tc>
          <w:tcPr/>
          <w:p>
            <w:pPr>
              <w:pStyle w:val="Compact"/>
              <w:jc w:val="right"/>
            </w:pPr>
            <w:r>
              <w:rPr>
                <w:sz w:val="17"/>
              </w:rPr>
              <w:t xml:space="preserve">370,513</w:t>
            </w:r>
          </w:p>
        </w:tc>
      </w:tr>
      <w:tr>
        <w:tc>
          <w:tcPr/>
          <w:p>
            <w:pPr>
              <w:pStyle w:val="Compact"/>
              <w:jc w:val="left"/>
            </w:pPr>
            <w:r>
              <w:rPr>
                <w:sz w:val="17"/>
              </w:rPr>
              <w:t xml:space="preserve">matured + market + version</w:t>
            </w:r>
          </w:p>
        </w:tc>
        <w:tc>
          <w:tcPr/>
          <w:p>
            <w:pPr>
              <w:pStyle w:val="Compact"/>
              <w:jc w:val="right"/>
            </w:pPr>
            <w:r>
              <w:rPr>
                <w:sz w:val="17"/>
              </w:rPr>
              <w:t xml:space="preserve">4,271,284</w:t>
            </w:r>
          </w:p>
        </w:tc>
        <w:tc>
          <w:tcPr/>
          <w:p>
            <w:pPr>
              <w:pStyle w:val="Compact"/>
              <w:jc w:val="right"/>
            </w:pPr>
            <w:r>
              <w:rPr>
                <w:sz w:val="17"/>
              </w:rPr>
              <w:t xml:space="preserve">9,011,268</w:t>
            </w:r>
          </w:p>
        </w:tc>
        <w:tc>
          <w:tcPr/>
          <w:p>
            <w:pPr>
              <w:pStyle w:val="Compact"/>
              <w:jc w:val="right"/>
            </w:pPr>
            <w:r>
              <w:rPr>
                <w:sz w:val="17"/>
              </w:rPr>
              <w:t xml:space="preserve">4,739,984</w:t>
            </w:r>
          </w:p>
        </w:tc>
        <w:tc>
          <w:tcPr/>
          <w:p>
            <w:pPr>
              <w:pStyle w:val="Compact"/>
              <w:jc w:val="right"/>
            </w:pPr>
            <w:r>
              <w:rPr>
                <w:sz w:val="17"/>
              </w:rPr>
              <w:t xml:space="preserve">0.2500</w:t>
            </w:r>
          </w:p>
        </w:tc>
        <w:tc>
          <w:tcPr/>
          <w:p>
            <w:pPr>
              <w:pStyle w:val="Compact"/>
              <w:jc w:val="right"/>
            </w:pPr>
            <w:r>
              <w:rPr>
                <w:sz w:val="17"/>
              </w:rPr>
              <w:t xml:space="preserve">1,184,996</w:t>
            </w:r>
          </w:p>
        </w:tc>
      </w:tr>
      <w:tr>
        <w:tc>
          <w:tcPr/>
          <w:p>
            <w:pPr>
              <w:pStyle w:val="Compact"/>
              <w:jc w:val="left"/>
            </w:pPr>
            <w:r>
              <w:rPr>
                <w:b/>
                <w:bCs/>
                <w:sz w:val="17"/>
              </w:rPr>
              <w:t xml:space="preserve">Shapley value of new trades</w:t>
            </w:r>
          </w:p>
        </w:tc>
        <w:tc>
          <w:tcPr/>
          <w:p>
            <w:pPr>
              <w:pStyle w:val="Compact"/>
            </w:pPr>
          </w:p>
        </w:tc>
        <w:tc>
          <w:tcPr/>
          <w:p>
            <w:pPr>
              <w:pStyle w:val="Compact"/>
            </w:pPr>
          </w:p>
        </w:tc>
        <w:tc>
          <w:tcPr/>
          <w:p>
            <w:pPr>
              <w:pStyle w:val="Compact"/>
            </w:pPr>
          </w:p>
        </w:tc>
        <w:tc>
          <w:tcPr/>
          <w:p>
            <w:pPr>
              <w:pStyle w:val="Compact"/>
              <w:jc w:val="right"/>
            </w:pPr>
            <w:r>
              <w:rPr>
                <w:b/>
                <w:bCs/>
                <w:sz w:val="17"/>
              </w:rPr>
              <w:t xml:space="preserve">1.0000</w:t>
            </w:r>
          </w:p>
        </w:tc>
        <w:tc>
          <w:tcPr/>
          <w:p>
            <w:pPr>
              <w:pStyle w:val="Compact"/>
              <w:jc w:val="right"/>
            </w:pPr>
            <w:r>
              <w:rPr>
                <w:b/>
                <w:bCs/>
                <w:sz w:val="17"/>
              </w:rPr>
              <w:t xml:space="preserve">4,674,898</w:t>
            </w:r>
          </w:p>
        </w:tc>
      </w:tr>
    </w:tbl>
    <w:p>
      <w:pPr>
        <w:pStyle w:val="BodyText"/>
      </w:pPr>
      <w:r>
        <w:t xml:space="preserve">Notice that the new trade adds between USD 4.43 mm and USD 4.97 mm of IM depending on what else has changed. That spread is the interaction; Shapley takes the fair average, one-at-a-time takes only the first row, and the bridge takes one specific row.</w:t>
      </w:r>
    </w:p>
    <w:bookmarkEnd w:id="108"/>
    <w:bookmarkStart w:id="109" w:name="netting-effect"/>
    <w:p>
      <w:pPr>
        <w:pStyle w:val="Heading2"/>
      </w:pPr>
      <w:r>
        <w:rPr>
          <w:rStyle w:val="SectionNumber"/>
        </w:rPr>
        <w:t xml:space="preserve">12.5</w:t>
      </w:r>
      <w:r>
        <w:tab/>
      </w:r>
      <w:r>
        <w:t xml:space="preserve">Netting effect</w:t>
      </w:r>
    </w:p>
    <w:p>
      <w:pPr>
        <w:pStyle w:val="FirstParagraph"/>
      </w:pPr>
      <w:r>
        <w:t xml:space="preserve">A new trade's standalone IM (computed alone) is USD 7,072,990 but its incremental IM on the final book is USD 4,739,984. The difference, USD -2,333,006, is the netting effect: the new trade partly hedges existing risk, so adding it costs 33.0% less than its standalone number suggests. Reporting both avoids telling a trader that a hedging trade is as expensive as it would be on its own.</w:t>
      </w:r>
    </w:p>
    <w:bookmarkEnd w:id="109"/>
    <w:bookmarkStart w:id="113" w:name="scanning-the-history-for-big-moves"/>
    <w:p>
      <w:pPr>
        <w:pStyle w:val="Heading2"/>
      </w:pPr>
      <w:r>
        <w:rPr>
          <w:rStyle w:val="SectionNumber"/>
        </w:rPr>
        <w:t xml:space="preserve">12.6</w:t>
      </w:r>
      <w:r>
        <w:tab/>
      </w:r>
      <w:r>
        <w:t xml:space="preserve">Scanning the history for big moves</w:t>
      </w:r>
    </w:p>
    <w:p>
      <w:pPr>
        <w:pStyle w:val="FirstParagraph"/>
      </w:pPr>
      <w:r>
        <w:rPr>
          <w:rStyle w:val="VerbatimChar"/>
        </w:rPr>
        <w:t xml:space="preserve">run_scan</w:t>
      </w:r>
      <w:r>
        <w:t xml:space="preserve"> </w:t>
      </w:r>
      <w:r>
        <w:t xml:space="preserve">computes the SIMM-style IM for each of the 2,088 dates and flags days where the IM changed by more than 10 percent or USD 1 million in one day. Over the history the IM ranges from USD 3.34 mm to USD 5.57 mm (mean USD 4.27 mm) and the largest one-day move is 16.6% (USD 693,563). 5 days breach the relative trigger and 0 the absolute trigger. For flagged days the rates, FX and vol split of the move is computed:</w:t>
      </w:r>
    </w:p>
    <w:p>
      <w:pPr>
        <w:pStyle w:val="TableCaption"/>
      </w:pPr>
      <w:r>
        <w:t xml:space="preserve">The flagged days. All are dominated by FX moves, as the FX delta is the largest component of this book's IM.</w:t>
      </w:r>
    </w:p>
    <w:tbl>
      <w:tblPr>
        <w:tblStyle w:val="Table"/>
        <w:tblW w:type="pct" w:w="5000"/>
        <w:tblLayout w:type="fixed"/>
        <w:tblLook w:firstRow="1" w:lastRow="0" w:firstColumn="0" w:lastColumn="0" w:noHBand="0" w:noVBand="0" w:val="0020"/>
        <w:tblCaption w:val="The flagged days. All are dominated by FX moves, as the FX delta is the largest component of this book's IM."/>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on"/>
        </w:trPr>
        <w:tc>
          <w:tcPr/>
          <w:p>
            <w:pPr>
              <w:pStyle w:val="Compact"/>
              <w:jc w:val="left"/>
            </w:pPr>
            <w:r>
              <w:rPr>
                <w:sz w:val="17"/>
              </w:rPr>
              <w:t xml:space="preserve">Date</w:t>
            </w:r>
          </w:p>
        </w:tc>
        <w:tc>
          <w:tcPr/>
          <w:p>
            <w:pPr>
              <w:pStyle w:val="Compact"/>
              <w:jc w:val="right"/>
            </w:pPr>
            <w:r>
              <w:rPr>
                <w:sz w:val="17"/>
              </w:rPr>
              <w:t xml:space="preserve">IM (USD)</w:t>
            </w:r>
          </w:p>
        </w:tc>
        <w:tc>
          <w:tcPr/>
          <w:p>
            <w:pPr>
              <w:pStyle w:val="Compact"/>
              <w:jc w:val="right"/>
            </w:pPr>
            <w:r>
              <w:rPr>
                <w:sz w:val="17"/>
              </w:rPr>
              <w:t xml:space="preserve">Change (USD)</w:t>
            </w:r>
          </w:p>
        </w:tc>
        <w:tc>
          <w:tcPr/>
          <w:p>
            <w:pPr>
              <w:pStyle w:val="Compact"/>
              <w:jc w:val="right"/>
            </w:pPr>
            <w:r>
              <w:rPr>
                <w:sz w:val="17"/>
              </w:rPr>
              <w:t xml:space="preserve">Change (percent)</w:t>
            </w:r>
          </w:p>
        </w:tc>
        <w:tc>
          <w:tcPr/>
          <w:p>
            <w:pPr>
              <w:pStyle w:val="Compact"/>
              <w:jc w:val="right"/>
            </w:pPr>
            <w:r>
              <w:rPr>
                <w:sz w:val="17"/>
              </w:rPr>
              <w:t xml:space="preserve">Rates (USD)</w:t>
            </w:r>
          </w:p>
        </w:tc>
        <w:tc>
          <w:tcPr/>
          <w:p>
            <w:pPr>
              <w:pStyle w:val="Compact"/>
              <w:jc w:val="right"/>
            </w:pPr>
            <w:r>
              <w:rPr>
                <w:sz w:val="17"/>
              </w:rPr>
              <w:t xml:space="preserve">FX (USD)</w:t>
            </w:r>
          </w:p>
        </w:tc>
        <w:tc>
          <w:tcPr/>
          <w:p>
            <w:pPr>
              <w:pStyle w:val="Compact"/>
              <w:jc w:val="right"/>
            </w:pPr>
            <w:r>
              <w:rPr>
                <w:sz w:val="17"/>
              </w:rPr>
              <w:t xml:space="preserve">Vol (USD)</w:t>
            </w:r>
          </w:p>
        </w:tc>
      </w:tr>
      <w:tr>
        <w:tc>
          <w:tcPr/>
          <w:p>
            <w:pPr>
              <w:pStyle w:val="Compact"/>
              <w:jc w:val="left"/>
            </w:pPr>
            <w:r>
              <w:rPr>
                <w:sz w:val="17"/>
              </w:rPr>
              <w:t xml:space="preserve">28 Mar 2019</w:t>
            </w:r>
          </w:p>
        </w:tc>
        <w:tc>
          <w:tcPr/>
          <w:p>
            <w:pPr>
              <w:pStyle w:val="Compact"/>
              <w:jc w:val="right"/>
            </w:pPr>
            <w:r>
              <w:rPr>
                <w:sz w:val="17"/>
              </w:rPr>
              <w:t xml:space="preserve">4,440,441</w:t>
            </w:r>
          </w:p>
        </w:tc>
        <w:tc>
          <w:tcPr/>
          <w:p>
            <w:pPr>
              <w:pStyle w:val="Compact"/>
              <w:jc w:val="right"/>
            </w:pPr>
            <w:r>
              <w:rPr>
                <w:sz w:val="17"/>
              </w:rPr>
              <w:t xml:space="preserve">489,629</w:t>
            </w:r>
          </w:p>
        </w:tc>
        <w:tc>
          <w:tcPr/>
          <w:p>
            <w:pPr>
              <w:pStyle w:val="Compact"/>
              <w:jc w:val="right"/>
            </w:pPr>
            <w:r>
              <w:rPr>
                <w:sz w:val="17"/>
              </w:rPr>
              <w:t xml:space="preserve">12.4%</w:t>
            </w:r>
          </w:p>
        </w:tc>
        <w:tc>
          <w:tcPr/>
          <w:p>
            <w:pPr>
              <w:pStyle w:val="Compact"/>
              <w:jc w:val="right"/>
            </w:pPr>
            <w:r>
              <w:rPr>
                <w:sz w:val="17"/>
              </w:rPr>
              <w:t xml:space="preserve">-3,515</w:t>
            </w:r>
          </w:p>
        </w:tc>
        <w:tc>
          <w:tcPr/>
          <w:p>
            <w:pPr>
              <w:pStyle w:val="Compact"/>
              <w:jc w:val="right"/>
            </w:pPr>
            <w:r>
              <w:rPr>
                <w:sz w:val="17"/>
              </w:rPr>
              <w:t xml:space="preserve">493,153</w:t>
            </w:r>
          </w:p>
        </w:tc>
        <w:tc>
          <w:tcPr/>
          <w:p>
            <w:pPr>
              <w:pStyle w:val="Compact"/>
              <w:jc w:val="right"/>
            </w:pPr>
            <w:r>
              <w:rPr>
                <w:sz w:val="17"/>
              </w:rPr>
              <w:t xml:space="preserve">-10</w:t>
            </w:r>
          </w:p>
        </w:tc>
      </w:tr>
      <w:tr>
        <w:tc>
          <w:tcPr/>
          <w:p>
            <w:pPr>
              <w:pStyle w:val="Compact"/>
              <w:jc w:val="left"/>
            </w:pPr>
            <w:r>
              <w:rPr>
                <w:sz w:val="17"/>
              </w:rPr>
              <w:t xml:space="preserve">7 Aug 2019</w:t>
            </w:r>
          </w:p>
        </w:tc>
        <w:tc>
          <w:tcPr/>
          <w:p>
            <w:pPr>
              <w:pStyle w:val="Compact"/>
              <w:jc w:val="right"/>
            </w:pPr>
            <w:r>
              <w:rPr>
                <w:sz w:val="17"/>
              </w:rPr>
              <w:t xml:space="preserve">4,046,792</w:t>
            </w:r>
          </w:p>
        </w:tc>
        <w:tc>
          <w:tcPr/>
          <w:p>
            <w:pPr>
              <w:pStyle w:val="Compact"/>
              <w:jc w:val="right"/>
            </w:pPr>
            <w:r>
              <w:rPr>
                <w:sz w:val="17"/>
              </w:rPr>
              <w:t xml:space="preserve">-505,138</w:t>
            </w:r>
          </w:p>
        </w:tc>
        <w:tc>
          <w:tcPr/>
          <w:p>
            <w:pPr>
              <w:pStyle w:val="Compact"/>
              <w:jc w:val="right"/>
            </w:pPr>
            <w:r>
              <w:rPr>
                <w:sz w:val="17"/>
              </w:rPr>
              <w:t xml:space="preserve">-11.1%</w:t>
            </w:r>
          </w:p>
        </w:tc>
        <w:tc>
          <w:tcPr/>
          <w:p>
            <w:pPr>
              <w:pStyle w:val="Compact"/>
              <w:jc w:val="right"/>
            </w:pPr>
            <w:r>
              <w:rPr>
                <w:sz w:val="17"/>
              </w:rPr>
              <w:t xml:space="preserve">-23,266</w:t>
            </w:r>
          </w:p>
        </w:tc>
        <w:tc>
          <w:tcPr/>
          <w:p>
            <w:pPr>
              <w:pStyle w:val="Compact"/>
              <w:jc w:val="right"/>
            </w:pPr>
            <w:r>
              <w:rPr>
                <w:sz w:val="17"/>
              </w:rPr>
              <w:t xml:space="preserve">-482,585</w:t>
            </w:r>
          </w:p>
        </w:tc>
        <w:tc>
          <w:tcPr/>
          <w:p>
            <w:pPr>
              <w:pStyle w:val="Compact"/>
              <w:jc w:val="right"/>
            </w:pPr>
            <w:r>
              <w:rPr>
                <w:sz w:val="17"/>
              </w:rPr>
              <w:t xml:space="preserve">713</w:t>
            </w:r>
          </w:p>
        </w:tc>
      </w:tr>
      <w:tr>
        <w:tc>
          <w:tcPr/>
          <w:p>
            <w:pPr>
              <w:pStyle w:val="Compact"/>
              <w:jc w:val="left"/>
            </w:pPr>
            <w:r>
              <w:rPr>
                <w:sz w:val="17"/>
              </w:rPr>
              <w:t xml:space="preserve">13 Feb 2020</w:t>
            </w:r>
          </w:p>
        </w:tc>
        <w:tc>
          <w:tcPr/>
          <w:p>
            <w:pPr>
              <w:pStyle w:val="Compact"/>
              <w:jc w:val="right"/>
            </w:pPr>
            <w:r>
              <w:rPr>
                <w:sz w:val="17"/>
              </w:rPr>
              <w:t xml:space="preserve">4,874,966</w:t>
            </w:r>
          </w:p>
        </w:tc>
        <w:tc>
          <w:tcPr/>
          <w:p>
            <w:pPr>
              <w:pStyle w:val="Compact"/>
              <w:jc w:val="right"/>
            </w:pPr>
            <w:r>
              <w:rPr>
                <w:sz w:val="17"/>
              </w:rPr>
              <w:t xml:space="preserve">693,563</w:t>
            </w:r>
          </w:p>
        </w:tc>
        <w:tc>
          <w:tcPr/>
          <w:p>
            <w:pPr>
              <w:pStyle w:val="Compact"/>
              <w:jc w:val="right"/>
            </w:pPr>
            <w:r>
              <w:rPr>
                <w:sz w:val="17"/>
              </w:rPr>
              <w:t xml:space="preserve">16.6%</w:t>
            </w:r>
          </w:p>
        </w:tc>
        <w:tc>
          <w:tcPr/>
          <w:p>
            <w:pPr>
              <w:pStyle w:val="Compact"/>
              <w:jc w:val="right"/>
            </w:pPr>
            <w:r>
              <w:rPr>
                <w:sz w:val="17"/>
              </w:rPr>
              <w:t xml:space="preserve">97,200</w:t>
            </w:r>
          </w:p>
        </w:tc>
        <w:tc>
          <w:tcPr/>
          <w:p>
            <w:pPr>
              <w:pStyle w:val="Compact"/>
              <w:jc w:val="right"/>
            </w:pPr>
            <w:r>
              <w:rPr>
                <w:sz w:val="17"/>
              </w:rPr>
              <w:t xml:space="preserve">618,008</w:t>
            </w:r>
          </w:p>
        </w:tc>
        <w:tc>
          <w:tcPr/>
          <w:p>
            <w:pPr>
              <w:pStyle w:val="Compact"/>
              <w:jc w:val="right"/>
            </w:pPr>
            <w:r>
              <w:rPr>
                <w:sz w:val="17"/>
              </w:rPr>
              <w:t xml:space="preserve">-21,645</w:t>
            </w:r>
          </w:p>
        </w:tc>
      </w:tr>
      <w:tr>
        <w:tc>
          <w:tcPr/>
          <w:p>
            <w:pPr>
              <w:pStyle w:val="Compact"/>
              <w:jc w:val="left"/>
            </w:pPr>
            <w:r>
              <w:rPr>
                <w:sz w:val="17"/>
              </w:rPr>
              <w:t xml:space="preserve">20 Jul 2020</w:t>
            </w:r>
          </w:p>
        </w:tc>
        <w:tc>
          <w:tcPr/>
          <w:p>
            <w:pPr>
              <w:pStyle w:val="Compact"/>
              <w:jc w:val="right"/>
            </w:pPr>
            <w:r>
              <w:rPr>
                <w:sz w:val="17"/>
              </w:rPr>
              <w:t xml:space="preserve">5,108,658</w:t>
            </w:r>
          </w:p>
        </w:tc>
        <w:tc>
          <w:tcPr/>
          <w:p>
            <w:pPr>
              <w:pStyle w:val="Compact"/>
              <w:jc w:val="right"/>
            </w:pPr>
            <w:r>
              <w:rPr>
                <w:sz w:val="17"/>
              </w:rPr>
              <w:t xml:space="preserve">599,025</w:t>
            </w:r>
          </w:p>
        </w:tc>
        <w:tc>
          <w:tcPr/>
          <w:p>
            <w:pPr>
              <w:pStyle w:val="Compact"/>
              <w:jc w:val="right"/>
            </w:pPr>
            <w:r>
              <w:rPr>
                <w:sz w:val="17"/>
              </w:rPr>
              <w:t xml:space="preserve">13.3%</w:t>
            </w:r>
          </w:p>
        </w:tc>
        <w:tc>
          <w:tcPr/>
          <w:p>
            <w:pPr>
              <w:pStyle w:val="Compact"/>
              <w:jc w:val="right"/>
            </w:pPr>
            <w:r>
              <w:rPr>
                <w:sz w:val="17"/>
              </w:rPr>
              <w:t xml:space="preserve">100,855</w:t>
            </w:r>
          </w:p>
        </w:tc>
        <w:tc>
          <w:tcPr/>
          <w:p>
            <w:pPr>
              <w:pStyle w:val="Compact"/>
              <w:jc w:val="right"/>
            </w:pPr>
            <w:r>
              <w:rPr>
                <w:sz w:val="17"/>
              </w:rPr>
              <w:t xml:space="preserve">472,808</w:t>
            </w:r>
          </w:p>
        </w:tc>
        <w:tc>
          <w:tcPr/>
          <w:p>
            <w:pPr>
              <w:pStyle w:val="Compact"/>
              <w:jc w:val="right"/>
            </w:pPr>
            <w:r>
              <w:rPr>
                <w:sz w:val="17"/>
              </w:rPr>
              <w:t xml:space="preserve">25,363</w:t>
            </w:r>
          </w:p>
        </w:tc>
      </w:tr>
      <w:tr>
        <w:tc>
          <w:tcPr/>
          <w:p>
            <w:pPr>
              <w:pStyle w:val="Compact"/>
              <w:jc w:val="left"/>
            </w:pPr>
            <w:r>
              <w:rPr>
                <w:sz w:val="17"/>
              </w:rPr>
              <w:t xml:space="preserve">27 Jun 2024</w:t>
            </w:r>
          </w:p>
        </w:tc>
        <w:tc>
          <w:tcPr/>
          <w:p>
            <w:pPr>
              <w:pStyle w:val="Compact"/>
              <w:jc w:val="right"/>
            </w:pPr>
            <w:r>
              <w:rPr>
                <w:sz w:val="17"/>
              </w:rPr>
              <w:t xml:space="preserve">3,577,165</w:t>
            </w:r>
          </w:p>
        </w:tc>
        <w:tc>
          <w:tcPr/>
          <w:p>
            <w:pPr>
              <w:pStyle w:val="Compact"/>
              <w:jc w:val="right"/>
            </w:pPr>
            <w:r>
              <w:rPr>
                <w:sz w:val="17"/>
              </w:rPr>
              <w:t xml:space="preserve">-408,827</w:t>
            </w:r>
          </w:p>
        </w:tc>
        <w:tc>
          <w:tcPr/>
          <w:p>
            <w:pPr>
              <w:pStyle w:val="Compact"/>
              <w:jc w:val="right"/>
            </w:pPr>
            <w:r>
              <w:rPr>
                <w:sz w:val="17"/>
              </w:rPr>
              <w:t xml:space="preserve">-10.3%</w:t>
            </w:r>
          </w:p>
        </w:tc>
        <w:tc>
          <w:tcPr/>
          <w:p>
            <w:pPr>
              <w:pStyle w:val="Compact"/>
              <w:jc w:val="right"/>
            </w:pPr>
            <w:r>
              <w:rPr>
                <w:sz w:val="17"/>
              </w:rPr>
              <w:t xml:space="preserve">-150,714</w:t>
            </w:r>
          </w:p>
        </w:tc>
        <w:tc>
          <w:tcPr/>
          <w:p>
            <w:pPr>
              <w:pStyle w:val="Compact"/>
              <w:jc w:val="right"/>
            </w:pPr>
            <w:r>
              <w:rPr>
                <w:sz w:val="17"/>
              </w:rPr>
              <w:t xml:space="preserve">-258,522</w:t>
            </w:r>
          </w:p>
        </w:tc>
        <w:tc>
          <w:tcPr/>
          <w:p>
            <w:pPr>
              <w:pStyle w:val="Compact"/>
              <w:jc w:val="right"/>
            </w:pPr>
            <w:r>
              <w:rPr>
                <w:sz w:val="17"/>
              </w:rPr>
              <w:t xml:space="preserve">410</w:t>
            </w:r>
          </w:p>
        </w:tc>
      </w:tr>
    </w:tbl>
    <w:p>
      <w:pPr>
        <w:pStyle w:val="CaptionedFigure"/>
      </w:pPr>
      <w:r>
        <w:drawing>
          <wp:inline>
            <wp:extent cx="5334000" cy="2400300"/>
            <wp:effectExtent b="0" l="0" r="0" t="0"/>
            <wp:docPr descr="Daily IM change and flagged days." title="" id="111" name="Picture"/>
            <a:graphic>
              <a:graphicData uri="http://schemas.openxmlformats.org/drawingml/2006/picture">
                <pic:pic>
                  <pic:nvPicPr>
                    <pic:cNvPr descr="../python/outputs/charts/big_move_days.png" id="112" name="Picture"/>
                    <pic:cNvPicPr>
                      <a:picLocks noChangeArrowheads="1" noChangeAspect="1"/>
                    </pic:cNvPicPr>
                  </pic:nvPicPr>
                  <pic:blipFill>
                    <a:blip r:embed="rId110"/>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Daily IM change and flagged days.</w:t>
      </w:r>
    </w:p>
    <w:p>
      <w:pPr>
        <w:pStyle w:val="BodyText"/>
      </w:pPr>
      <w:r>
        <w:t xml:space="preserve">A related check, delta and vega sub-additivity (the margin of a combined portfolio should not exceed the sum of the margins of its parts), was run on 60 random splits per risk class and margin type, 360 checks in total, with 0 violations. Curvature margin is not sub-additive in general and the project reports rather than asserts it.</w:t>
      </w:r>
    </w:p>
    <w:bookmarkEnd w:id="113"/>
    <w:bookmarkEnd w:id="114"/>
    <w:bookmarkStart w:id="121" w:name="uat-and-new-product-onboarding"/>
    <w:p>
      <w:pPr>
        <w:pStyle w:val="Heading1"/>
      </w:pPr>
      <w:r>
        <w:rPr>
          <w:rStyle w:val="SectionNumber"/>
        </w:rPr>
        <w:t xml:space="preserve">13</w:t>
      </w:r>
      <w:r>
        <w:tab/>
      </w:r>
      <w:r>
        <w:t xml:space="preserve">UAT and new-product onboarding</w:t>
      </w:r>
    </w:p>
    <w:bookmarkStart w:id="115" w:name="why-uat"/>
    <w:p>
      <w:pPr>
        <w:pStyle w:val="Heading2"/>
      </w:pPr>
      <w:r>
        <w:rPr>
          <w:rStyle w:val="SectionNumber"/>
        </w:rPr>
        <w:t xml:space="preserve">13.1</w:t>
      </w:r>
      <w:r>
        <w:tab/>
      </w:r>
      <w:r>
        <w:t xml:space="preserve">Why UAT</w:t>
      </w:r>
    </w:p>
    <w:p>
      <w:pPr>
        <w:pStyle w:val="FirstParagraph"/>
      </w:pPr>
      <w:r>
        <w:t xml:space="preserve">When a bank starts trading a new product, the margin calculation has to be extended and then accepted by the business before the first trade is booked: that is user acceptance testing. The scenario here is a 5-year EUR/USD cross-currency basis swap on EUR 50 million (USD notional at the initial FX rate) with</w:t>
      </w:r>
      <w:r>
        <w:t xml:space="preserve"> </w:t>
      </w:r>
      <w:r>
        <w:rPr>
          <w:rStyle w:val="VerbatimChar"/>
        </w:rPr>
        <w:t xml:space="preserve">settle_notional_exchange</w:t>
      </w:r>
      <w:r>
        <w:t xml:space="preserve"> </w:t>
      </w:r>
      <w:r>
        <w:t xml:space="preserve">= "eligible", so the final principal exchange is excluded from the model IM following the cross-currency rule (12 CFR 45.8(d)(4)).</w:t>
      </w:r>
    </w:p>
    <w:bookmarkEnd w:id="115"/>
    <w:bookmarkStart w:id="119" w:name="the-procedure"/>
    <w:p>
      <w:pPr>
        <w:pStyle w:val="Heading2"/>
      </w:pPr>
      <w:r>
        <w:rPr>
          <w:rStyle w:val="SectionNumber"/>
        </w:rPr>
        <w:t xml:space="preserve">13.2</w:t>
      </w:r>
      <w:r>
        <w:tab/>
      </w:r>
      <w:r>
        <w:t xml:space="preserve">The procedure</w:t>
      </w:r>
    </w:p>
    <w:p>
      <w:pPr>
        <w:pStyle w:val="FirstParagraph"/>
      </w:pPr>
      <w:r>
        <w:rPr>
          <w:rStyle w:val="VerbatimChar"/>
        </w:rPr>
        <w:t xml:space="preserve">uat.py</w:t>
      </w:r>
      <w:r>
        <w:t xml:space="preserve"> </w:t>
      </w:r>
      <w:r>
        <w:t xml:space="preserve">holds a machine-readable test suite (</w:t>
      </w:r>
      <w:r>
        <w:rPr>
          <w:rStyle w:val="VerbatimChar"/>
        </w:rPr>
        <w:t xml:space="preserve">data/uat/uat_suite.csv</w:t>
      </w:r>
      <w:r>
        <w:t xml:space="preserve">) with the columns test id, area, description, preconditions, input, expected, tolerance, actual, result, evidence file, execution time and executor.</w:t>
      </w:r>
      <w:r>
        <w:t xml:space="preserve"> </w:t>
      </w:r>
      <w:r>
        <w:rPr>
          <w:rStyle w:val="VerbatimChar"/>
        </w:rPr>
        <w:t xml:space="preserve">run_uat</w:t>
      </w:r>
      <w:r>
        <w:t xml:space="preserve"> </w:t>
      </w:r>
      <w:r>
        <w:t xml:space="preserve">executes every test on the synthetic market of the scenario day, fills</w:t>
      </w:r>
      <w:r>
        <w:t xml:space="preserve"> </w:t>
      </w:r>
      <w:r>
        <w:rPr>
          <w:rStyle w:val="VerbatimChar"/>
        </w:rPr>
        <w:t xml:space="preserve">actual</w:t>
      </w:r>
      <w:r>
        <w:t xml:space="preserve"> </w:t>
      </w:r>
      <w:r>
        <w:t xml:space="preserve">and</w:t>
      </w:r>
      <w:r>
        <w:t xml:space="preserve"> </w:t>
      </w:r>
      <w:r>
        <w:rPr>
          <w:rStyle w:val="VerbatimChar"/>
        </w:rPr>
        <w:t xml:space="preserve">result</w:t>
      </w:r>
      <w:r>
        <w:t xml:space="preserve"> </w:t>
      </w:r>
      <w:r>
        <w:t xml:space="preserve">honestly (PASS, FAIL or SKIPPED) and writes</w:t>
      </w:r>
      <w:r>
        <w:t xml:space="preserve"> </w:t>
      </w:r>
      <w:r>
        <w:rPr>
          <w:rStyle w:val="VerbatimChar"/>
        </w:rPr>
        <w:t xml:space="preserve">uat_results.csv</w:t>
      </w:r>
      <w:r>
        <w:t xml:space="preserve">. Expectations for the hand cases use the verified numbers of the verification log, not the parameter loader, so they are independent of the code under test. The tests cover pricing, sensitivities, CRIF format, SIMM treatment (the basis risk weight of 21 with no concentration scaling, exclusion from the concentration sum, the</w:t>
      </w:r>
      <w:r>
        <w:t xml:space="preserve"> </w:t>
      </w:r>
      <m:oMath>
        <m:r>
          <m:rPr>
            <m:sty m:val="p"/>
          </m:rPr>
          <m:t>−</m:t>
        </m:r>
        <m:r>
          <m:t>1</m:t>
        </m:r>
        <m:r>
          <m:rPr>
            <m:sty m:val="p"/>
          </m:rPr>
          <m:t>%</m:t>
        </m:r>
      </m:oMath>
      <w:r>
        <w:t xml:space="preserve"> </w:t>
      </w:r>
      <w:r>
        <w:t xml:space="preserve">basis-to-yield correlation), the principal exchange exclusion, the schedule row, invariants, dispute detection, the Excel workbook, runtime and a regression test.</w:t>
      </w:r>
    </w:p>
    <w:p>
      <w:pPr>
        <w:pStyle w:val="TableCaption"/>
      </w:pPr>
      <w:r>
        <w:t xml:space="preserve">UAT results.</w:t>
      </w:r>
    </w:p>
    <w:tbl>
      <w:tblPr>
        <w:tblStyle w:val="Table"/>
        <w:tblW w:type="pct" w:w="5000"/>
        <w:tblLayout w:type="fixed"/>
        <w:tblLook w:firstRow="1" w:lastRow="0" w:firstColumn="0" w:lastColumn="0" w:noHBand="0" w:noVBand="0" w:val="0020"/>
        <w:tblCaption w:val="UAT result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Test</w:t>
            </w:r>
          </w:p>
        </w:tc>
        <w:tc>
          <w:tcPr/>
          <w:p>
            <w:pPr>
              <w:pStyle w:val="Compact"/>
              <w:jc w:val="left"/>
            </w:pPr>
            <w:r>
              <w:rPr>
                <w:sz w:val="17"/>
              </w:rPr>
              <w:t xml:space="preserve">Area</w:t>
            </w:r>
          </w:p>
        </w:tc>
        <w:tc>
          <w:tcPr/>
          <w:p>
            <w:pPr>
              <w:pStyle w:val="Compact"/>
              <w:jc w:val="left"/>
            </w:pPr>
            <w:r>
              <w:rPr>
                <w:sz w:val="17"/>
              </w:rPr>
              <w:t xml:space="preserve">Check</w:t>
            </w:r>
          </w:p>
        </w:tc>
        <w:tc>
          <w:tcPr/>
          <w:p>
            <w:pPr>
              <w:pStyle w:val="Compact"/>
              <w:jc w:val="left"/>
            </w:pPr>
            <w:r>
              <w:rPr>
                <w:sz w:val="17"/>
              </w:rPr>
              <w:t xml:space="preserve">Result</w:t>
            </w:r>
          </w:p>
        </w:tc>
      </w:tr>
      <w:tr>
        <w:tc>
          <w:tcPr/>
          <w:p>
            <w:pPr>
              <w:pStyle w:val="Compact"/>
              <w:jc w:val="left"/>
            </w:pPr>
            <w:r>
              <w:rPr>
                <w:sz w:val="17"/>
              </w:rPr>
              <w:t xml:space="preserve">U01</w:t>
            </w:r>
          </w:p>
        </w:tc>
        <w:tc>
          <w:tcPr/>
          <w:p>
            <w:pPr>
              <w:pStyle w:val="Compact"/>
              <w:jc w:val="left"/>
            </w:pPr>
            <w:r>
              <w:rPr>
                <w:sz w:val="17"/>
              </w:rPr>
              <w:t xml:space="preserve">pricing</w:t>
            </w:r>
          </w:p>
        </w:tc>
        <w:tc>
          <w:tcPr/>
          <w:p>
            <w:pPr>
              <w:pStyle w:val="Compact"/>
              <w:jc w:val="left"/>
            </w:pPr>
            <w:r>
              <w:rPr>
                <w:sz w:val="17"/>
              </w:rPr>
              <w:t xml:space="preserve">PV is zero at the market basis and spot</w:t>
            </w:r>
          </w:p>
        </w:tc>
        <w:tc>
          <w:tcPr/>
          <w:p>
            <w:pPr>
              <w:pStyle w:val="Compact"/>
              <w:jc w:val="left"/>
            </w:pPr>
            <w:r>
              <w:rPr>
                <w:sz w:val="17"/>
              </w:rPr>
              <w:t xml:space="preserve">PASS</w:t>
            </w:r>
          </w:p>
        </w:tc>
      </w:tr>
      <w:tr>
        <w:tc>
          <w:tcPr/>
          <w:p>
            <w:pPr>
              <w:pStyle w:val="Compact"/>
              <w:jc w:val="left"/>
            </w:pPr>
            <w:r>
              <w:rPr>
                <w:sz w:val="17"/>
              </w:rPr>
              <w:t xml:space="preserve">U02</w:t>
            </w:r>
          </w:p>
        </w:tc>
        <w:tc>
          <w:tcPr/>
          <w:p>
            <w:pPr>
              <w:pStyle w:val="Compact"/>
              <w:jc w:val="left"/>
            </w:pPr>
            <w:r>
              <w:rPr>
                <w:sz w:val="17"/>
              </w:rPr>
              <w:t xml:space="preserve">pricing</w:t>
            </w:r>
          </w:p>
        </w:tc>
        <w:tc>
          <w:tcPr/>
          <w:p>
            <w:pPr>
              <w:pStyle w:val="Compact"/>
              <w:jc w:val="left"/>
            </w:pPr>
            <w:r>
              <w:rPr>
                <w:sz w:val="17"/>
              </w:rPr>
              <w:t xml:space="preserve">Vectorised PV equals leg-by-leg PV</w:t>
            </w:r>
          </w:p>
        </w:tc>
        <w:tc>
          <w:tcPr/>
          <w:p>
            <w:pPr>
              <w:pStyle w:val="Compact"/>
              <w:jc w:val="left"/>
            </w:pPr>
            <w:r>
              <w:rPr>
                <w:sz w:val="17"/>
              </w:rPr>
              <w:t xml:space="preserve">PASS</w:t>
            </w:r>
          </w:p>
        </w:tc>
      </w:tr>
      <w:tr>
        <w:tc>
          <w:tcPr/>
          <w:p>
            <w:pPr>
              <w:pStyle w:val="Compact"/>
              <w:jc w:val="left"/>
            </w:pPr>
            <w:r>
              <w:rPr>
                <w:sz w:val="17"/>
              </w:rPr>
              <w:t xml:space="preserve">U03</w:t>
            </w:r>
          </w:p>
        </w:tc>
        <w:tc>
          <w:tcPr/>
          <w:p>
            <w:pPr>
              <w:pStyle w:val="Compact"/>
              <w:jc w:val="left"/>
            </w:pPr>
            <w:r>
              <w:rPr>
                <w:sz w:val="17"/>
              </w:rPr>
              <w:t xml:space="preserve">sensitivities</w:t>
            </w:r>
          </w:p>
        </w:tc>
        <w:tc>
          <w:tcPr/>
          <w:p>
            <w:pPr>
              <w:pStyle w:val="Compact"/>
              <w:jc w:val="left"/>
            </w:pPr>
            <w:r>
              <w:rPr>
                <w:sz w:val="17"/>
              </w:rPr>
              <w:t xml:space="preserve">Delta ladder sums to the parallel PV01</w:t>
            </w:r>
          </w:p>
        </w:tc>
        <w:tc>
          <w:tcPr/>
          <w:p>
            <w:pPr>
              <w:pStyle w:val="Compact"/>
              <w:jc w:val="left"/>
            </w:pPr>
            <w:r>
              <w:rPr>
                <w:sz w:val="17"/>
              </w:rPr>
              <w:t xml:space="preserve">PASS</w:t>
            </w:r>
          </w:p>
        </w:tc>
      </w:tr>
      <w:tr>
        <w:tc>
          <w:tcPr/>
          <w:p>
            <w:pPr>
              <w:pStyle w:val="Compact"/>
              <w:jc w:val="left"/>
            </w:pPr>
            <w:r>
              <w:rPr>
                <w:sz w:val="17"/>
              </w:rPr>
              <w:t xml:space="preserve">U04</w:t>
            </w:r>
          </w:p>
        </w:tc>
        <w:tc>
          <w:tcPr/>
          <w:p>
            <w:pPr>
              <w:pStyle w:val="Compact"/>
              <w:jc w:val="left"/>
            </w:pPr>
            <w:r>
              <w:rPr>
                <w:sz w:val="17"/>
              </w:rPr>
              <w:t xml:space="preserve">sensitivities</w:t>
            </w:r>
          </w:p>
        </w:tc>
        <w:tc>
          <w:tcPr/>
          <w:p>
            <w:pPr>
              <w:pStyle w:val="Compact"/>
              <w:jc w:val="left"/>
            </w:pPr>
            <w:r>
              <w:rPr>
                <w:sz w:val="17"/>
              </w:rPr>
              <w:t xml:space="preserve">Basis sensitivity equals notional x annuity x FX x 1bp</w:t>
            </w:r>
          </w:p>
        </w:tc>
        <w:tc>
          <w:tcPr/>
          <w:p>
            <w:pPr>
              <w:pStyle w:val="Compact"/>
              <w:jc w:val="left"/>
            </w:pPr>
            <w:r>
              <w:rPr>
                <w:sz w:val="17"/>
              </w:rPr>
              <w:t xml:space="preserve">PASS</w:t>
            </w:r>
          </w:p>
        </w:tc>
      </w:tr>
      <w:tr>
        <w:tc>
          <w:tcPr/>
          <w:p>
            <w:pPr>
              <w:pStyle w:val="Compact"/>
              <w:jc w:val="left"/>
            </w:pPr>
            <w:r>
              <w:rPr>
                <w:sz w:val="17"/>
              </w:rPr>
              <w:t xml:space="preserve">U05</w:t>
            </w:r>
          </w:p>
        </w:tc>
        <w:tc>
          <w:tcPr/>
          <w:p>
            <w:pPr>
              <w:pStyle w:val="Compact"/>
              <w:jc w:val="left"/>
            </w:pPr>
            <w:r>
              <w:rPr>
                <w:sz w:val="17"/>
              </w:rPr>
              <w:t xml:space="preserve">crif</w:t>
            </w:r>
          </w:p>
        </w:tc>
        <w:tc>
          <w:tcPr/>
          <w:p>
            <w:pPr>
              <w:pStyle w:val="Compact"/>
              <w:jc w:val="left"/>
            </w:pPr>
            <w:r>
              <w:rPr>
                <w:sz w:val="17"/>
              </w:rPr>
              <w:t xml:space="preserve">CRIF columns, risk types and USD conversion</w:t>
            </w:r>
          </w:p>
        </w:tc>
        <w:tc>
          <w:tcPr/>
          <w:p>
            <w:pPr>
              <w:pStyle w:val="Compact"/>
              <w:jc w:val="left"/>
            </w:pPr>
            <w:r>
              <w:rPr>
                <w:sz w:val="17"/>
              </w:rPr>
              <w:t xml:space="preserve">PASS</w:t>
            </w:r>
          </w:p>
        </w:tc>
      </w:tr>
      <w:tr>
        <w:tc>
          <w:tcPr/>
          <w:p>
            <w:pPr>
              <w:pStyle w:val="Compact"/>
              <w:jc w:val="left"/>
            </w:pPr>
            <w:r>
              <w:rPr>
                <w:sz w:val="17"/>
              </w:rPr>
              <w:t xml:space="preserve">U06</w:t>
            </w:r>
          </w:p>
        </w:tc>
        <w:tc>
          <w:tcPr/>
          <w:p>
            <w:pPr>
              <w:pStyle w:val="Compact"/>
              <w:jc w:val="left"/>
            </w:pPr>
            <w:r>
              <w:rPr>
                <w:sz w:val="17"/>
              </w:rPr>
              <w:t xml:space="preserve">simm</w:t>
            </w:r>
          </w:p>
        </w:tc>
        <w:tc>
          <w:tcPr/>
          <w:p>
            <w:pPr>
              <w:pStyle w:val="Compact"/>
              <w:jc w:val="left"/>
            </w:pPr>
            <w:r>
              <w:rPr>
                <w:sz w:val="17"/>
              </w:rPr>
              <w:t xml:space="preserve">Basis RW 21 with no CR scaling</w:t>
            </w:r>
          </w:p>
        </w:tc>
        <w:tc>
          <w:tcPr/>
          <w:p>
            <w:pPr>
              <w:pStyle w:val="Compact"/>
              <w:jc w:val="left"/>
            </w:pPr>
            <w:r>
              <w:rPr>
                <w:sz w:val="17"/>
              </w:rPr>
              <w:t xml:space="preserve">PASS</w:t>
            </w:r>
          </w:p>
        </w:tc>
      </w:tr>
      <w:tr>
        <w:tc>
          <w:tcPr/>
          <w:p>
            <w:pPr>
              <w:pStyle w:val="Compact"/>
              <w:jc w:val="left"/>
            </w:pPr>
            <w:r>
              <w:rPr>
                <w:sz w:val="17"/>
              </w:rPr>
              <w:t xml:space="preserve">U07</w:t>
            </w:r>
          </w:p>
        </w:tc>
        <w:tc>
          <w:tcPr/>
          <w:p>
            <w:pPr>
              <w:pStyle w:val="Compact"/>
              <w:jc w:val="left"/>
            </w:pPr>
            <w:r>
              <w:rPr>
                <w:sz w:val="17"/>
              </w:rPr>
              <w:t xml:space="preserve">simm</w:t>
            </w:r>
          </w:p>
        </w:tc>
        <w:tc>
          <w:tcPr/>
          <w:p>
            <w:pPr>
              <w:pStyle w:val="Compact"/>
              <w:jc w:val="left"/>
            </w:pPr>
            <w:r>
              <w:rPr>
                <w:sz w:val="17"/>
              </w:rPr>
              <w:t xml:space="preserve">Basis excluded from the CR sum</w:t>
            </w:r>
          </w:p>
        </w:tc>
        <w:tc>
          <w:tcPr/>
          <w:p>
            <w:pPr>
              <w:pStyle w:val="Compact"/>
              <w:jc w:val="left"/>
            </w:pPr>
            <w:r>
              <w:rPr>
                <w:sz w:val="17"/>
              </w:rPr>
              <w:t xml:space="preserve">PASS</w:t>
            </w:r>
          </w:p>
        </w:tc>
      </w:tr>
      <w:tr>
        <w:tc>
          <w:tcPr/>
          <w:p>
            <w:pPr>
              <w:pStyle w:val="Compact"/>
              <w:jc w:val="left"/>
            </w:pPr>
            <w:r>
              <w:rPr>
                <w:sz w:val="17"/>
              </w:rPr>
              <w:t xml:space="preserve">U08</w:t>
            </w:r>
          </w:p>
        </w:tc>
        <w:tc>
          <w:tcPr/>
          <w:p>
            <w:pPr>
              <w:pStyle w:val="Compact"/>
              <w:jc w:val="left"/>
            </w:pPr>
            <w:r>
              <w:rPr>
                <w:sz w:val="17"/>
              </w:rPr>
              <w:t xml:space="preserve">simm</w:t>
            </w:r>
          </w:p>
        </w:tc>
        <w:tc>
          <w:tcPr/>
          <w:p>
            <w:pPr>
              <w:pStyle w:val="Compact"/>
              <w:jc w:val="left"/>
            </w:pPr>
            <w:r>
              <w:rPr>
                <w:sz w:val="17"/>
              </w:rPr>
              <w:t xml:space="preserve">Basis to yield correlation of -1% (hand case)</w:t>
            </w:r>
          </w:p>
        </w:tc>
        <w:tc>
          <w:tcPr/>
          <w:p>
            <w:pPr>
              <w:pStyle w:val="Compact"/>
              <w:jc w:val="left"/>
            </w:pPr>
            <w:r>
              <w:rPr>
                <w:sz w:val="17"/>
              </w:rPr>
              <w:t xml:space="preserve">PASS</w:t>
            </w:r>
          </w:p>
        </w:tc>
      </w:tr>
      <w:tr>
        <w:tc>
          <w:tcPr/>
          <w:p>
            <w:pPr>
              <w:pStyle w:val="Compact"/>
              <w:jc w:val="left"/>
            </w:pPr>
            <w:r>
              <w:rPr>
                <w:sz w:val="17"/>
              </w:rPr>
              <w:t xml:space="preserve">U09</w:t>
            </w:r>
          </w:p>
        </w:tc>
        <w:tc>
          <w:tcPr/>
          <w:p>
            <w:pPr>
              <w:pStyle w:val="Compact"/>
              <w:jc w:val="left"/>
            </w:pPr>
            <w:r>
              <w:rPr>
                <w:sz w:val="17"/>
              </w:rPr>
              <w:t xml:space="preserve">crif</w:t>
            </w:r>
          </w:p>
        </w:tc>
        <w:tc>
          <w:tcPr/>
          <w:p>
            <w:pPr>
              <w:pStyle w:val="Compact"/>
              <w:jc w:val="left"/>
            </w:pPr>
            <w:r>
              <w:rPr>
                <w:sz w:val="17"/>
              </w:rPr>
              <w:t xml:space="preserve">Principal exchange exclusion removes the principal FX delta</w:t>
            </w:r>
          </w:p>
        </w:tc>
        <w:tc>
          <w:tcPr/>
          <w:p>
            <w:pPr>
              <w:pStyle w:val="Compact"/>
              <w:jc w:val="left"/>
            </w:pPr>
            <w:r>
              <w:rPr>
                <w:sz w:val="17"/>
              </w:rPr>
              <w:t xml:space="preserve">PASS</w:t>
            </w:r>
          </w:p>
        </w:tc>
      </w:tr>
      <w:tr>
        <w:tc>
          <w:tcPr/>
          <w:p>
            <w:pPr>
              <w:pStyle w:val="Compact"/>
              <w:jc w:val="left"/>
            </w:pPr>
            <w:r>
              <w:rPr>
                <w:sz w:val="17"/>
              </w:rPr>
              <w:t xml:space="preserve">U10</w:t>
            </w:r>
          </w:p>
        </w:tc>
        <w:tc>
          <w:tcPr/>
          <w:p>
            <w:pPr>
              <w:pStyle w:val="Compact"/>
              <w:jc w:val="left"/>
            </w:pPr>
            <w:r>
              <w:rPr>
                <w:sz w:val="17"/>
              </w:rPr>
              <w:t xml:space="preserve">schedule</w:t>
            </w:r>
          </w:p>
        </w:tc>
        <w:tc>
          <w:tcPr/>
          <w:p>
            <w:pPr>
              <w:pStyle w:val="Compact"/>
              <w:jc w:val="left"/>
            </w:pPr>
            <w:r>
              <w:rPr>
                <w:sz w:val="17"/>
              </w:rPr>
              <w:t xml:space="preserve">Schedule IM uses the cross-currency row</w:t>
            </w:r>
          </w:p>
        </w:tc>
        <w:tc>
          <w:tcPr/>
          <w:p>
            <w:pPr>
              <w:pStyle w:val="Compact"/>
              <w:jc w:val="left"/>
            </w:pPr>
            <w:r>
              <w:rPr>
                <w:sz w:val="17"/>
              </w:rPr>
              <w:t xml:space="preserve">PASS</w:t>
            </w:r>
          </w:p>
        </w:tc>
      </w:tr>
      <w:tr>
        <w:tc>
          <w:tcPr/>
          <w:p>
            <w:pPr>
              <w:pStyle w:val="Compact"/>
              <w:jc w:val="left"/>
            </w:pPr>
            <w:r>
              <w:rPr>
                <w:sz w:val="17"/>
              </w:rPr>
              <w:t xml:space="preserve">U11</w:t>
            </w:r>
          </w:p>
        </w:tc>
        <w:tc>
          <w:tcPr/>
          <w:p>
            <w:pPr>
              <w:pStyle w:val="Compact"/>
              <w:jc w:val="left"/>
            </w:pPr>
            <w:r>
              <w:rPr>
                <w:sz w:val="17"/>
              </w:rPr>
              <w:t xml:space="preserve">simm</w:t>
            </w:r>
          </w:p>
        </w:tc>
        <w:tc>
          <w:tcPr/>
          <w:p>
            <w:pPr>
              <w:pStyle w:val="Compact"/>
              <w:jc w:val="left"/>
            </w:pPr>
            <w:r>
              <w:rPr>
                <w:sz w:val="17"/>
              </w:rPr>
              <w:t xml:space="preserve">Sign symmetry of delta and vega</w:t>
            </w:r>
          </w:p>
        </w:tc>
        <w:tc>
          <w:tcPr/>
          <w:p>
            <w:pPr>
              <w:pStyle w:val="Compact"/>
              <w:jc w:val="left"/>
            </w:pPr>
            <w:r>
              <w:rPr>
                <w:sz w:val="17"/>
              </w:rPr>
              <w:t xml:space="preserve">PASS</w:t>
            </w:r>
          </w:p>
        </w:tc>
      </w:tr>
      <w:tr>
        <w:tc>
          <w:tcPr/>
          <w:p>
            <w:pPr>
              <w:pStyle w:val="Compact"/>
              <w:jc w:val="left"/>
            </w:pPr>
            <w:r>
              <w:rPr>
                <w:sz w:val="17"/>
              </w:rPr>
              <w:t xml:space="preserve">U12</w:t>
            </w:r>
          </w:p>
        </w:tc>
        <w:tc>
          <w:tcPr/>
          <w:p>
            <w:pPr>
              <w:pStyle w:val="Compact"/>
              <w:jc w:val="left"/>
            </w:pPr>
            <w:r>
              <w:rPr>
                <w:sz w:val="17"/>
              </w:rPr>
              <w:t xml:space="preserve">simm</w:t>
            </w:r>
          </w:p>
        </w:tc>
        <w:tc>
          <w:tcPr/>
          <w:p>
            <w:pPr>
              <w:pStyle w:val="Compact"/>
              <w:jc w:val="left"/>
            </w:pPr>
            <w:r>
              <w:rPr>
                <w:sz w:val="17"/>
              </w:rPr>
              <w:t xml:space="preserve">Homogeneity of IM in the CRIF amounts</w:t>
            </w:r>
          </w:p>
        </w:tc>
        <w:tc>
          <w:tcPr/>
          <w:p>
            <w:pPr>
              <w:pStyle w:val="Compact"/>
              <w:jc w:val="left"/>
            </w:pPr>
            <w:r>
              <w:rPr>
                <w:sz w:val="17"/>
              </w:rPr>
              <w:t xml:space="preserve">PASS</w:t>
            </w:r>
          </w:p>
        </w:tc>
      </w:tr>
      <w:tr>
        <w:tc>
          <w:tcPr/>
          <w:p>
            <w:pPr>
              <w:pStyle w:val="Compact"/>
              <w:jc w:val="left"/>
            </w:pPr>
            <w:r>
              <w:rPr>
                <w:sz w:val="17"/>
              </w:rPr>
              <w:t xml:space="preserve">U13</w:t>
            </w:r>
          </w:p>
        </w:tc>
        <w:tc>
          <w:tcPr/>
          <w:p>
            <w:pPr>
              <w:pStyle w:val="Compact"/>
              <w:jc w:val="left"/>
            </w:pPr>
            <w:r>
              <w:rPr>
                <w:sz w:val="17"/>
              </w:rPr>
              <w:t xml:space="preserve">simm</w:t>
            </w:r>
          </w:p>
        </w:tc>
        <w:tc>
          <w:tcPr/>
          <w:p>
            <w:pPr>
              <w:pStyle w:val="Compact"/>
              <w:jc w:val="left"/>
            </w:pPr>
            <w:r>
              <w:rPr>
                <w:sz w:val="17"/>
              </w:rPr>
              <w:t xml:space="preserve">XCCY adds no vega or curvature</w:t>
            </w:r>
          </w:p>
        </w:tc>
        <w:tc>
          <w:tcPr/>
          <w:p>
            <w:pPr>
              <w:pStyle w:val="Compact"/>
              <w:jc w:val="left"/>
            </w:pPr>
            <w:r>
              <w:rPr>
                <w:sz w:val="17"/>
              </w:rPr>
              <w:t xml:space="preserve">PASS</w:t>
            </w:r>
          </w:p>
        </w:tc>
      </w:tr>
      <w:tr>
        <w:tc>
          <w:tcPr/>
          <w:p>
            <w:pPr>
              <w:pStyle w:val="Compact"/>
              <w:jc w:val="left"/>
            </w:pPr>
            <w:r>
              <w:rPr>
                <w:sz w:val="17"/>
              </w:rPr>
              <w:t xml:space="preserve">U14</w:t>
            </w:r>
          </w:p>
        </w:tc>
        <w:tc>
          <w:tcPr/>
          <w:p>
            <w:pPr>
              <w:pStyle w:val="Compact"/>
              <w:jc w:val="left"/>
            </w:pPr>
            <w:r>
              <w:rPr>
                <w:sz w:val="17"/>
              </w:rPr>
              <w:t xml:space="preserve">dispute</w:t>
            </w:r>
          </w:p>
        </w:tc>
        <w:tc>
          <w:tcPr/>
          <w:p>
            <w:pPr>
              <w:pStyle w:val="Compact"/>
              <w:jc w:val="left"/>
            </w:pPr>
            <w:r>
              <w:rPr>
                <w:sz w:val="17"/>
              </w:rPr>
              <w:t xml:space="preserve">Missing XCCY detected and ranked first in a dispute</w:t>
            </w:r>
          </w:p>
        </w:tc>
        <w:tc>
          <w:tcPr/>
          <w:p>
            <w:pPr>
              <w:pStyle w:val="Compact"/>
              <w:jc w:val="left"/>
            </w:pPr>
            <w:r>
              <w:rPr>
                <w:sz w:val="17"/>
              </w:rPr>
              <w:t xml:space="preserve">PASS</w:t>
            </w:r>
          </w:p>
        </w:tc>
      </w:tr>
      <w:tr>
        <w:tc>
          <w:tcPr/>
          <w:p>
            <w:pPr>
              <w:pStyle w:val="Compact"/>
              <w:jc w:val="left"/>
            </w:pPr>
            <w:r>
              <w:rPr>
                <w:sz w:val="17"/>
              </w:rPr>
              <w:t xml:space="preserve">U15</w:t>
            </w:r>
          </w:p>
        </w:tc>
        <w:tc>
          <w:tcPr/>
          <w:p>
            <w:pPr>
              <w:pStyle w:val="Compact"/>
              <w:jc w:val="left"/>
            </w:pPr>
            <w:r>
              <w:rPr>
                <w:sz w:val="17"/>
              </w:rPr>
              <w:t xml:space="preserve">excel</w:t>
            </w:r>
          </w:p>
        </w:tc>
        <w:tc>
          <w:tcPr/>
          <w:p>
            <w:pPr>
              <w:pStyle w:val="Compact"/>
              <w:jc w:val="left"/>
            </w:pPr>
            <w:r>
              <w:rPr>
                <w:sz w:val="17"/>
              </w:rPr>
              <w:t xml:space="preserve">Excel rows reconcile to Python</w:t>
            </w:r>
          </w:p>
        </w:tc>
        <w:tc>
          <w:tcPr/>
          <w:p>
            <w:pPr>
              <w:pStyle w:val="Compact"/>
              <w:jc w:val="left"/>
            </w:pPr>
            <w:r>
              <w:rPr>
                <w:sz w:val="17"/>
              </w:rPr>
              <w:t xml:space="preserve">PASS</w:t>
            </w:r>
          </w:p>
        </w:tc>
      </w:tr>
      <w:tr>
        <w:tc>
          <w:tcPr/>
          <w:p>
            <w:pPr>
              <w:pStyle w:val="Compact"/>
              <w:jc w:val="left"/>
            </w:pPr>
            <w:r>
              <w:rPr>
                <w:sz w:val="17"/>
              </w:rPr>
              <w:t xml:space="preserve">U16</w:t>
            </w:r>
          </w:p>
        </w:tc>
        <w:tc>
          <w:tcPr/>
          <w:p>
            <w:pPr>
              <w:pStyle w:val="Compact"/>
              <w:jc w:val="left"/>
            </w:pPr>
            <w:r>
              <w:rPr>
                <w:sz w:val="17"/>
              </w:rPr>
              <w:t xml:space="preserve">performance</w:t>
            </w:r>
          </w:p>
        </w:tc>
        <w:tc>
          <w:tcPr/>
          <w:p>
            <w:pPr>
              <w:pStyle w:val="Compact"/>
              <w:jc w:val="left"/>
            </w:pPr>
            <w:r>
              <w:rPr>
                <w:sz w:val="17"/>
              </w:rPr>
              <w:t xml:space="preserve">Runtime within budget</w:t>
            </w:r>
          </w:p>
        </w:tc>
        <w:tc>
          <w:tcPr/>
          <w:p>
            <w:pPr>
              <w:pStyle w:val="Compact"/>
              <w:jc w:val="left"/>
            </w:pPr>
            <w:r>
              <w:rPr>
                <w:sz w:val="17"/>
              </w:rPr>
              <w:t xml:space="preserve">PASS</w:t>
            </w:r>
          </w:p>
        </w:tc>
      </w:tr>
      <w:tr>
        <w:tc>
          <w:tcPr/>
          <w:p>
            <w:pPr>
              <w:pStyle w:val="Compact"/>
              <w:jc w:val="left"/>
            </w:pPr>
            <w:r>
              <w:rPr>
                <w:sz w:val="17"/>
              </w:rPr>
              <w:t xml:space="preserve">U17</w:t>
            </w:r>
          </w:p>
        </w:tc>
        <w:tc>
          <w:tcPr/>
          <w:p>
            <w:pPr>
              <w:pStyle w:val="Compact"/>
              <w:jc w:val="left"/>
            </w:pPr>
            <w:r>
              <w:rPr>
                <w:sz w:val="17"/>
              </w:rPr>
              <w:t xml:space="preserve">regression</w:t>
            </w:r>
          </w:p>
        </w:tc>
        <w:tc>
          <w:tcPr/>
          <w:p>
            <w:pPr>
              <w:pStyle w:val="Compact"/>
              <w:jc w:val="left"/>
            </w:pPr>
            <w:r>
              <w:rPr>
                <w:sz w:val="17"/>
              </w:rPr>
              <w:t xml:space="preserve">Existing IM unchanged when the XCCY is not booked</w:t>
            </w:r>
          </w:p>
        </w:tc>
        <w:tc>
          <w:tcPr/>
          <w:p>
            <w:pPr>
              <w:pStyle w:val="Compact"/>
              <w:jc w:val="left"/>
            </w:pPr>
            <w:r>
              <w:rPr>
                <w:sz w:val="17"/>
              </w:rPr>
              <w:t xml:space="preserve">PASS</w:t>
            </w:r>
          </w:p>
        </w:tc>
      </w:tr>
    </w:tbl>
    <w:p>
      <w:pPr>
        <w:pStyle w:val="CaptionedFigure"/>
      </w:pPr>
      <w:r>
        <w:drawing>
          <wp:inline>
            <wp:extent cx="5334000" cy="3000375"/>
            <wp:effectExtent b="0" l="0" r="0" t="0"/>
            <wp:docPr descr="UAT results by area." title="" id="117" name="Picture"/>
            <a:graphic>
              <a:graphicData uri="http://schemas.openxmlformats.org/drawingml/2006/picture">
                <pic:pic>
                  <pic:nvPicPr>
                    <pic:cNvPr descr="../python/outputs/charts/uat_pass_counts.png" id="118" name="Picture"/>
                    <pic:cNvPicPr>
                      <a:picLocks noChangeArrowheads="1" noChangeAspect="1"/>
                    </pic:cNvPicPr>
                  </pic:nvPicPr>
                  <pic:blipFill>
                    <a:blip r:embed="rId11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UAT results by area.</w:t>
      </w:r>
    </w:p>
    <w:bookmarkEnd w:id="119"/>
    <w:bookmarkStart w:id="120" w:name="executed-results"/>
    <w:p>
      <w:pPr>
        <w:pStyle w:val="Heading2"/>
      </w:pPr>
      <w:r>
        <w:rPr>
          <w:rStyle w:val="SectionNumber"/>
        </w:rPr>
        <w:t xml:space="preserve">13.3</w:t>
      </w:r>
      <w:r>
        <w:tab/>
      </w:r>
      <w:r>
        <w:t xml:space="preserve">Executed results</w:t>
      </w:r>
    </w:p>
    <w:p>
      <w:pPr>
        <w:pStyle w:val="FirstParagraph"/>
      </w:pPr>
      <w:r>
        <w:t xml:space="preserve">17 of 17 tests passed, 0 failed and 0 were skipped. Two examples with the evidence: U01 shows PV = 0 USD at basis -18.0008bp, initial FX 1.138793; U14 shows that a counterparty that has not booked the swap is detected and ranked first: gap -319948.2357 USD (IM_A 5584342.613, IM_B 5264394.378); rank 1 = missing_trade, residual 0; trade-population break XCCY_EURUSD_5Y. U16 recorded 1.419 s against budget 5 s (book plus XCCY IM 5584342.613 USD). The Excel test (U15) has the result PASS: excel_reconciliation.json: all_passed = True over 3 cases. Any failure would be reported as such and would raise a finding. The suite tests the engine against itself and against closed forms, so it shows internal consistency and not agreement with ISDA's calculator.</w:t>
      </w:r>
    </w:p>
    <w:bookmarkEnd w:id="120"/>
    <w:bookmarkEnd w:id="121"/>
    <w:bookmarkStart w:id="124" w:name="findings-log"/>
    <w:p>
      <w:pPr>
        <w:pStyle w:val="Heading1"/>
      </w:pPr>
      <w:r>
        <w:rPr>
          <w:rStyle w:val="SectionNumber"/>
        </w:rPr>
        <w:t xml:space="preserve">14</w:t>
      </w:r>
      <w:r>
        <w:tab/>
      </w:r>
      <w:r>
        <w:t xml:space="preserve">Findings log</w:t>
      </w:r>
    </w:p>
    <w:p>
      <w:pPr>
        <w:pStyle w:val="FirstParagraph"/>
      </w:pPr>
      <w:r>
        <w:t xml:space="preserve">The validation findings are in</w:t>
      </w:r>
      <w:r>
        <w:t xml:space="preserve"> </w:t>
      </w:r>
      <w:r>
        <w:rPr>
          <w:rStyle w:val="VerbatimChar"/>
        </w:rPr>
        <w:t xml:space="preserve">findings_log.csv</w:t>
      </w:r>
      <w:r>
        <w:t xml:space="preserve"> </w:t>
      </w:r>
      <w:r>
        <w:t xml:space="preserve">(</w:t>
      </w:r>
      <w:r>
        <w:rPr>
          <w:rStyle w:val="VerbatimChar"/>
        </w:rPr>
        <w:t xml:space="preserve">findings.build_log</w:t>
      </w:r>
      <w:r>
        <w:t xml:space="preserve">), using the same schema as the credit model validation project: ID, area, title, description, evidence, evidence file, severity, traffic light, recommendation, owner, status and source. Backtest-driven findings are produced automatically (RED becomes High, AMBER becomes Medium); static findings record known limitations. There are 17 findings: 2 High, 10 Medium, 5 Low.</w:t>
      </w:r>
    </w:p>
    <w:bookmarkStart w:id="122" w:name="high-severity-findings-in-full"/>
    <w:p>
      <w:pPr>
        <w:pStyle w:val="Heading2"/>
      </w:pPr>
      <w:r>
        <w:rPr>
          <w:rStyle w:val="SectionNumber"/>
        </w:rPr>
        <w:t xml:space="preserve">14.1</w:t>
      </w:r>
      <w:r>
        <w:tab/>
      </w:r>
      <w:r>
        <w:t xml:space="preserve">High-severity findings in full</w:t>
      </w:r>
    </w:p>
    <w:p>
      <w:pPr>
        <w:pStyle w:val="FirstParagraph"/>
      </w:pPr>
      <w:r>
        <w:rPr>
          <w:b/>
          <w:bCs/>
        </w:rPr>
        <w:t xml:space="preserve">F-01: All data is synthetic and the engine is not ISDA-licensed or certified</w:t>
      </w:r>
      <w:r>
        <w:t xml:space="preserve"> </w:t>
      </w:r>
      <w:r>
        <w:t xml:space="preserve">(area Scope; severity High; status Open; owner Model Owner; evidence file</w:t>
      </w:r>
      <w:r>
        <w:t xml:space="preserve"> </w:t>
      </w:r>
      <w:r>
        <w:rPr>
          <w:rStyle w:val="VerbatimChar"/>
        </w:rPr>
        <w:t xml:space="preserve">docs/VERIFICATION_LOG.md</w:t>
      </w:r>
      <w:r>
        <w:t xml:space="preserve">)</w:t>
      </w:r>
    </w:p>
    <w:p>
      <w:pPr>
        <w:pStyle w:val="BodyText"/>
      </w:pPr>
      <w:r>
        <w:t xml:space="preserve">Market history, trades and counterparty data are simulated; the SIMM-style engine uses published parameter values but is not ISDA licensed, not certified by ISDA and not validated against ISDA's calculator, so no number here is a margin call or a compliance claim. Evidence: Data source recorded on every output: 'synthetic (no market data)'; history of 2088 business days (2018-10-01 to 2026-09-30), 20 trades. Recommendation: Treat outputs as a methodology demonstration; obtain the ISDA licence and the calculator test cases before any production use.</w:t>
      </w:r>
    </w:p>
    <w:p>
      <w:pPr>
        <w:pStyle w:val="BodyText"/>
      </w:pPr>
      <w:r>
        <w:rPr>
          <w:b/>
          <w:bCs/>
        </w:rPr>
        <w:t xml:space="preserve">F-02: rolling250_max RED for hs_im_eu_1plus3</w:t>
      </w:r>
      <w:r>
        <w:t xml:space="preserve"> </w:t>
      </w:r>
      <w:r>
        <w:t xml:space="preserve">(area IM backtest; severity High; status Open; owner Model Developer; evidence file</w:t>
      </w:r>
      <w:r>
        <w:t xml:space="preserve"> </w:t>
      </w:r>
      <w:r>
        <w:rPr>
          <w:rStyle w:val="VerbatimChar"/>
        </w:rPr>
        <w:t xml:space="preserve">backtest_results.csv</w:t>
      </w:r>
      <w:r>
        <w:t xml:space="preserve">)</w:t>
      </w:r>
    </w:p>
    <w:p>
      <w:pPr>
        <w:pStyle w:val="BodyText"/>
      </w:pPr>
      <w:r>
        <w:t xml:space="preserve">Backtest highest rolling 250-day exception count returned RED for model hs_im_eu_1plus3. Evidence: 1d: 12 exceptions in 250 observations (RED). Expected exceptions at 99% are 1% of observations. Shortfall multiplier (smallest k so that k x IM is Green) is 1.142. Recommendation: Recalibrate (longer stress share or a floor on the multiplier) and re-run the battery; report the shortfall multiplier to the model owner.</w:t>
      </w:r>
    </w:p>
    <w:bookmarkEnd w:id="122"/>
    <w:bookmarkStart w:id="123" w:name="all-other-findings"/>
    <w:p>
      <w:pPr>
        <w:pStyle w:val="Heading2"/>
      </w:pPr>
      <w:r>
        <w:rPr>
          <w:rStyle w:val="SectionNumber"/>
        </w:rPr>
        <w:t xml:space="preserve">14.2</w:t>
      </w:r>
      <w:r>
        <w:tab/>
      </w:r>
      <w:r>
        <w:t xml:space="preserve">All other findings</w:t>
      </w:r>
    </w:p>
    <w:p>
      <w:pPr>
        <w:pStyle w:val="TableCaption"/>
      </w:pPr>
      <w:r>
        <w:t xml:space="preserve">Medium and Low findings; the full description, evidence and recommendation are in the CSV.</w:t>
      </w:r>
    </w:p>
    <w:tbl>
      <w:tblPr>
        <w:tblStyle w:val="Table"/>
        <w:tblW w:type="pct" w:w="5000"/>
        <w:tblLayout w:type="fixed"/>
        <w:tblLook w:firstRow="1" w:lastRow="0" w:firstColumn="0" w:lastColumn="0" w:noHBand="0" w:noVBand="0" w:val="0020"/>
        <w:tblCaption w:val="Medium and Low findings; the full description, evidence and recommendation are in the CSV."/>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ID</w:t>
            </w:r>
          </w:p>
        </w:tc>
        <w:tc>
          <w:tcPr/>
          <w:p>
            <w:pPr>
              <w:pStyle w:val="Compact"/>
              <w:jc w:val="left"/>
            </w:pPr>
            <w:r>
              <w:rPr>
                <w:sz w:val="17"/>
              </w:rPr>
              <w:t xml:space="preserve">Area</w:t>
            </w:r>
          </w:p>
        </w:tc>
        <w:tc>
          <w:tcPr/>
          <w:p>
            <w:pPr>
              <w:pStyle w:val="Compact"/>
              <w:jc w:val="left"/>
            </w:pPr>
            <w:r>
              <w:rPr>
                <w:sz w:val="17"/>
              </w:rPr>
              <w:t xml:space="preserve">Finding</w:t>
            </w:r>
          </w:p>
        </w:tc>
        <w:tc>
          <w:tcPr/>
          <w:p>
            <w:pPr>
              <w:pStyle w:val="Compact"/>
              <w:jc w:val="left"/>
            </w:pPr>
            <w:r>
              <w:rPr>
                <w:sz w:val="17"/>
              </w:rPr>
              <w:t xml:space="preserve">Severity</w:t>
            </w:r>
          </w:p>
        </w:tc>
        <w:tc>
          <w:tcPr/>
          <w:p>
            <w:pPr>
              <w:pStyle w:val="Compact"/>
              <w:jc w:val="left"/>
            </w:pPr>
            <w:r>
              <w:rPr>
                <w:sz w:val="17"/>
              </w:rPr>
              <w:t xml:space="preserve">Light</w:t>
            </w:r>
          </w:p>
        </w:tc>
        <w:tc>
          <w:tcPr/>
          <w:p>
            <w:pPr>
              <w:pStyle w:val="Compact"/>
              <w:jc w:val="left"/>
            </w:pPr>
            <w:r>
              <w:rPr>
                <w:sz w:val="17"/>
              </w:rPr>
              <w:t xml:space="preserve">Source</w:t>
            </w:r>
          </w:p>
        </w:tc>
      </w:tr>
      <w:tr>
        <w:tc>
          <w:tcPr/>
          <w:p>
            <w:pPr>
              <w:pStyle w:val="Compact"/>
              <w:jc w:val="left"/>
            </w:pPr>
            <w:r>
              <w:rPr>
                <w:sz w:val="17"/>
              </w:rPr>
              <w:t xml:space="preserve">F-03</w:t>
            </w:r>
          </w:p>
        </w:tc>
        <w:tc>
          <w:tcPr/>
          <w:p>
            <w:pPr>
              <w:pStyle w:val="Compact"/>
              <w:jc w:val="left"/>
            </w:pPr>
            <w:r>
              <w:rPr>
                <w:sz w:val="17"/>
              </w:rPr>
              <w:t xml:space="preserve">Market model</w:t>
            </w:r>
          </w:p>
        </w:tc>
        <w:tc>
          <w:tcPr/>
          <w:p>
            <w:pPr>
              <w:pStyle w:val="Compact"/>
              <w:jc w:val="left"/>
            </w:pPr>
            <w:r>
              <w:rPr>
                <w:sz w:val="17"/>
              </w:rPr>
              <w:t xml:space="preserve">Single OIS-style curve per currency; no multi-curve or tenor basis</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review</w:t>
            </w:r>
          </w:p>
        </w:tc>
      </w:tr>
      <w:tr>
        <w:tc>
          <w:tcPr/>
          <w:p>
            <w:pPr>
              <w:pStyle w:val="Compact"/>
              <w:jc w:val="left"/>
            </w:pPr>
            <w:r>
              <w:rPr>
                <w:sz w:val="17"/>
              </w:rPr>
              <w:t xml:space="preserve">F-04</w:t>
            </w:r>
          </w:p>
        </w:tc>
        <w:tc>
          <w:tcPr/>
          <w:p>
            <w:pPr>
              <w:pStyle w:val="Compact"/>
              <w:jc w:val="left"/>
            </w:pPr>
            <w:r>
              <w:rPr>
                <w:sz w:val="17"/>
              </w:rPr>
              <w:t xml:space="preserve">Scope</w:t>
            </w:r>
          </w:p>
        </w:tc>
        <w:tc>
          <w:tcPr/>
          <w:p>
            <w:pPr>
              <w:pStyle w:val="Compact"/>
              <w:jc w:val="left"/>
            </w:pPr>
            <w:r>
              <w:rPr>
                <w:sz w:val="17"/>
              </w:rPr>
              <w:t xml:space="preserve">No inflation or credit-risk-class exposure; RatesFX only</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review</w:t>
            </w:r>
          </w:p>
        </w:tc>
      </w:tr>
      <w:tr>
        <w:tc>
          <w:tcPr/>
          <w:p>
            <w:pPr>
              <w:pStyle w:val="Compact"/>
              <w:jc w:val="left"/>
            </w:pPr>
            <w:r>
              <w:rPr>
                <w:sz w:val="17"/>
              </w:rPr>
              <w:t xml:space="preserve">F-05</w:t>
            </w:r>
          </w:p>
        </w:tc>
        <w:tc>
          <w:tcPr/>
          <w:p>
            <w:pPr>
              <w:pStyle w:val="Compact"/>
              <w:jc w:val="left"/>
            </w:pPr>
            <w:r>
              <w:rPr>
                <w:sz w:val="17"/>
              </w:rPr>
              <w:t xml:space="preserve">xVA</w:t>
            </w:r>
          </w:p>
        </w:tc>
        <w:tc>
          <w:tcPr/>
          <w:p>
            <w:pPr>
              <w:pStyle w:val="Compact"/>
              <w:jc w:val="left"/>
            </w:pPr>
            <w:r>
              <w:rPr>
                <w:sz w:val="17"/>
              </w:rPr>
              <w:t xml:space="preserve">CVA uses a normal approximation of expected exposure for linear trades only</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review</w:t>
            </w:r>
          </w:p>
        </w:tc>
      </w:tr>
      <w:tr>
        <w:tc>
          <w:tcPr/>
          <w:p>
            <w:pPr>
              <w:pStyle w:val="Compact"/>
              <w:jc w:val="left"/>
            </w:pPr>
            <w:r>
              <w:rPr>
                <w:sz w:val="17"/>
              </w:rPr>
              <w:t xml:space="preserve">F-06</w:t>
            </w:r>
          </w:p>
        </w:tc>
        <w:tc>
          <w:tcPr/>
          <w:p>
            <w:pPr>
              <w:pStyle w:val="Compact"/>
              <w:jc w:val="left"/>
            </w:pPr>
            <w:r>
              <w:rPr>
                <w:sz w:val="17"/>
              </w:rPr>
              <w:t xml:space="preserve">Backtesting</w:t>
            </w:r>
          </w:p>
        </w:tc>
        <w:tc>
          <w:tcPr/>
          <w:p>
            <w:pPr>
              <w:pStyle w:val="Compact"/>
              <w:jc w:val="left"/>
            </w:pPr>
            <w:r>
              <w:rPr>
                <w:sz w:val="17"/>
              </w:rPr>
              <w:t xml:space="preserve">Hypothetical P&amp;L on a frozen portfolio</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review</w:t>
            </w:r>
          </w:p>
        </w:tc>
      </w:tr>
      <w:tr>
        <w:tc>
          <w:tcPr/>
          <w:p>
            <w:pPr>
              <w:pStyle w:val="Compact"/>
              <w:jc w:val="left"/>
            </w:pPr>
            <w:r>
              <w:rPr>
                <w:sz w:val="17"/>
              </w:rPr>
              <w:t xml:space="preserve">F-07</w:t>
            </w:r>
          </w:p>
        </w:tc>
        <w:tc>
          <w:tcPr/>
          <w:p>
            <w:pPr>
              <w:pStyle w:val="Compact"/>
              <w:jc w:val="left"/>
            </w:pPr>
            <w:r>
              <w:rPr>
                <w:sz w:val="17"/>
              </w:rPr>
              <w:t xml:space="preserve">Backtesting</w:t>
            </w:r>
          </w:p>
        </w:tc>
        <w:tc>
          <w:tcPr/>
          <w:p>
            <w:pPr>
              <w:pStyle w:val="Compact"/>
              <w:jc w:val="left"/>
            </w:pPr>
            <w:r>
              <w:rPr>
                <w:sz w:val="17"/>
              </w:rPr>
              <w:t xml:space="preserve">One SIMM version is used for the whole historical backtest</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review</w:t>
            </w:r>
          </w:p>
        </w:tc>
      </w:tr>
      <w:tr>
        <w:tc>
          <w:tcPr/>
          <w:p>
            <w:pPr>
              <w:pStyle w:val="Compact"/>
              <w:jc w:val="left"/>
            </w:pPr>
            <w:r>
              <w:rPr>
                <w:sz w:val="17"/>
              </w:rPr>
              <w:t xml:space="preserve">F-08</w:t>
            </w:r>
          </w:p>
        </w:tc>
        <w:tc>
          <w:tcPr/>
          <w:p>
            <w:pPr>
              <w:pStyle w:val="Compact"/>
              <w:jc w:val="left"/>
            </w:pPr>
            <w:r>
              <w:rPr>
                <w:sz w:val="17"/>
              </w:rPr>
              <w:t xml:space="preserve">Verification</w:t>
            </w:r>
          </w:p>
        </w:tc>
        <w:tc>
          <w:tcPr/>
          <w:p>
            <w:pPr>
              <w:pStyle w:val="Compact"/>
              <w:jc w:val="left"/>
            </w:pPr>
            <w:r>
              <w:rPr>
                <w:sz w:val="17"/>
              </w:rPr>
              <w:t xml:space="preserve">EU consolidated amendments, 12 CFR 237.8, 12 CFR 349.8 and CFTC 23.154 were not checked</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review</w:t>
            </w:r>
          </w:p>
        </w:tc>
      </w:tr>
      <w:tr>
        <w:tc>
          <w:tcPr/>
          <w:p>
            <w:pPr>
              <w:pStyle w:val="Compact"/>
              <w:jc w:val="left"/>
            </w:pPr>
            <w:r>
              <w:rPr>
                <w:sz w:val="17"/>
              </w:rPr>
              <w:t xml:space="preserve">F-09</w:t>
            </w:r>
          </w:p>
        </w:tc>
        <w:tc>
          <w:tcPr/>
          <w:p>
            <w:pPr>
              <w:pStyle w:val="Compact"/>
              <w:jc w:val="left"/>
            </w:pPr>
            <w:r>
              <w:rPr>
                <w:sz w:val="17"/>
              </w:rPr>
              <w:t xml:space="preserve">Verification</w:t>
            </w:r>
          </w:p>
        </w:tc>
        <w:tc>
          <w:tcPr/>
          <w:p>
            <w:pPr>
              <w:pStyle w:val="Compact"/>
              <w:jc w:val="left"/>
            </w:pPr>
            <w:r>
              <w:rPr>
                <w:sz w:val="17"/>
              </w:rPr>
              <w:t xml:space="preserve">ISDA credit, equity and commodity parameter tables not covered</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review</w:t>
            </w:r>
          </w:p>
        </w:tc>
      </w:tr>
      <w:tr>
        <w:tc>
          <w:tcPr/>
          <w:p>
            <w:pPr>
              <w:pStyle w:val="Compact"/>
              <w:jc w:val="left"/>
            </w:pPr>
            <w:r>
              <w:rPr>
                <w:sz w:val="17"/>
              </w:rPr>
              <w:t xml:space="preserve">F-10</w:t>
            </w:r>
          </w:p>
        </w:tc>
        <w:tc>
          <w:tcPr/>
          <w:p>
            <w:pPr>
              <w:pStyle w:val="Compact"/>
              <w:jc w:val="left"/>
            </w:pPr>
            <w:r>
              <w:rPr>
                <w:sz w:val="17"/>
              </w:rPr>
              <w:t xml:space="preserve">IM backtest</w:t>
            </w:r>
          </w:p>
        </w:tc>
        <w:tc>
          <w:tcPr/>
          <w:p>
            <w:pPr>
              <w:pStyle w:val="Compact"/>
              <w:jc w:val="left"/>
            </w:pPr>
            <w:r>
              <w:rPr>
                <w:sz w:val="17"/>
              </w:rPr>
              <w:t xml:space="preserve">overall AMBER for hs_im_eu_1plus3</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auto</w:t>
            </w:r>
          </w:p>
        </w:tc>
      </w:tr>
      <w:tr>
        <w:tc>
          <w:tcPr/>
          <w:p>
            <w:pPr>
              <w:pStyle w:val="Compact"/>
              <w:jc w:val="left"/>
            </w:pPr>
            <w:r>
              <w:rPr>
                <w:sz w:val="17"/>
              </w:rPr>
              <w:t xml:space="preserve">F-11</w:t>
            </w:r>
          </w:p>
        </w:tc>
        <w:tc>
          <w:tcPr/>
          <w:p>
            <w:pPr>
              <w:pStyle w:val="Compact"/>
              <w:jc w:val="left"/>
            </w:pPr>
            <w:r>
              <w:rPr>
                <w:sz w:val="17"/>
              </w:rPr>
              <w:t xml:space="preserve">xVA VaR backtest</w:t>
            </w:r>
          </w:p>
        </w:tc>
        <w:tc>
          <w:tcPr/>
          <w:p>
            <w:pPr>
              <w:pStyle w:val="Compact"/>
              <w:jc w:val="left"/>
            </w:pPr>
            <w:r>
              <w:rPr>
                <w:sz w:val="17"/>
              </w:rPr>
              <w:t xml:space="preserve">overall AMBER for xva_var</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auto</w:t>
            </w:r>
          </w:p>
        </w:tc>
      </w:tr>
      <w:tr>
        <w:tc>
          <w:tcPr/>
          <w:p>
            <w:pPr>
              <w:pStyle w:val="Compact"/>
              <w:jc w:val="left"/>
            </w:pPr>
            <w:r>
              <w:rPr>
                <w:sz w:val="17"/>
              </w:rPr>
              <w:t xml:space="preserve">F-12</w:t>
            </w:r>
          </w:p>
        </w:tc>
        <w:tc>
          <w:tcPr/>
          <w:p>
            <w:pPr>
              <w:pStyle w:val="Compact"/>
              <w:jc w:val="left"/>
            </w:pPr>
            <w:r>
              <w:rPr>
                <w:sz w:val="17"/>
              </w:rPr>
              <w:t xml:space="preserve">CRIF design</w:t>
            </w:r>
          </w:p>
        </w:tc>
        <w:tc>
          <w:tcPr/>
          <w:p>
            <w:pPr>
              <w:pStyle w:val="Compact"/>
              <w:jc w:val="left"/>
            </w:pPr>
            <w:r>
              <w:rPr>
                <w:sz w:val="17"/>
              </w:rPr>
              <w:t xml:space="preserve">FX vega IM depends on a non-standard CRIF column (SigmaMarket)</w:t>
            </w:r>
          </w:p>
        </w:tc>
        <w:tc>
          <w:tcPr/>
          <w:p>
            <w:pPr>
              <w:pStyle w:val="Compact"/>
              <w:jc w:val="left"/>
            </w:pPr>
            <w:r>
              <w:rPr>
                <w:sz w:val="17"/>
              </w:rPr>
              <w:t xml:space="preserve">Medium</w:t>
            </w:r>
          </w:p>
        </w:tc>
        <w:tc>
          <w:tcPr/>
          <w:p>
            <w:pPr>
              <w:pStyle w:val="Compact"/>
              <w:jc w:val="left"/>
            </w:pPr>
            <w:r>
              <w:rPr>
                <w:sz w:val="17"/>
              </w:rPr>
              <w:t xml:space="preserve">Amber</w:t>
            </w:r>
          </w:p>
        </w:tc>
        <w:tc>
          <w:tcPr/>
          <w:p>
            <w:pPr>
              <w:pStyle w:val="Compact"/>
              <w:jc w:val="left"/>
            </w:pPr>
            <w:r>
              <w:rPr>
                <w:sz w:val="17"/>
              </w:rPr>
              <w:t xml:space="preserve">auto</w:t>
            </w:r>
          </w:p>
        </w:tc>
      </w:tr>
      <w:tr>
        <w:tc>
          <w:tcPr/>
          <w:p>
            <w:pPr>
              <w:pStyle w:val="Compact"/>
              <w:jc w:val="left"/>
            </w:pPr>
            <w:r>
              <w:rPr>
                <w:sz w:val="17"/>
              </w:rPr>
              <w:t xml:space="preserve">F-13</w:t>
            </w:r>
          </w:p>
        </w:tc>
        <w:tc>
          <w:tcPr/>
          <w:p>
            <w:pPr>
              <w:pStyle w:val="Compact"/>
              <w:jc w:val="left"/>
            </w:pPr>
            <w:r>
              <w:rPr>
                <w:sz w:val="17"/>
              </w:rPr>
              <w:t xml:space="preserve">Verification</w:t>
            </w:r>
          </w:p>
        </w:tc>
        <w:tc>
          <w:tcPr/>
          <w:p>
            <w:pPr>
              <w:pStyle w:val="Compact"/>
              <w:jc w:val="left"/>
            </w:pPr>
            <w:r>
              <w:rPr>
                <w:sz w:val="17"/>
              </w:rPr>
              <w:t xml:space="preserve">Kupiec (1995) and Christoffersen (1998) verified only against secondary sources and numeric references</w:t>
            </w:r>
          </w:p>
        </w:tc>
        <w:tc>
          <w:tcPr/>
          <w:p>
            <w:pPr>
              <w:pStyle w:val="Compact"/>
              <w:jc w:val="left"/>
            </w:pPr>
            <w:r>
              <w:rPr>
                <w:sz w:val="17"/>
              </w:rPr>
              <w:t xml:space="preserve">Low</w:t>
            </w:r>
          </w:p>
        </w:tc>
        <w:tc>
          <w:tcPr/>
          <w:p>
            <w:pPr>
              <w:pStyle w:val="Compact"/>
              <w:jc w:val="left"/>
            </w:pPr>
            <w:r>
              <w:rPr>
                <w:sz w:val="17"/>
              </w:rPr>
              <w:t xml:space="preserve">Green</w:t>
            </w:r>
          </w:p>
        </w:tc>
        <w:tc>
          <w:tcPr/>
          <w:p>
            <w:pPr>
              <w:pStyle w:val="Compact"/>
              <w:jc w:val="left"/>
            </w:pPr>
            <w:r>
              <w:rPr>
                <w:sz w:val="17"/>
              </w:rPr>
              <w:t xml:space="preserve">review</w:t>
            </w:r>
          </w:p>
        </w:tc>
      </w:tr>
      <w:tr>
        <w:tc>
          <w:tcPr/>
          <w:p>
            <w:pPr>
              <w:pStyle w:val="Compact"/>
              <w:jc w:val="left"/>
            </w:pPr>
            <w:r>
              <w:rPr>
                <w:sz w:val="17"/>
              </w:rPr>
              <w:t xml:space="preserve">F-14</w:t>
            </w:r>
          </w:p>
        </w:tc>
        <w:tc>
          <w:tcPr/>
          <w:p>
            <w:pPr>
              <w:pStyle w:val="Compact"/>
              <w:jc w:val="left"/>
            </w:pPr>
            <w:r>
              <w:rPr>
                <w:sz w:val="17"/>
              </w:rPr>
              <w:t xml:space="preserve">Verification</w:t>
            </w:r>
          </w:p>
        </w:tc>
        <w:tc>
          <w:tcPr/>
          <w:p>
            <w:pPr>
              <w:pStyle w:val="Compact"/>
              <w:jc w:val="left"/>
            </w:pPr>
            <w:r>
              <w:rPr>
                <w:sz w:val="17"/>
              </w:rPr>
              <w:t xml:space="preserve">IR vega correlation rests on the methodology text, not on ISDA's calculator</w:t>
            </w:r>
          </w:p>
        </w:tc>
        <w:tc>
          <w:tcPr/>
          <w:p>
            <w:pPr>
              <w:pStyle w:val="Compact"/>
              <w:jc w:val="left"/>
            </w:pPr>
            <w:r>
              <w:rPr>
                <w:sz w:val="17"/>
              </w:rPr>
              <w:t xml:space="preserve">Low</w:t>
            </w:r>
          </w:p>
        </w:tc>
        <w:tc>
          <w:tcPr/>
          <w:p>
            <w:pPr>
              <w:pStyle w:val="Compact"/>
              <w:jc w:val="left"/>
            </w:pPr>
            <w:r>
              <w:rPr>
                <w:sz w:val="17"/>
              </w:rPr>
              <w:t xml:space="preserve">Green</w:t>
            </w:r>
          </w:p>
        </w:tc>
        <w:tc>
          <w:tcPr/>
          <w:p>
            <w:pPr>
              <w:pStyle w:val="Compact"/>
              <w:jc w:val="left"/>
            </w:pPr>
            <w:r>
              <w:rPr>
                <w:sz w:val="17"/>
              </w:rPr>
              <w:t xml:space="preserve">review</w:t>
            </w:r>
          </w:p>
        </w:tc>
      </w:tr>
      <w:tr>
        <w:tc>
          <w:tcPr/>
          <w:p>
            <w:pPr>
              <w:pStyle w:val="Compact"/>
              <w:jc w:val="left"/>
            </w:pPr>
            <w:r>
              <w:rPr>
                <w:sz w:val="17"/>
              </w:rPr>
              <w:t xml:space="preserve">F-15</w:t>
            </w:r>
          </w:p>
        </w:tc>
        <w:tc>
          <w:tcPr/>
          <w:p>
            <w:pPr>
              <w:pStyle w:val="Compact"/>
              <w:jc w:val="left"/>
            </w:pPr>
            <w:r>
              <w:rPr>
                <w:sz w:val="17"/>
              </w:rPr>
              <w:t xml:space="preserve">Backtesting</w:t>
            </w:r>
          </w:p>
        </w:tc>
        <w:tc>
          <w:tcPr/>
          <w:p>
            <w:pPr>
              <w:pStyle w:val="Compact"/>
              <w:jc w:val="left"/>
            </w:pPr>
            <w:r>
              <w:rPr>
                <w:sz w:val="17"/>
              </w:rPr>
              <w:t xml:space="preserve">Backtest windows overlap for the 10-day horizon</w:t>
            </w:r>
          </w:p>
        </w:tc>
        <w:tc>
          <w:tcPr/>
          <w:p>
            <w:pPr>
              <w:pStyle w:val="Compact"/>
              <w:jc w:val="left"/>
            </w:pPr>
            <w:r>
              <w:rPr>
                <w:sz w:val="17"/>
              </w:rPr>
              <w:t xml:space="preserve">Low</w:t>
            </w:r>
          </w:p>
        </w:tc>
        <w:tc>
          <w:tcPr/>
          <w:p>
            <w:pPr>
              <w:pStyle w:val="Compact"/>
              <w:jc w:val="left"/>
            </w:pPr>
            <w:r>
              <w:rPr>
                <w:sz w:val="17"/>
              </w:rPr>
              <w:t xml:space="preserve">Green</w:t>
            </w:r>
          </w:p>
        </w:tc>
        <w:tc>
          <w:tcPr/>
          <w:p>
            <w:pPr>
              <w:pStyle w:val="Compact"/>
              <w:jc w:val="left"/>
            </w:pPr>
            <w:r>
              <w:rPr>
                <w:sz w:val="17"/>
              </w:rPr>
              <w:t xml:space="preserve">review</w:t>
            </w:r>
          </w:p>
        </w:tc>
      </w:tr>
      <w:tr>
        <w:tc>
          <w:tcPr/>
          <w:p>
            <w:pPr>
              <w:pStyle w:val="Compact"/>
              <w:jc w:val="left"/>
            </w:pPr>
            <w:r>
              <w:rPr>
                <w:sz w:val="17"/>
              </w:rPr>
              <w:t xml:space="preserve">F-16</w:t>
            </w:r>
          </w:p>
        </w:tc>
        <w:tc>
          <w:tcPr/>
          <w:p>
            <w:pPr>
              <w:pStyle w:val="Compact"/>
              <w:jc w:val="left"/>
            </w:pPr>
            <w:r>
              <w:rPr>
                <w:sz w:val="17"/>
              </w:rPr>
              <w:t xml:space="preserve">Attribution</w:t>
            </w:r>
          </w:p>
        </w:tc>
        <w:tc>
          <w:tcPr/>
          <w:p>
            <w:pPr>
              <w:pStyle w:val="Compact"/>
              <w:jc w:val="left"/>
            </w:pPr>
            <w:r>
              <w:rPr>
                <w:sz w:val="17"/>
              </w:rPr>
              <w:t xml:space="preserve">One-at-a-time attribution leaves a large interaction residual</w:t>
            </w:r>
          </w:p>
        </w:tc>
        <w:tc>
          <w:tcPr/>
          <w:p>
            <w:pPr>
              <w:pStyle w:val="Compact"/>
              <w:jc w:val="left"/>
            </w:pPr>
            <w:r>
              <w:rPr>
                <w:sz w:val="17"/>
              </w:rPr>
              <w:t xml:space="preserve">Low</w:t>
            </w:r>
          </w:p>
        </w:tc>
        <w:tc>
          <w:tcPr/>
          <w:p>
            <w:pPr>
              <w:pStyle w:val="Compact"/>
              <w:jc w:val="left"/>
            </w:pPr>
            <w:r>
              <w:rPr>
                <w:sz w:val="17"/>
              </w:rPr>
              <w:t xml:space="preserve">Green</w:t>
            </w:r>
          </w:p>
        </w:tc>
        <w:tc>
          <w:tcPr/>
          <w:p>
            <w:pPr>
              <w:pStyle w:val="Compact"/>
              <w:jc w:val="left"/>
            </w:pPr>
            <w:r>
              <w:rPr>
                <w:sz w:val="17"/>
              </w:rPr>
              <w:t xml:space="preserve">auto</w:t>
            </w:r>
          </w:p>
        </w:tc>
      </w:tr>
      <w:tr>
        <w:tc>
          <w:tcPr/>
          <w:p>
            <w:pPr>
              <w:pStyle w:val="Compact"/>
              <w:jc w:val="left"/>
            </w:pPr>
            <w:r>
              <w:rPr>
                <w:sz w:val="17"/>
              </w:rPr>
              <w:t xml:space="preserve">F-17</w:t>
            </w:r>
          </w:p>
        </w:tc>
        <w:tc>
          <w:tcPr/>
          <w:p>
            <w:pPr>
              <w:pStyle w:val="Compact"/>
              <w:jc w:val="left"/>
            </w:pPr>
            <w:r>
              <w:rPr>
                <w:sz w:val="17"/>
              </w:rPr>
              <w:t xml:space="preserve">Schedule IM</w:t>
            </w:r>
          </w:p>
        </w:tc>
        <w:tc>
          <w:tcPr/>
          <w:p>
            <w:pPr>
              <w:pStyle w:val="Compact"/>
              <w:jc w:val="left"/>
            </w:pPr>
            <w:r>
              <w:rPr>
                <w:sz w:val="17"/>
              </w:rPr>
              <w:t xml:space="preserve">schedule_im converts notionals at fixed base FX levels unless a market rate is passed</w:t>
            </w:r>
          </w:p>
        </w:tc>
        <w:tc>
          <w:tcPr/>
          <w:p>
            <w:pPr>
              <w:pStyle w:val="Compact"/>
              <w:jc w:val="left"/>
            </w:pPr>
            <w:r>
              <w:rPr>
                <w:sz w:val="17"/>
              </w:rPr>
              <w:t xml:space="preserve">Low</w:t>
            </w:r>
          </w:p>
        </w:tc>
        <w:tc>
          <w:tcPr/>
          <w:p>
            <w:pPr>
              <w:pStyle w:val="Compact"/>
              <w:jc w:val="left"/>
            </w:pPr>
            <w:r>
              <w:rPr>
                <w:sz w:val="17"/>
              </w:rPr>
              <w:t xml:space="preserve">Green</w:t>
            </w:r>
          </w:p>
        </w:tc>
        <w:tc>
          <w:tcPr/>
          <w:p>
            <w:pPr>
              <w:pStyle w:val="Compact"/>
              <w:jc w:val="left"/>
            </w:pPr>
            <w:r>
              <w:rPr>
                <w:sz w:val="17"/>
              </w:rPr>
              <w:t xml:space="preserve">auto</w:t>
            </w:r>
          </w:p>
        </w:tc>
      </w:tr>
    </w:tbl>
    <w:p>
      <w:pPr>
        <w:pStyle w:val="BodyText"/>
      </w:pPr>
      <w:r>
        <w:t xml:space="preserve">The 2 High findings are the ones a model owner could not ignore: a scope disclaimer that stands over every number, and the champion's worst rolling 250-day window in the red zone. Of the Medium findings the most consequential for a real deployment are F-05 (CVA excludes options), F-06 (hypothetical P&amp;L), F-07 (one SIMM version for the whole history), F-12 (the FX vega convention) and the unverified-regulation items F-08 and F-09.</w:t>
      </w:r>
    </w:p>
    <w:bookmarkEnd w:id="123"/>
    <w:bookmarkEnd w:id="124"/>
    <w:bookmarkStart w:id="125" w:name="X04e191f8abf7901de9578d69ad4c8f4a60e3a5d"/>
    <w:p>
      <w:pPr>
        <w:pStyle w:val="Heading1"/>
      </w:pPr>
      <w:r>
        <w:rPr>
          <w:rStyle w:val="SectionNumber"/>
        </w:rPr>
        <w:t xml:space="preserve">15</w:t>
      </w:r>
      <w:r>
        <w:tab/>
      </w:r>
      <w:r>
        <w:t xml:space="preserve">Excel workbook walkthrough and reconciliation</w:t>
      </w:r>
    </w:p>
    <w:p>
      <w:pPr>
        <w:pStyle w:val="FirstParagraph"/>
      </w:pPr>
      <w:r>
        <w:t xml:space="preserve">An Excel workbook,</w:t>
      </w:r>
      <w:r>
        <w:t xml:space="preserve"> </w:t>
      </w:r>
      <w:r>
        <w:rPr>
          <w:rStyle w:val="VerbatimChar"/>
        </w:rPr>
        <w:t xml:space="preserve">excel/simm_margin_workbook.xlsx</w:t>
      </w:r>
      <w:r>
        <w:t xml:space="preserve">, repeats the central calculations with live formulas so that every number can be audited cell by cell without Python. Its sheets are: README, Inputs, Parameters (typed values with a provenance column), Portfolio, Sensitivities (typed CRIF from Python plus live Bachelier and Garman-Kohlhagen checks), SIMM_Delta and SIMM_Vega (live risk-weight lookup with INDEX and MATCH, concentration factor, weighted sensitivities, helper grids of correlation times weighted sensitivities,</w:t>
      </w:r>
      <w:r>
        <w:t xml:space="preserve"> </w:t>
      </w:r>
      <m:oMath>
        <m:sSub>
          <m:e>
            <m:r>
              <m:t>K</m:t>
            </m:r>
          </m:e>
          <m:sub>
            <m:r>
              <m:t>b</m:t>
            </m:r>
          </m:sub>
        </m:sSub>
      </m:oMath>
      <w:r>
        <w:t xml:space="preserve"> </w:t>
      </w:r>
      <w:r>
        <w:t xml:space="preserve">as the square root of the sum of the grid,</w:t>
      </w:r>
      <w:r>
        <w:t xml:space="preserve"> </w:t>
      </w:r>
      <m:oMath>
        <m:sSub>
          <m:e>
            <m:r>
              <m:t>S</m:t>
            </m:r>
          </m:e>
          <m:sub>
            <m:r>
              <m:t>b</m:t>
            </m:r>
          </m:sub>
        </m:sSub>
      </m:oMath>
      <w:r>
        <w:t xml:space="preserve"> </w:t>
      </w:r>
      <w:r>
        <w:t xml:space="preserve">and the inter-currency grid), SIMM_Curvature (scaling function,</w:t>
      </w:r>
      <w:r>
        <w:t xml:space="preserve"> </w:t>
      </w:r>
      <m:oMath>
        <m:r>
          <m:t>C</m:t>
        </m:r>
        <m:r>
          <m:t>V</m:t>
        </m:r>
        <m:r>
          <m:t>R</m:t>
        </m:r>
      </m:oMath>
      <w:r>
        <w:t xml:space="preserve">,</w:t>
      </w:r>
      <w:r>
        <w:t xml:space="preserve"> </w:t>
      </w:r>
      <m:oMath>
        <m:r>
          <m:t>θ</m:t>
        </m:r>
      </m:oMath>
      <w:r>
        <w:t xml:space="preserve">,</w:t>
      </w:r>
      <w:r>
        <w:t xml:space="preserve"> </w:t>
      </w:r>
      <m:oMath>
        <m:r>
          <m:t>λ</m:t>
        </m:r>
      </m:oMath>
      <w:r>
        <w:t xml:space="preserve"> </w:t>
      </w:r>
      <w:r>
        <w:t xml:space="preserve">via NORMSINV and the</w:t>
      </w:r>
      <w:r>
        <w:t xml:space="preserve"> </w:t>
      </w:r>
      <m:oMath>
        <m:r>
          <m:t>H</m:t>
        </m:r>
        <m:r>
          <m:t>V</m:t>
        </m:r>
        <m:sSup>
          <m:e>
            <m:r>
              <m:t>R</m:t>
            </m:r>
          </m:e>
          <m:sup>
            <m:r>
              <m:rPr>
                <m:sty m:val="p"/>
              </m:rPr>
              <m:t>−</m:t>
            </m:r>
            <m:r>
              <m:t>2</m:t>
            </m:r>
          </m:sup>
        </m:sSup>
      </m:oMath>
      <w:r>
        <w:t xml:space="preserve"> </w:t>
      </w:r>
      <w:r>
        <w:t xml:space="preserve">factor), SIMM_Total, Schedule_IM, Backtest (typed series with live exceptions, Kupiec with LN and CHIDIST, Christoffersen transition counts with SUMPRODUCT on offset ranges, and zones by cumulative binomial), Attribution (typed subset IMs with live bridge and Shapley weights), Checks and Conclusions. It avoids MMULT, array formulas, LET, XLOOKUP and FILTER so that it opens in Excel 2016 and LibreOffice, and uses plain formatting.</w:t>
      </w:r>
    </w:p>
    <w:p>
      <w:pPr>
        <w:pStyle w:val="BodyText"/>
      </w:pPr>
      <w:r>
        <w:t xml:space="preserve">The workbook is reconciled to the Python outputs by</w:t>
      </w:r>
      <w:r>
        <w:t xml:space="preserve"> </w:t>
      </w:r>
      <w:r>
        <w:rPr>
          <w:rStyle w:val="VerbatimChar"/>
        </w:rPr>
        <w:t xml:space="preserve">reconcile_excel.py</w:t>
      </w:r>
      <w:r>
        <w:t xml:space="preserve">, which recalculates the workbook in LibreOffice and compares cell values with Python at these tolerances: weighted sensitivities,</w:t>
      </w:r>
      <w:r>
        <w:t xml:space="preserve"> </w:t>
      </w:r>
      <m:oMath>
        <m:sSub>
          <m:e>
            <m:r>
              <m:t>K</m:t>
            </m:r>
          </m:e>
          <m:sub>
            <m:r>
              <m:t>b</m:t>
            </m:r>
          </m:sub>
        </m:sSub>
      </m:oMath>
      <w:r>
        <w:t xml:space="preserve"> </w:t>
      </w:r>
      <w:r>
        <w:t xml:space="preserve">and margins to</w:t>
      </w:r>
      <w:r>
        <w:t xml:space="preserve"> </w:t>
      </w:r>
      <m:oMath>
        <m:sSup>
          <m:e>
            <m:r>
              <m:t>10</m:t>
            </m:r>
          </m:e>
          <m:sup>
            <m:r>
              <m:rPr>
                <m:sty m:val="p"/>
              </m:rPr>
              <m:t>−</m:t>
            </m:r>
            <m:r>
              <m:t>9</m:t>
            </m:r>
          </m:sup>
        </m:sSup>
      </m:oMath>
      <w:r>
        <w:t xml:space="preserve"> </w:t>
      </w:r>
      <w:r>
        <w:t xml:space="preserve">relative; total IM to USD 0.01; likelihood ratios to</w:t>
      </w:r>
      <w:r>
        <w:t xml:space="preserve"> </w:t>
      </w:r>
      <m:oMath>
        <m:sSup>
          <m:e>
            <m:r>
              <m:t>10</m:t>
            </m:r>
          </m:e>
          <m:sup>
            <m:r>
              <m:rPr>
                <m:sty m:val="p"/>
              </m:rPr>
              <m:t>−</m:t>
            </m:r>
            <m:r>
              <m:t>9</m:t>
            </m:r>
          </m:sup>
        </m:sSup>
      </m:oMath>
      <w:r>
        <w:t xml:space="preserve">; p-values to</w:t>
      </w:r>
      <w:r>
        <w:t xml:space="preserve"> </w:t>
      </w:r>
      <m:oMath>
        <m:sSup>
          <m:e>
            <m:r>
              <m:t>10</m:t>
            </m:r>
          </m:e>
          <m:sup>
            <m:r>
              <m:rPr>
                <m:sty m:val="p"/>
              </m:rPr>
              <m:t>−</m:t>
            </m:r>
            <m:r>
              <m:t>10</m:t>
            </m:r>
          </m:sup>
        </m:sSup>
      </m:oMath>
      <w:r>
        <w:t xml:space="preserve">; exception counts exactly; Shapley values to USD 0.01. The result is written to</w:t>
      </w:r>
      <w:r>
        <w:t xml:space="preserve"> </w:t>
      </w:r>
      <w:r>
        <w:rPr>
          <w:rStyle w:val="VerbatimChar"/>
        </w:rPr>
        <w:t xml:space="preserve">python/outputs/excel_reconciliation.json</w:t>
      </w:r>
      <w:r>
        <w:t xml:space="preserve">.</w:t>
      </w:r>
    </w:p>
    <w:p>
      <w:pPr>
        <w:pStyle w:val="BodyText"/>
      </w:pPr>
      <w:r>
        <w:t xml:space="preserve">The reconciliation report lists 3 checks: 3 pass and 0 fail.</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case</w:t>
            </w:r>
          </w:p>
        </w:tc>
        <w:tc>
          <w:tcPr/>
          <w:p>
            <w:pPr>
              <w:pStyle w:val="Compact"/>
              <w:jc w:val="left"/>
            </w:pPr>
            <w:r>
              <w:rPr>
                <w:sz w:val="17"/>
              </w:rPr>
              <w:t xml:space="preserve">passed</w:t>
            </w:r>
          </w:p>
        </w:tc>
        <w:tc>
          <w:tcPr/>
          <w:p>
            <w:pPr>
              <w:pStyle w:val="Compact"/>
              <w:jc w:val="left"/>
            </w:pPr>
            <w:r>
              <w:rPr>
                <w:sz w:val="17"/>
              </w:rPr>
              <w:t xml:space="preserve">n_compared</w:t>
            </w:r>
          </w:p>
        </w:tc>
        <w:tc>
          <w:tcPr/>
          <w:p>
            <w:pPr>
              <w:pStyle w:val="Compact"/>
              <w:jc w:val="left"/>
            </w:pPr>
            <w:r>
              <w:rPr>
                <w:sz w:val="17"/>
              </w:rPr>
              <w:t xml:space="preserve">workbook_checks</w:t>
            </w:r>
          </w:p>
        </w:tc>
        <w:tc>
          <w:tcPr/>
          <w:p>
            <w:pPr>
              <w:pStyle w:val="Compact"/>
              <w:jc w:val="left"/>
            </w:pPr>
            <w:r>
              <w:rPr>
                <w:sz w:val="17"/>
              </w:rPr>
              <w:t xml:space="preserve">error_cells</w:t>
            </w:r>
          </w:p>
        </w:tc>
      </w:tr>
      <w:tr>
        <w:tc>
          <w:tcPr/>
          <w:p>
            <w:pPr>
              <w:pStyle w:val="Compact"/>
              <w:jc w:val="left"/>
            </w:pPr>
            <w:r>
              <w:rPr>
                <w:sz w:val="17"/>
              </w:rPr>
              <w:t xml:space="preserve">base</w:t>
            </w:r>
          </w:p>
        </w:tc>
        <w:tc>
          <w:tcPr/>
          <w:p>
            <w:pPr>
              <w:pStyle w:val="Compact"/>
              <w:jc w:val="left"/>
            </w:pPr>
            <w:r>
              <w:rPr>
                <w:sz w:val="17"/>
              </w:rPr>
              <w:t xml:space="preserve">True</w:t>
            </w:r>
          </w:p>
        </w:tc>
        <w:tc>
          <w:tcPr/>
          <w:p>
            <w:pPr>
              <w:pStyle w:val="Compact"/>
              <w:jc w:val="left"/>
            </w:pPr>
            <w:r>
              <w:rPr>
                <w:sz w:val="17"/>
              </w:rPr>
              <w:t xml:space="preserve">360</w:t>
            </w:r>
          </w:p>
        </w:tc>
        <w:tc>
          <w:tcPr/>
          <w:p>
            <w:pPr>
              <w:pStyle w:val="Compact"/>
              <w:jc w:val="left"/>
            </w:pPr>
            <w:r>
              <w:rPr>
                <w:sz w:val="17"/>
              </w:rPr>
              <w:t xml:space="preserve">360/360</w:t>
            </w:r>
          </w:p>
        </w:tc>
        <w:tc>
          <w:tcPr/>
          <w:p>
            <w:pPr>
              <w:pStyle w:val="Compact"/>
              <w:jc w:val="left"/>
            </w:pPr>
            <w:r>
              <w:rPr>
                <w:sz w:val="17"/>
              </w:rPr>
              <w:t xml:space="preserve">0</w:t>
            </w:r>
          </w:p>
        </w:tc>
      </w:tr>
      <w:tr>
        <w:tc>
          <w:tcPr/>
          <w:p>
            <w:pPr>
              <w:pStyle w:val="Compact"/>
              <w:jc w:val="left"/>
            </w:pPr>
            <w:r>
              <w:rPr>
                <w:sz w:val="17"/>
              </w:rPr>
              <w:t xml:space="preserve">usd10y_x1.5_params2506_p2pct</w:t>
            </w:r>
          </w:p>
        </w:tc>
        <w:tc>
          <w:tcPr/>
          <w:p>
            <w:pPr>
              <w:pStyle w:val="Compact"/>
              <w:jc w:val="left"/>
            </w:pPr>
            <w:r>
              <w:rPr>
                <w:sz w:val="17"/>
              </w:rPr>
              <w:t xml:space="preserve">True</w:t>
            </w:r>
          </w:p>
        </w:tc>
        <w:tc>
          <w:tcPr/>
          <w:p>
            <w:pPr>
              <w:pStyle w:val="Compact"/>
              <w:jc w:val="left"/>
            </w:pPr>
            <w:r>
              <w:rPr>
                <w:sz w:val="17"/>
              </w:rPr>
              <w:t xml:space="preserve">360</w:t>
            </w:r>
          </w:p>
        </w:tc>
        <w:tc>
          <w:tcPr/>
          <w:p>
            <w:pPr>
              <w:pStyle w:val="Compact"/>
              <w:jc w:val="left"/>
            </w:pPr>
            <w:r>
              <w:rPr>
                <w:sz w:val="17"/>
              </w:rPr>
              <w:t xml:space="preserve">360/360</w:t>
            </w:r>
          </w:p>
        </w:tc>
        <w:tc>
          <w:tcPr/>
          <w:p>
            <w:pPr>
              <w:pStyle w:val="Compact"/>
              <w:jc w:val="left"/>
            </w:pPr>
            <w:r>
              <w:rPr>
                <w:sz w:val="17"/>
              </w:rPr>
              <w:t xml:space="preserve">0</w:t>
            </w:r>
          </w:p>
        </w:tc>
      </w:tr>
      <w:tr>
        <w:tc>
          <w:tcPr/>
          <w:p>
            <w:pPr>
              <w:pStyle w:val="Compact"/>
              <w:jc w:val="left"/>
            </w:pPr>
            <w:r>
              <w:rPr>
                <w:sz w:val="17"/>
              </w:rPr>
              <w:t xml:space="preserve">concentration_stress_cr_above_1</w:t>
            </w:r>
          </w:p>
        </w:tc>
        <w:tc>
          <w:tcPr/>
          <w:p>
            <w:pPr>
              <w:pStyle w:val="Compact"/>
              <w:jc w:val="left"/>
            </w:pPr>
            <w:r>
              <w:rPr>
                <w:sz w:val="17"/>
              </w:rPr>
              <w:t xml:space="preserve">True</w:t>
            </w:r>
          </w:p>
        </w:tc>
        <w:tc>
          <w:tcPr/>
          <w:p>
            <w:pPr>
              <w:pStyle w:val="Compact"/>
              <w:jc w:val="left"/>
            </w:pPr>
            <w:r>
              <w:rPr>
                <w:sz w:val="17"/>
              </w:rPr>
              <w:t xml:space="preserve">360</w:t>
            </w:r>
          </w:p>
        </w:tc>
        <w:tc>
          <w:tcPr/>
          <w:p>
            <w:pPr>
              <w:pStyle w:val="Compact"/>
              <w:jc w:val="left"/>
            </w:pPr>
            <w:r>
              <w:rPr>
                <w:sz w:val="17"/>
              </w:rPr>
              <w:t xml:space="preserve">360/360</w:t>
            </w:r>
          </w:p>
        </w:tc>
        <w:tc>
          <w:tcPr/>
          <w:p>
            <w:pPr>
              <w:pStyle w:val="Compact"/>
              <w:jc w:val="left"/>
            </w:pPr>
            <w:r>
              <w:rPr>
                <w:sz w:val="17"/>
              </w:rPr>
              <w:t xml:space="preserve">0</w:t>
            </w:r>
          </w:p>
        </w:tc>
      </w:tr>
    </w:tbl>
    <w:p>
      <w:pPr>
        <w:pStyle w:val="BodyText"/>
      </w:pPr>
      <w:r>
        <w:t xml:space="preserve">Report header fields: all_passed = True; quick = False; n_cases = 3; n_formulas = 8996; n_checks_per_case = 360; libreoffice = C:</w:t>
      </w:r>
      <w:r>
        <w:t xml:space="preserve">Files</w:t>
      </w:r>
      <w:r>
        <w:t xml:space="preserve">.exe; runtime_s = 50.9.</w:t>
      </w:r>
    </w:p>
    <w:bookmarkEnd w:id="125"/>
    <w:bookmarkStart w:id="126" w:name="limitations"/>
    <w:p>
      <w:pPr>
        <w:pStyle w:val="Heading1"/>
      </w:pPr>
      <w:r>
        <w:rPr>
          <w:rStyle w:val="SectionNumber"/>
        </w:rPr>
        <w:t xml:space="preserve">16</w:t>
      </w:r>
      <w:r>
        <w:tab/>
      </w:r>
      <w:r>
        <w:t xml:space="preserve">Limitations</w:t>
      </w:r>
    </w:p>
    <w:p>
      <w:pPr>
        <w:pStyle w:val="FirstParagraph"/>
      </w:pPr>
      <w:r>
        <w:t xml:space="preserve">This section lists every limitation known from the build and from the outputs. A reader should treat the numbers as a demonstration of method.</w:t>
      </w:r>
    </w:p>
    <w:p>
      <w:pPr>
        <w:pStyle w:val="Compact"/>
        <w:numPr>
          <w:ilvl w:val="0"/>
          <w:numId w:val="1009"/>
        </w:numPr>
      </w:pPr>
      <w:r>
        <w:rPr>
          <w:b/>
          <w:bCs/>
        </w:rPr>
        <w:t xml:space="preserve">Not ISDA-licensed, not certified.</w:t>
      </w:r>
      <w:r>
        <w:t xml:space="preserve"> </w:t>
      </w:r>
      <w:r>
        <w:t xml:space="preserve">The engine implements the structure of the public methodology and uses its published parameters, but it has not been licensed, certified, or compared with ISDA's calculator or test portfolios. No number is a margin call or a compliance statement.</w:t>
      </w:r>
    </w:p>
    <w:p>
      <w:pPr>
        <w:pStyle w:val="Compact"/>
        <w:numPr>
          <w:ilvl w:val="0"/>
          <w:numId w:val="1009"/>
        </w:numPr>
      </w:pPr>
      <w:r>
        <w:rPr>
          <w:b/>
          <w:bCs/>
        </w:rPr>
        <w:t xml:space="preserve">Synthetic data.</w:t>
      </w:r>
      <w:r>
        <w:t xml:space="preserve"> </w:t>
      </w:r>
      <w:r>
        <w:t xml:space="preserve">The history is simulated by a model written for this project. The backtests measure fit to that world. Real markets have features (jumps, liquidity, correlation breaks) that the generator only partly reproduces.</w:t>
      </w:r>
    </w:p>
    <w:p>
      <w:pPr>
        <w:pStyle w:val="Compact"/>
        <w:numPr>
          <w:ilvl w:val="0"/>
          <w:numId w:val="1009"/>
        </w:numPr>
      </w:pPr>
      <w:r>
        <w:rPr>
          <w:b/>
          <w:bCs/>
        </w:rPr>
        <w:t xml:space="preserve">One netting set, one counterparty.</w:t>
      </w:r>
      <w:r>
        <w:t xml:space="preserve"> </w:t>
      </w:r>
      <w:r>
        <w:t xml:space="preserve">There is no multi-netting-set aggregation, no collateral agreement terms (thresholds, minimum transfer amounts), and no regulatory-versus-internal IM split.</w:t>
      </w:r>
    </w:p>
    <w:p>
      <w:pPr>
        <w:pStyle w:val="Compact"/>
        <w:numPr>
          <w:ilvl w:val="0"/>
          <w:numId w:val="1009"/>
        </w:numPr>
      </w:pPr>
      <w:r>
        <w:rPr>
          <w:b/>
          <w:bCs/>
        </w:rPr>
        <w:t xml:space="preserve">Single curve per currency.</w:t>
      </w:r>
      <w:r>
        <w:t xml:space="preserve"> </w:t>
      </w:r>
      <w:r>
        <w:t xml:space="preserve">There are no projection curves by tenor and no basis curves, so the sub-curve correlation</w:t>
      </w:r>
      <w:r>
        <w:t xml:space="preserve"> </w:t>
      </w:r>
      <m:oMath>
        <m:r>
          <m:t>φ</m:t>
        </m:r>
        <m:r>
          <m:rPr>
            <m:sty m:val="p"/>
          </m:rPr>
          <m:t>=</m:t>
        </m:r>
        <m:r>
          <m:t>98.1</m:t>
        </m:r>
        <m:r>
          <m:rPr>
            <m:sty m:val="p"/>
          </m:rPr>
          <m:t>%</m:t>
        </m:r>
      </m:oMath>
      <w:r>
        <w:t xml:space="preserve"> </w:t>
      </w:r>
      <w:r>
        <w:t xml:space="preserve">is never used (F-03). The EUR/USD basis is one scalar.</w:t>
      </w:r>
    </w:p>
    <w:p>
      <w:pPr>
        <w:pStyle w:val="Compact"/>
        <w:numPr>
          <w:ilvl w:val="0"/>
          <w:numId w:val="1009"/>
        </w:numPr>
      </w:pPr>
      <w:r>
        <w:rPr>
          <w:b/>
          <w:bCs/>
        </w:rPr>
        <w:t xml:space="preserve">Scope: IR and FX only.</w:t>
      </w:r>
      <w:r>
        <w:t xml:space="preserve"> </w:t>
      </w:r>
      <w:r>
        <w:t xml:space="preserve">No inflation, credit qualifying or non-qualifying, equity or commodity risk classes; only the IR-FX entry of</w:t>
      </w:r>
      <w:r>
        <w:t xml:space="preserve"> </w:t>
      </w:r>
      <m:oMath>
        <m:r>
          <m:t>ψ</m:t>
        </m:r>
      </m:oMath>
      <w:r>
        <w:t xml:space="preserve"> </w:t>
      </w:r>
      <w:r>
        <w:t xml:space="preserve">is used (F-04). The ISDA tables for those classes were not extracted or verified (F-09).</w:t>
      </w:r>
    </w:p>
    <w:p>
      <w:pPr>
        <w:pStyle w:val="Compact"/>
        <w:numPr>
          <w:ilvl w:val="0"/>
          <w:numId w:val="1009"/>
        </w:numPr>
      </w:pPr>
      <w:r>
        <w:rPr>
          <w:b/>
          <w:bCs/>
        </w:rPr>
        <w:t xml:space="preserve">Hypothetical P&amp;L.</w:t>
      </w:r>
      <w:r>
        <w:t xml:space="preserve"> </w:t>
      </w:r>
      <w:r>
        <w:t xml:space="preserve">Backtest losses revalue a frozen portfolio with constant time to maturity: no cash flows, no ageing, no trading, no actual P&amp;L (F-06). The 10-day losses on overlapping windows are not independent.</w:t>
      </w:r>
    </w:p>
    <w:p>
      <w:pPr>
        <w:pStyle w:val="Compact"/>
        <w:numPr>
          <w:ilvl w:val="0"/>
          <w:numId w:val="1009"/>
        </w:numPr>
      </w:pPr>
      <w:r>
        <w:rPr>
          <w:b/>
          <w:bCs/>
        </w:rPr>
        <w:t xml:space="preserve">One SIMM version across the whole history.</w:t>
      </w:r>
      <w:r>
        <w:t xml:space="preserve"> </w:t>
      </w:r>
      <w:r>
        <w:t xml:space="preserve">The SIMM-style series uses v2.8+2512 on all dates although it first applied from COB 10 Jul 2026; 4.8% is the version effect on the valuation date (F-07).</w:t>
      </w:r>
    </w:p>
    <w:p>
      <w:pPr>
        <w:pStyle w:val="Compact"/>
        <w:numPr>
          <w:ilvl w:val="0"/>
          <w:numId w:val="1009"/>
        </w:numPr>
      </w:pPr>
      <w:r>
        <w:rPr>
          <w:b/>
          <w:bCs/>
        </w:rPr>
        <w:t xml:space="preserve">Linear-trade-only CVA.</w:t>
      </w:r>
      <w:r>
        <w:t xml:space="preserve"> </w:t>
      </w:r>
      <w:r>
        <w:t xml:space="preserve">Swaptions and FX options are excluded from the exposure model, and the Gaussian exposure approximation is crude (F-05). The xVA VaR backtest is therefore against the model's own CVA.</w:t>
      </w:r>
    </w:p>
    <w:p>
      <w:pPr>
        <w:pStyle w:val="Compact"/>
        <w:numPr>
          <w:ilvl w:val="0"/>
          <w:numId w:val="1009"/>
        </w:numPr>
      </w:pPr>
      <w:r>
        <w:rPr>
          <w:b/>
          <w:bCs/>
        </w:rPr>
        <w:t xml:space="preserve">Test limitations.</w:t>
      </w:r>
      <w:r>
        <w:t xml:space="preserve"> </w:t>
      </w:r>
      <w:r>
        <w:t xml:space="preserve">The non-overlapping 10-day sample has only 132 observations; the 250-day Kupiec test over-rejects because of discreteness; the house traffic light is a convention; the champion's worst rolling window is red and its conditional coverage is amber. The original Kupiec and Christoffersen papers were not obtained (F-13).</w:t>
      </w:r>
    </w:p>
    <w:p>
      <w:pPr>
        <w:pStyle w:val="Compact"/>
        <w:numPr>
          <w:ilvl w:val="0"/>
          <w:numId w:val="1009"/>
        </w:numPr>
      </w:pPr>
      <w:r>
        <w:rPr>
          <w:b/>
          <w:bCs/>
        </w:rPr>
        <w:t xml:space="preserve">Dispute ranking assumes a fixed list of single causes.</w:t>
      </w:r>
      <w:r>
        <w:t xml:space="preserve"> </w:t>
      </w:r>
      <w:r>
        <w:t xml:space="preserve">Composite and unlisted causes are harder, as D9 shows. Two hypotheses can produce identical residuals and are separated only by a tie-break.</w:t>
      </w:r>
    </w:p>
    <w:p>
      <w:pPr>
        <w:pStyle w:val="Compact"/>
        <w:numPr>
          <w:ilvl w:val="0"/>
          <w:numId w:val="1009"/>
        </w:numPr>
      </w:pPr>
      <w:r>
        <w:rPr>
          <w:b/>
          <w:bCs/>
        </w:rPr>
        <w:t xml:space="preserve">Attribution depends on the driver definition.</w:t>
      </w:r>
      <w:r>
        <w:t xml:space="preserve"> </w:t>
      </w:r>
      <w:r>
        <w:t xml:space="preserve">Shapley is symmetric and exact but its answer changes if drivers are defined differently; the bridge depends on its order.</w:t>
      </w:r>
    </w:p>
    <w:p>
      <w:pPr>
        <w:pStyle w:val="Compact"/>
        <w:numPr>
          <w:ilvl w:val="0"/>
          <w:numId w:val="1009"/>
        </w:numPr>
      </w:pPr>
      <w:r>
        <w:rPr>
          <w:b/>
          <w:bCs/>
        </w:rPr>
        <w:t xml:space="preserve">Non-standard CRIF column.</w:t>
      </w:r>
      <w:r>
        <w:t xml:space="preserve"> </w:t>
      </w:r>
      <w:r>
        <w:t xml:space="preserve">The FX vega treatment needs a market-vol column (</w:t>
      </w:r>
      <w:r>
        <w:rPr>
          <w:rStyle w:val="VerbatimChar"/>
        </w:rPr>
        <w:t xml:space="preserve">SigmaMarket</w:t>
      </w:r>
      <w:r>
        <w:t xml:space="preserve">). This was found and fixed during the build (F-12).</w:t>
      </w:r>
    </w:p>
    <w:p>
      <w:pPr>
        <w:pStyle w:val="Compact"/>
        <w:numPr>
          <w:ilvl w:val="0"/>
          <w:numId w:val="1009"/>
        </w:numPr>
      </w:pPr>
      <w:r>
        <w:rPr>
          <w:b/>
          <w:bCs/>
        </w:rPr>
        <w:t xml:space="preserve">The curvature sign convention</w:t>
      </w:r>
      <w:r>
        <w:t xml:space="preserve"> </w:t>
      </w:r>
      <w:r>
        <w:t xml:space="preserve">is implemented as printed in the methodology; the economic reading was not validated against ISDA's calculator. The IR vega correlation reading rests on the methodology text (F-14).</w:t>
      </w:r>
    </w:p>
    <w:p>
      <w:pPr>
        <w:pStyle w:val="Compact"/>
        <w:numPr>
          <w:ilvl w:val="0"/>
          <w:numId w:val="1009"/>
        </w:numPr>
      </w:pPr>
      <w:r>
        <w:rPr>
          <w:b/>
          <w:bCs/>
        </w:rPr>
        <w:t xml:space="preserve">Regulatory coverage.</w:t>
      </w:r>
      <w:r>
        <w:t xml:space="preserve"> </w:t>
      </w:r>
      <w:r>
        <w:t xml:space="preserve">Only the public texts listed in Section 19 were read. The EU consolidated text with amendments, 12 CFR 237.8 and 349.8 and CFTC 23.154 were not checked (F-08). The phase-in dates and the thresholds that decide which entities must exchange margin were not covered by the sources read and are not described here.</w:t>
      </w:r>
    </w:p>
    <w:p>
      <w:pPr>
        <w:pStyle w:val="Compact"/>
        <w:numPr>
          <w:ilvl w:val="0"/>
          <w:numId w:val="1009"/>
        </w:numPr>
      </w:pPr>
      <w:r>
        <w:rPr>
          <w:b/>
          <w:bCs/>
        </w:rPr>
        <w:t xml:space="preserve">Excel workbook.</w:t>
      </w:r>
      <w:r>
        <w:t xml:space="preserve"> </w:t>
      </w:r>
      <w:r>
        <w:t xml:space="preserve">The workbook repeats calculations on typed Python inputs; it is not an independent source of market data.</w:t>
      </w:r>
    </w:p>
    <w:bookmarkEnd w:id="126"/>
    <w:bookmarkStart w:id="127" w:name="how-to-run"/>
    <w:p>
      <w:pPr>
        <w:pStyle w:val="Heading1"/>
      </w:pPr>
      <w:r>
        <w:rPr>
          <w:rStyle w:val="SectionNumber"/>
        </w:rPr>
        <w:t xml:space="preserve">17</w:t>
      </w:r>
      <w:r>
        <w:tab/>
      </w:r>
      <w:r>
        <w:t xml:space="preserve">How to run</w:t>
      </w:r>
    </w:p>
    <w:p>
      <w:pPr>
        <w:pStyle w:val="FirstParagraph"/>
      </w:pPr>
      <w:r>
        <w:t xml:space="preserve">From the project root:</w:t>
      </w:r>
    </w:p>
    <w:p>
      <w:pPr>
        <w:pStyle w:val="SourceCode"/>
      </w:pPr>
      <w:r>
        <w:rPr>
          <w:rStyle w:val="VerbatimChar"/>
        </w:rPr>
        <w:t xml:space="preserve">cd python</w:t>
      </w:r>
      <w:r>
        <w:br/>
      </w:r>
      <w:r>
        <w:rPr>
          <w:rStyle w:val="VerbatimChar"/>
        </w:rPr>
        <w:t xml:space="preserve">py -3 -m pip install -r requirements.txt</w:t>
      </w:r>
      <w:r>
        <w:br/>
      </w:r>
      <w:r>
        <w:rPr>
          <w:rStyle w:val="VerbatimChar"/>
        </w:rPr>
        <w:t xml:space="preserve">py -3 -m simm_margin.cli            # full run, about 9 minutes</w:t>
      </w:r>
      <w:r>
        <w:br/>
      </w:r>
      <w:r>
        <w:rPr>
          <w:rStyle w:val="VerbatimChar"/>
        </w:rPr>
        <w:t xml:space="preserve">py -3 -m simm_margin.cli --quick    # about 2 minutes, shorter history</w:t>
      </w:r>
      <w:r>
        <w:br/>
      </w:r>
      <w:r>
        <w:rPr>
          <w:rStyle w:val="VerbatimChar"/>
        </w:rPr>
        <w:t xml:space="preserve">py -3 -m pytest -q</w:t>
      </w:r>
      <w:r>
        <w:br/>
      </w:r>
      <w:r>
        <w:rPr>
          <w:rStyle w:val="VerbatimChar"/>
        </w:rPr>
        <w:t xml:space="preserve">cd ..</w:t>
      </w:r>
      <w:r>
        <w:br/>
      </w:r>
      <w:r>
        <w:rPr>
          <w:rStyle w:val="VerbatimChar"/>
        </w:rPr>
        <w:t xml:space="preserve">py -3 docs/build_docs.py</w:t>
      </w:r>
    </w:p>
    <w:p>
      <w:pPr>
        <w:pStyle w:val="FirstParagraph"/>
      </w:pPr>
      <w:r>
        <w:t xml:space="preserve">The command-line pipeline runs, in order: synthetic history and portfolio, CRIF and SIMM for both parameter versions, schedule IM, the daily SIMM series, the backtest battery (VaR IM, SIMM, xVA VaR), the dispute simulator, attribution, UAT, the findings log, the charts and the Excel workbook with its reconciliation. Options</w:t>
      </w:r>
      <w:r>
        <w:t xml:space="preserve"> </w:t>
      </w:r>
      <w:r>
        <w:rPr>
          <w:rStyle w:val="VerbatimChar"/>
        </w:rPr>
        <w:t xml:space="preserve">--skip-charts</w:t>
      </w:r>
      <w:r>
        <w:t xml:space="preserve"> </w:t>
      </w:r>
      <w:r>
        <w:t xml:space="preserve">and</w:t>
      </w:r>
      <w:r>
        <w:t xml:space="preserve"> </w:t>
      </w:r>
      <w:r>
        <w:rPr>
          <w:rStyle w:val="VerbatimChar"/>
        </w:rPr>
        <w:t xml:space="preserve">--skip-excel</w:t>
      </w:r>
      <w:r>
        <w:t xml:space="preserve"> </w:t>
      </w:r>
      <w:r>
        <w:t xml:space="preserve">omit the last two. Outputs are written to</w:t>
      </w:r>
      <w:r>
        <w:t xml:space="preserve"> </w:t>
      </w:r>
      <w:r>
        <w:rPr>
          <w:rStyle w:val="VerbatimChar"/>
        </w:rPr>
        <w:t xml:space="preserve">python/outputs/</w:t>
      </w:r>
      <w:r>
        <w:t xml:space="preserve"> </w:t>
      </w:r>
      <w:r>
        <w:t xml:space="preserve">(CSV and JSON, each carrying the data source</w:t>
      </w:r>
      <w:r>
        <w:t xml:space="preserve"> </w:t>
      </w:r>
      <w:r>
        <w:rPr>
          <w:rStyle w:val="VerbatimChar"/>
        </w:rPr>
        <w:t xml:space="preserve">synthetic (no market data)</w:t>
      </w:r>
      <w:r>
        <w:t xml:space="preserve">), the charts to</w:t>
      </w:r>
      <w:r>
        <w:t xml:space="preserve"> </w:t>
      </w:r>
      <w:r>
        <w:rPr>
          <w:rStyle w:val="VerbatimChar"/>
        </w:rPr>
        <w:t xml:space="preserve">python/outputs/charts/</w:t>
      </w:r>
      <w:r>
        <w:t xml:space="preserve">, and this document to</w:t>
      </w:r>
      <w:r>
        <w:t xml:space="preserve"> </w:t>
      </w:r>
      <w:r>
        <w:rPr>
          <w:rStyle w:val="VerbatimChar"/>
        </w:rPr>
        <w:t xml:space="preserve">docs/</w:t>
      </w:r>
      <w:r>
        <w:t xml:space="preserve">. The documentation build reads only the outputs and the engine, so it can be re-run at any time (for example after the Excel reconciliation appears). Tests never write to</w:t>
      </w:r>
      <w:r>
        <w:t xml:space="preserve"> </w:t>
      </w:r>
      <w:r>
        <w:rPr>
          <w:rStyle w:val="VerbatimChar"/>
        </w:rPr>
        <w:t xml:space="preserve">python/outputs/</w:t>
      </w:r>
      <w:r>
        <w:t xml:space="preserve">.</w:t>
      </w:r>
    </w:p>
    <w:p>
      <w:pPr>
        <w:pStyle w:val="BodyText"/>
      </w:pPr>
      <w:r>
        <w:t xml:space="preserve">Column names are accessed through</w:t>
      </w:r>
      <w:r>
        <w:t xml:space="preserve"> </w:t>
      </w:r>
      <w:r>
        <w:rPr>
          <w:rStyle w:val="VerbatimChar"/>
        </w:rPr>
        <w:t xml:space="preserve">columns.py</w:t>
      </w:r>
      <w:r>
        <w:t xml:space="preserve">, user inputs sit in a config block at the top of every module, and all parameters are read from</w:t>
      </w:r>
      <w:r>
        <w:t xml:space="preserve"> </w:t>
      </w:r>
      <w:r>
        <w:rPr>
          <w:rStyle w:val="VerbatimChar"/>
        </w:rPr>
        <w:t xml:space="preserve">data/parameters/</w:t>
      </w:r>
      <w:r>
        <w:t xml:space="preserve">.</w:t>
      </w:r>
    </w:p>
    <w:bookmarkEnd w:id="127"/>
    <w:bookmarkStart w:id="128" w:name="glossary"/>
    <w:p>
      <w:pPr>
        <w:pStyle w:val="Heading1"/>
      </w:pPr>
      <w:r>
        <w:rPr>
          <w:rStyle w:val="SectionNumber"/>
        </w:rPr>
        <w:t xml:space="preserve">18</w:t>
      </w:r>
      <w:r>
        <w:tab/>
      </w:r>
      <w:r>
        <w:t xml:space="preserve">Glossary</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Term</w:t>
            </w:r>
          </w:p>
        </w:tc>
        <w:tc>
          <w:tcPr/>
          <w:p>
            <w:pPr>
              <w:pStyle w:val="Compact"/>
              <w:jc w:val="left"/>
            </w:pPr>
            <w:r>
              <w:rPr>
                <w:sz w:val="17"/>
              </w:rPr>
              <w:t xml:space="preserve">Meaning</w:t>
            </w:r>
          </w:p>
        </w:tc>
      </w:tr>
      <w:tr>
        <w:tc>
          <w:tcPr/>
          <w:p>
            <w:pPr>
              <w:pStyle w:val="Compact"/>
              <w:jc w:val="left"/>
            </w:pPr>
            <w:r>
              <w:rPr>
                <w:sz w:val="17"/>
              </w:rPr>
              <w:t xml:space="preserve">Backtest</w:t>
            </w:r>
          </w:p>
        </w:tc>
        <w:tc>
          <w:tcPr/>
          <w:p>
            <w:pPr>
              <w:pStyle w:val="Compact"/>
              <w:jc w:val="left"/>
            </w:pPr>
            <w:r>
              <w:rPr>
                <w:sz w:val="17"/>
              </w:rPr>
              <w:t xml:space="preserve">Comparing a model's forecasts with realised outcomes to test calibration</w:t>
            </w:r>
          </w:p>
        </w:tc>
      </w:tr>
      <w:tr>
        <w:tc>
          <w:tcPr/>
          <w:p>
            <w:pPr>
              <w:pStyle w:val="Compact"/>
              <w:jc w:val="left"/>
            </w:pPr>
            <w:r>
              <w:rPr>
                <w:sz w:val="17"/>
              </w:rPr>
              <w:t xml:space="preserve">BCBS 22</w:t>
            </w:r>
          </w:p>
        </w:tc>
        <w:tc>
          <w:tcPr/>
          <w:p>
            <w:pPr>
              <w:pStyle w:val="Compact"/>
              <w:jc w:val="left"/>
            </w:pPr>
            <w:r>
              <w:rPr>
                <w:sz w:val="17"/>
              </w:rPr>
              <w:t xml:space="preserve">The 1996 Basel Committee paper that defines the traffic-light backtesting zones</w:t>
            </w:r>
          </w:p>
        </w:tc>
      </w:tr>
      <w:tr>
        <w:tc>
          <w:tcPr/>
          <w:p>
            <w:pPr>
              <w:pStyle w:val="Compact"/>
              <w:jc w:val="left"/>
            </w:pPr>
            <w:r>
              <w:rPr>
                <w:sz w:val="17"/>
              </w:rPr>
              <w:t xml:space="preserve">Bachelier model</w:t>
            </w:r>
          </w:p>
        </w:tc>
        <w:tc>
          <w:tcPr/>
          <w:p>
            <w:pPr>
              <w:pStyle w:val="Compact"/>
              <w:jc w:val="left"/>
            </w:pPr>
            <w:r>
              <w:rPr>
                <w:sz w:val="17"/>
              </w:rPr>
              <w:t xml:space="preserve">Option pricing with normally distributed (absolute) rates, used for swaptions</w:t>
            </w:r>
          </w:p>
        </w:tc>
      </w:tr>
      <w:tr>
        <w:tc>
          <w:tcPr/>
          <w:p>
            <w:pPr>
              <w:pStyle w:val="Compact"/>
              <w:jc w:val="left"/>
            </w:pPr>
            <w:r>
              <w:rPr>
                <w:sz w:val="17"/>
              </w:rPr>
              <w:t xml:space="preserve">CR / VCR</w:t>
            </w:r>
          </w:p>
        </w:tc>
        <w:tc>
          <w:tcPr/>
          <w:p>
            <w:pPr>
              <w:pStyle w:val="Compact"/>
              <w:jc w:val="left"/>
            </w:pPr>
            <w:r>
              <w:rPr>
                <w:sz w:val="17"/>
              </w:rPr>
              <w:t xml:space="preserve">Concentration risk factors scaling weighted delta or vega when a net position exceeds a threshold</w:t>
            </w:r>
          </w:p>
        </w:tc>
      </w:tr>
      <w:tr>
        <w:tc>
          <w:tcPr/>
          <w:p>
            <w:pPr>
              <w:pStyle w:val="Compact"/>
              <w:jc w:val="left"/>
            </w:pPr>
            <w:r>
              <w:rPr>
                <w:sz w:val="17"/>
              </w:rPr>
              <w:t xml:space="preserve">CRIF</w:t>
            </w:r>
          </w:p>
        </w:tc>
        <w:tc>
          <w:tcPr/>
          <w:p>
            <w:pPr>
              <w:pStyle w:val="Compact"/>
              <w:jc w:val="left"/>
            </w:pPr>
            <w:r>
              <w:rPr>
                <w:sz w:val="17"/>
              </w:rPr>
              <w:t xml:space="preserve">Common Risk Interchange Format, the file of sensitivities exchanged between parties</w:t>
            </w:r>
          </w:p>
        </w:tc>
      </w:tr>
      <w:tr>
        <w:tc>
          <w:tcPr/>
          <w:p>
            <w:pPr>
              <w:pStyle w:val="Compact"/>
              <w:jc w:val="left"/>
            </w:pPr>
            <w:r>
              <w:rPr>
                <w:sz w:val="17"/>
              </w:rPr>
              <w:t xml:space="preserve">Christoffersen test</w:t>
            </w:r>
          </w:p>
        </w:tc>
        <w:tc>
          <w:tcPr/>
          <w:p>
            <w:pPr>
              <w:pStyle w:val="Compact"/>
              <w:jc w:val="left"/>
            </w:pPr>
            <w:r>
              <w:rPr>
                <w:sz w:val="17"/>
              </w:rPr>
              <w:t xml:space="preserve">Tests whether exceptions are independent (and, combined with Kupiec, correctly covered)</w:t>
            </w:r>
          </w:p>
        </w:tc>
      </w:tr>
      <w:tr>
        <w:tc>
          <w:tcPr/>
          <w:p>
            <w:pPr>
              <w:pStyle w:val="Compact"/>
              <w:jc w:val="left"/>
            </w:pPr>
            <w:r>
              <w:rPr>
                <w:sz w:val="17"/>
              </w:rPr>
              <w:t xml:space="preserve">CVA</w:t>
            </w:r>
          </w:p>
        </w:tc>
        <w:tc>
          <w:tcPr/>
          <w:p>
            <w:pPr>
              <w:pStyle w:val="Compact"/>
              <w:jc w:val="left"/>
            </w:pPr>
            <w:r>
              <w:rPr>
                <w:sz w:val="17"/>
              </w:rPr>
              <w:t xml:space="preserve">Credit valuation adjustment, the market price of counterparty default risk</w:t>
            </w:r>
          </w:p>
        </w:tc>
      </w:tr>
      <w:tr>
        <w:tc>
          <w:tcPr/>
          <w:p>
            <w:pPr>
              <w:pStyle w:val="Compact"/>
              <w:jc w:val="left"/>
            </w:pPr>
            <w:r>
              <w:rPr>
                <w:sz w:val="17"/>
              </w:rPr>
              <w:t xml:space="preserve">CVR</w:t>
            </w:r>
          </w:p>
        </w:tc>
        <w:tc>
          <w:tcPr/>
          <w:p>
            <w:pPr>
              <w:pStyle w:val="Compact"/>
              <w:jc w:val="left"/>
            </w:pPr>
            <w:r>
              <w:rPr>
                <w:sz w:val="17"/>
              </w:rPr>
              <w:t xml:space="preserve">Curvature risk exposure</w:t>
            </w:r>
          </w:p>
        </w:tc>
      </w:tr>
      <w:tr>
        <w:tc>
          <w:tcPr/>
          <w:p>
            <w:pPr>
              <w:pStyle w:val="Compact"/>
              <w:jc w:val="left"/>
            </w:pPr>
            <w:r>
              <w:rPr>
                <w:sz w:val="17"/>
              </w:rPr>
              <w:t xml:space="preserve">Delta, vega, curvature</w:t>
            </w:r>
          </w:p>
        </w:tc>
        <w:tc>
          <w:tcPr/>
          <w:p>
            <w:pPr>
              <w:pStyle w:val="Compact"/>
              <w:jc w:val="left"/>
            </w:pPr>
            <w:r>
              <w:rPr>
                <w:sz w:val="17"/>
              </w:rPr>
              <w:t xml:space="preserve">First-order price, volatility and second-order (gamma-like) risk margins</w:t>
            </w:r>
          </w:p>
        </w:tc>
      </w:tr>
      <w:tr>
        <w:tc>
          <w:tcPr/>
          <w:p>
            <w:pPr>
              <w:pStyle w:val="Compact"/>
              <w:jc w:val="left"/>
            </w:pPr>
            <w:r>
              <w:rPr>
                <w:sz w:val="17"/>
              </w:rPr>
              <w:t xml:space="preserve">EE / EPE</w:t>
            </w:r>
          </w:p>
        </w:tc>
        <w:tc>
          <w:tcPr/>
          <w:p>
            <w:pPr>
              <w:pStyle w:val="Compact"/>
              <w:jc w:val="left"/>
            </w:pPr>
            <w:r>
              <w:rPr>
                <w:sz w:val="17"/>
              </w:rPr>
              <w:t xml:space="preserve">Expected (positive) exposure at a future date / its time average</w:t>
            </w:r>
          </w:p>
        </w:tc>
      </w:tr>
      <w:tr>
        <w:tc>
          <w:tcPr/>
          <w:p>
            <w:pPr>
              <w:pStyle w:val="Compact"/>
              <w:jc w:val="left"/>
            </w:pPr>
            <w:r>
              <w:rPr>
                <w:sz w:val="17"/>
              </w:rPr>
              <w:t xml:space="preserve">Euler allocation</w:t>
            </w:r>
          </w:p>
        </w:tc>
        <w:tc>
          <w:tcPr/>
          <w:p>
            <w:pPr>
              <w:pStyle w:val="Compact"/>
              <w:jc w:val="left"/>
            </w:pPr>
            <w:r>
              <w:rPr>
                <w:sz w:val="17"/>
              </w:rPr>
              <w:t xml:space="preserve">Splitting a homogeneous risk measure among positions by directional derivatives</w:t>
            </w:r>
          </w:p>
        </w:tc>
      </w:tr>
      <w:tr>
        <w:tc>
          <w:tcPr/>
          <w:p>
            <w:pPr>
              <w:pStyle w:val="Compact"/>
              <w:jc w:val="left"/>
            </w:pPr>
            <w:r>
              <w:rPr>
                <w:sz w:val="17"/>
              </w:rPr>
              <w:t xml:space="preserve">Exception</w:t>
            </w:r>
          </w:p>
        </w:tc>
        <w:tc>
          <w:tcPr/>
          <w:p>
            <w:pPr>
              <w:pStyle w:val="Compact"/>
              <w:jc w:val="left"/>
            </w:pPr>
            <w:r>
              <w:rPr>
                <w:sz w:val="17"/>
              </w:rPr>
              <w:t xml:space="preserve">A day on which the realised loss exceeds the VaR forecast</w:t>
            </w:r>
          </w:p>
        </w:tc>
      </w:tr>
      <w:tr>
        <w:tc>
          <w:tcPr/>
          <w:p>
            <w:pPr>
              <w:pStyle w:val="Compact"/>
              <w:jc w:val="left"/>
            </w:pPr>
            <w:r>
              <w:rPr>
                <w:sz w:val="17"/>
              </w:rPr>
              <w:t xml:space="preserve">Garman-Kohlhagen</w:t>
            </w:r>
          </w:p>
        </w:tc>
        <w:tc>
          <w:tcPr/>
          <w:p>
            <w:pPr>
              <w:pStyle w:val="Compact"/>
              <w:jc w:val="left"/>
            </w:pPr>
            <w:r>
              <w:rPr>
                <w:sz w:val="17"/>
              </w:rPr>
              <w:t xml:space="preserve">Black-Scholes for currency options</w:t>
            </w:r>
          </w:p>
        </w:tc>
      </w:tr>
      <w:tr>
        <w:tc>
          <w:tcPr/>
          <w:p>
            <w:pPr>
              <w:pStyle w:val="Compact"/>
              <w:jc w:val="left"/>
            </w:pPr>
            <w:r>
              <w:rPr>
                <w:sz w:val="17"/>
              </w:rPr>
              <w:t xml:space="preserve">gamma (</w:t>
            </w:r>
            <m:oMath>
              <m:r>
                <m:t>γ</m:t>
              </m:r>
            </m:oMath>
            <w:r>
              <w:rPr>
                <w:sz w:val="17"/>
              </w:rPr>
              <w:t xml:space="preserve">)</w:t>
            </w:r>
          </w:p>
        </w:tc>
        <w:tc>
          <w:tcPr/>
          <w:p>
            <w:pPr>
              <w:pStyle w:val="Compact"/>
              <w:jc w:val="left"/>
            </w:pPr>
            <w:r>
              <w:rPr>
                <w:sz w:val="17"/>
              </w:rPr>
              <w:t xml:space="preserve">Cross-bucket correlation between currencies in IR delta and vega</w:t>
            </w:r>
          </w:p>
        </w:tc>
      </w:tr>
      <w:tr>
        <w:tc>
          <w:tcPr/>
          <w:p>
            <w:pPr>
              <w:pStyle w:val="Compact"/>
              <w:jc w:val="left"/>
            </w:pPr>
            <w:r>
              <w:rPr>
                <w:sz w:val="17"/>
              </w:rPr>
              <w:t xml:space="preserve">HS / HS VaR</w:t>
            </w:r>
          </w:p>
        </w:tc>
        <w:tc>
          <w:tcPr/>
          <w:p>
            <w:pPr>
              <w:pStyle w:val="Compact"/>
              <w:jc w:val="left"/>
            </w:pPr>
            <w:r>
              <w:rPr>
                <w:sz w:val="17"/>
              </w:rPr>
              <w:t xml:space="preserve">Historical simulation value-at-risk with full revaluation</w:t>
            </w:r>
          </w:p>
        </w:tc>
      </w:tr>
      <w:tr>
        <w:tc>
          <w:tcPr/>
          <w:p>
            <w:pPr>
              <w:pStyle w:val="Compact"/>
              <w:jc w:val="left"/>
            </w:pPr>
            <w:r>
              <w:rPr>
                <w:sz w:val="17"/>
              </w:rPr>
              <w:t xml:space="preserve">HVR</w:t>
            </w:r>
          </w:p>
        </w:tc>
        <w:tc>
          <w:tcPr/>
          <w:p>
            <w:pPr>
              <w:pStyle w:val="Compact"/>
              <w:jc w:val="left"/>
            </w:pPr>
            <w:r>
              <w:rPr>
                <w:sz w:val="17"/>
              </w:rPr>
              <w:t xml:space="preserve">Historical volatility ratio, a scaling factor on vega risk in SIMM</w:t>
            </w:r>
          </w:p>
        </w:tc>
      </w:tr>
      <w:tr>
        <w:tc>
          <w:tcPr/>
          <w:p>
            <w:pPr>
              <w:pStyle w:val="Compact"/>
              <w:jc w:val="left"/>
            </w:pPr>
            <w:r>
              <w:rPr>
                <w:sz w:val="17"/>
              </w:rPr>
              <w:t xml:space="preserve">IM / VM</w:t>
            </w:r>
          </w:p>
        </w:tc>
        <w:tc>
          <w:tcPr/>
          <w:p>
            <w:pPr>
              <w:pStyle w:val="Compact"/>
              <w:jc w:val="left"/>
            </w:pPr>
            <w:r>
              <w:rPr>
                <w:sz w:val="17"/>
              </w:rPr>
              <w:t xml:space="preserve">Initial margin / variation margin</w:t>
            </w:r>
          </w:p>
        </w:tc>
      </w:tr>
      <w:tr>
        <w:tc>
          <w:tcPr/>
          <w:p>
            <w:pPr>
              <w:pStyle w:val="Compact"/>
              <w:jc w:val="left"/>
            </w:pPr>
            <w:r>
              <w:rPr>
                <w:sz w:val="17"/>
              </w:rPr>
              <w:t xml:space="preserve">Kupiec POF</w:t>
            </w:r>
          </w:p>
        </w:tc>
        <w:tc>
          <w:tcPr/>
          <w:p>
            <w:pPr>
              <w:pStyle w:val="Compact"/>
              <w:jc w:val="left"/>
            </w:pPr>
            <w:r>
              <w:rPr>
                <w:sz w:val="17"/>
              </w:rPr>
              <w:t xml:space="preserve">Proportion-of-failures test of the exception rate</w:t>
            </w:r>
          </w:p>
        </w:tc>
      </w:tr>
      <w:tr>
        <w:tc>
          <w:tcPr/>
          <w:p>
            <w:pPr>
              <w:pStyle w:val="Compact"/>
              <w:jc w:val="left"/>
            </w:pPr>
            <w:r>
              <w:rPr>
                <w:sz w:val="17"/>
              </w:rPr>
              <w:t xml:space="preserve">MPOR</w:t>
            </w:r>
          </w:p>
        </w:tc>
        <w:tc>
          <w:tcPr/>
          <w:p>
            <w:pPr>
              <w:pStyle w:val="Compact"/>
              <w:jc w:val="left"/>
            </w:pPr>
            <w:r>
              <w:rPr>
                <w:sz w:val="17"/>
              </w:rPr>
              <w:t xml:space="preserve">Margin period of risk, the time to close out after a default (10 days here)</w:t>
            </w:r>
          </w:p>
        </w:tc>
      </w:tr>
      <w:tr>
        <w:tc>
          <w:tcPr/>
          <w:p>
            <w:pPr>
              <w:pStyle w:val="Compact"/>
              <w:jc w:val="left"/>
            </w:pPr>
            <w:r>
              <w:rPr>
                <w:sz w:val="17"/>
              </w:rPr>
              <w:t xml:space="preserve">NGR</w:t>
            </w:r>
          </w:p>
        </w:tc>
        <w:tc>
          <w:tcPr/>
          <w:p>
            <w:pPr>
              <w:pStyle w:val="Compact"/>
              <w:jc w:val="left"/>
            </w:pPr>
            <w:r>
              <w:rPr>
                <w:sz w:val="17"/>
              </w:rPr>
              <w:t xml:space="preserve">Net-to-gross ratio of replacement costs in the schedule IM</w:t>
            </w:r>
          </w:p>
        </w:tc>
      </w:tr>
      <w:tr>
        <w:tc>
          <w:tcPr/>
          <w:p>
            <w:pPr>
              <w:pStyle w:val="Compact"/>
              <w:jc w:val="left"/>
            </w:pPr>
            <w:r>
              <w:rPr>
                <w:sz w:val="17"/>
              </w:rPr>
              <w:t xml:space="preserve">Netting set</w:t>
            </w:r>
          </w:p>
        </w:tc>
        <w:tc>
          <w:tcPr/>
          <w:p>
            <w:pPr>
              <w:pStyle w:val="Compact"/>
              <w:jc w:val="left"/>
            </w:pPr>
            <w:r>
              <w:rPr>
                <w:sz w:val="17"/>
              </w:rPr>
              <w:t xml:space="preserve">Trades covered by one legally enforceable netting agreement</w:t>
            </w:r>
          </w:p>
        </w:tc>
      </w:tr>
      <w:tr>
        <w:tc>
          <w:tcPr/>
          <w:p>
            <w:pPr>
              <w:pStyle w:val="Compact"/>
              <w:jc w:val="left"/>
            </w:pPr>
            <m:oMath>
              <m:r>
                <m:t>ψ</m:t>
              </m:r>
            </m:oMath>
          </w:p>
        </w:tc>
        <w:tc>
          <w:tcPr/>
          <w:p>
            <w:pPr>
              <w:pStyle w:val="Compact"/>
              <w:jc w:val="left"/>
            </w:pPr>
            <w:r>
              <w:rPr>
                <w:sz w:val="17"/>
              </w:rPr>
              <w:t xml:space="preserve">Correlation between risk classes in SIMM</w:t>
            </w:r>
          </w:p>
        </w:tc>
      </w:tr>
      <w:tr>
        <w:tc>
          <w:tcPr/>
          <w:p>
            <w:pPr>
              <w:pStyle w:val="Compact"/>
              <w:jc w:val="left"/>
            </w:pPr>
            <w:r>
              <w:rPr>
                <w:sz w:val="17"/>
              </w:rPr>
              <w:t xml:space="preserve">RW</w:t>
            </w:r>
          </w:p>
        </w:tc>
        <w:tc>
          <w:tcPr/>
          <w:p>
            <w:pPr>
              <w:pStyle w:val="Compact"/>
              <w:jc w:val="left"/>
            </w:pPr>
            <w:r>
              <w:rPr>
                <w:sz w:val="17"/>
              </w:rPr>
              <w:t xml:space="preserve">Risk weight</w:t>
            </w:r>
          </w:p>
        </w:tc>
      </w:tr>
      <w:tr>
        <w:tc>
          <w:tcPr/>
          <w:p>
            <w:pPr>
              <w:pStyle w:val="Compact"/>
              <w:jc w:val="left"/>
            </w:pPr>
            <w:r>
              <w:rPr>
                <w:sz w:val="17"/>
              </w:rPr>
              <w:t xml:space="preserve">Shapley value</w:t>
            </w:r>
          </w:p>
        </w:tc>
        <w:tc>
          <w:tcPr/>
          <w:p>
            <w:pPr>
              <w:pStyle w:val="Compact"/>
              <w:jc w:val="left"/>
            </w:pPr>
            <w:r>
              <w:rPr>
                <w:sz w:val="17"/>
              </w:rPr>
              <w:t xml:space="preserve">The average marginal contribution of a driver over all orders; sums exactly to the total</w:t>
            </w:r>
          </w:p>
        </w:tc>
      </w:tr>
      <w:tr>
        <w:tc>
          <w:tcPr/>
          <w:p>
            <w:pPr>
              <w:pStyle w:val="Compact"/>
              <w:jc w:val="left"/>
            </w:pPr>
            <w:r>
              <w:rPr>
                <w:sz w:val="17"/>
              </w:rPr>
              <w:t xml:space="preserve">SIMM</w:t>
            </w:r>
          </w:p>
        </w:tc>
        <w:tc>
          <w:tcPr/>
          <w:p>
            <w:pPr>
              <w:pStyle w:val="Compact"/>
              <w:jc w:val="left"/>
            </w:pPr>
            <w:r>
              <w:rPr>
                <w:sz w:val="17"/>
              </w:rPr>
              <w:t xml:space="preserve">The ISDA Standard Initial Margin Model (trademark)</w:t>
            </w:r>
          </w:p>
        </w:tc>
      </w:tr>
      <w:tr>
        <w:tc>
          <w:tcPr/>
          <w:p>
            <w:pPr>
              <w:pStyle w:val="Compact"/>
              <w:jc w:val="left"/>
            </w:pPr>
            <w:r>
              <w:rPr>
                <w:sz w:val="17"/>
              </w:rPr>
              <w:t xml:space="preserve">SF</w:t>
            </w:r>
          </w:p>
        </w:tc>
        <w:tc>
          <w:tcPr/>
          <w:p>
            <w:pPr>
              <w:pStyle w:val="Compact"/>
              <w:jc w:val="left"/>
            </w:pPr>
            <w:r>
              <w:rPr>
                <w:sz w:val="17"/>
              </w:rPr>
              <w:t xml:space="preserve">Curvature scaling function of option expiry</w:t>
            </w:r>
          </w:p>
        </w:tc>
      </w:tr>
      <w:tr>
        <w:tc>
          <w:tcPr/>
          <w:p>
            <w:pPr>
              <w:pStyle w:val="Compact"/>
              <w:jc w:val="left"/>
            </w:pPr>
            <w:r>
              <w:rPr>
                <w:sz w:val="17"/>
              </w:rPr>
              <w:t xml:space="preserve">Traffic light</w:t>
            </w:r>
          </w:p>
        </w:tc>
        <w:tc>
          <w:tcPr/>
          <w:p>
            <w:pPr>
              <w:pStyle w:val="Compact"/>
              <w:jc w:val="left"/>
            </w:pPr>
            <w:r>
              <w:rPr>
                <w:sz w:val="17"/>
              </w:rPr>
              <w:t xml:space="preserve">Green, yellow and red zones of the exception count</w:t>
            </w:r>
          </w:p>
        </w:tc>
      </w:tr>
      <w:tr>
        <w:tc>
          <w:tcPr/>
          <w:p>
            <w:pPr>
              <w:pStyle w:val="Compact"/>
              <w:jc w:val="left"/>
            </w:pPr>
            <w:r>
              <w:rPr>
                <w:sz w:val="17"/>
              </w:rPr>
              <w:t xml:space="preserve">UAT</w:t>
            </w:r>
          </w:p>
        </w:tc>
        <w:tc>
          <w:tcPr/>
          <w:p>
            <w:pPr>
              <w:pStyle w:val="Compact"/>
              <w:jc w:val="left"/>
            </w:pPr>
            <w:r>
              <w:rPr>
                <w:sz w:val="17"/>
              </w:rPr>
              <w:t xml:space="preserve">User acceptance testing</w:t>
            </w:r>
          </w:p>
        </w:tc>
      </w:tr>
      <w:tr>
        <w:tc>
          <w:tcPr/>
          <w:p>
            <w:pPr>
              <w:pStyle w:val="Compact"/>
              <w:jc w:val="left"/>
            </w:pPr>
            <w:r>
              <w:rPr>
                <w:sz w:val="17"/>
              </w:rPr>
              <w:t xml:space="preserve">WS</w:t>
            </w:r>
          </w:p>
        </w:tc>
        <w:tc>
          <w:tcPr/>
          <w:p>
            <w:pPr>
              <w:pStyle w:val="Compact"/>
              <w:jc w:val="left"/>
            </w:pPr>
            <w:r>
              <w:rPr>
                <w:sz w:val="17"/>
              </w:rPr>
              <w:t xml:space="preserve">Weighted sensitivity,</w:t>
            </w:r>
            <w:r>
              <w:rPr>
                <w:sz w:val="17"/>
              </w:rPr>
              <w:t xml:space="preserve"> </w:t>
            </w:r>
            <m:oMath>
              <m:r>
                <m:t>R</m:t>
              </m:r>
              <m:r>
                <m:t>W</m:t>
              </m:r>
              <m:r>
                <m:rPr>
                  <m:sty m:val="p"/>
                </m:rPr>
                <m:t>×</m:t>
              </m:r>
              <m:r>
                <m:t>s</m:t>
              </m:r>
              <m:r>
                <m:rPr>
                  <m:sty m:val="p"/>
                </m:rPr>
                <m:t>×</m:t>
              </m:r>
              <m:r>
                <m:t>C</m:t>
              </m:r>
              <m:r>
                <m:t>R</m:t>
              </m:r>
            </m:oMath>
          </w:p>
        </w:tc>
      </w:tr>
    </w:tbl>
    <w:bookmarkEnd w:id="128"/>
    <w:bookmarkStart w:id="129" w:name="verified-references-and-verification-log"/>
    <w:p>
      <w:pPr>
        <w:pStyle w:val="Heading1"/>
      </w:pPr>
      <w:r>
        <w:rPr>
          <w:rStyle w:val="SectionNumber"/>
        </w:rPr>
        <w:t xml:space="preserve">19</w:t>
      </w:r>
      <w:r>
        <w:tab/>
      </w:r>
      <w:r>
        <w:t xml:space="preserve">Verified references and verification log</w:t>
      </w:r>
    </w:p>
    <w:p>
      <w:pPr>
        <w:pStyle w:val="FirstParagraph"/>
      </w:pPr>
      <w:r>
        <w:t xml:space="preserve">All documents were retrieved on 2 October 2026. ISDA documents are not stored in this repository; only numeric parameters with citations and sha256 hashes of the retrieved files are kept. The verification log in</w:t>
      </w:r>
      <w:r>
        <w:t xml:space="preserve"> </w:t>
      </w:r>
      <w:r>
        <w:rPr>
          <w:rStyle w:val="VerbatimChar"/>
        </w:rPr>
        <w:t xml:space="preserve">docs/VERIFICATION_LOG.md</w:t>
      </w:r>
      <w:r>
        <w:t xml:space="preserve">, including its section of corrections after the full extraction, is authoritative where it differs from this summary.</w:t>
      </w:r>
    </w:p>
    <w:p>
      <w:pPr>
        <w:pStyle w:val="TableCaption"/>
      </w:pPr>
      <w:r>
        <w:t xml:space="preserve">Sources used in this document and their verification status.</w:t>
      </w:r>
    </w:p>
    <w:tbl>
      <w:tblPr>
        <w:tblStyle w:val="Table"/>
        <w:tblW w:type="pct" w:w="5000"/>
        <w:tblLayout w:type="fixed"/>
        <w:tblLook w:firstRow="1" w:lastRow="0" w:firstColumn="0" w:lastColumn="0" w:noHBand="0" w:noVBand="0" w:val="0020"/>
        <w:tblCaption w:val="Sources used in this document and their verification statu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w:t>
            </w:r>
          </w:p>
        </w:tc>
        <w:tc>
          <w:tcPr/>
          <w:p>
            <w:pPr>
              <w:pStyle w:val="Compact"/>
              <w:jc w:val="left"/>
            </w:pPr>
            <w:r>
              <w:rPr>
                <w:sz w:val="17"/>
              </w:rPr>
              <w:t xml:space="preserve">Source</w:t>
            </w:r>
          </w:p>
        </w:tc>
        <w:tc>
          <w:tcPr/>
          <w:p>
            <w:pPr>
              <w:pStyle w:val="Compact"/>
              <w:jc w:val="left"/>
            </w:pPr>
            <w:r>
              <w:rPr>
                <w:sz w:val="17"/>
              </w:rPr>
              <w:t xml:space="preserve">What was verified</w:t>
            </w:r>
          </w:p>
        </w:tc>
        <w:tc>
          <w:tcPr/>
          <w:p>
            <w:pPr>
              <w:pStyle w:val="Compact"/>
              <w:jc w:val="left"/>
            </w:pPr>
            <w:r>
              <w:rPr>
                <w:sz w:val="17"/>
              </w:rPr>
              <w:t xml:space="preserve">Not verified</w:t>
            </w:r>
          </w:p>
        </w:tc>
      </w:tr>
      <w:tr>
        <w:tc>
          <w:tcPr/>
          <w:p>
            <w:pPr>
              <w:pStyle w:val="Compact"/>
              <w:jc w:val="left"/>
            </w:pPr>
            <w:r>
              <w:rPr>
                <w:sz w:val="17"/>
              </w:rPr>
              <w:t xml:space="preserve">1</w:t>
            </w:r>
          </w:p>
        </w:tc>
        <w:tc>
          <w:tcPr/>
          <w:p>
            <w:pPr>
              <w:pStyle w:val="Compact"/>
              <w:jc w:val="left"/>
            </w:pPr>
            <w:r>
              <w:rPr>
                <w:sz w:val="17"/>
              </w:rPr>
              <w:t xml:space="preserve">ISDA SIMM Methodology v2.8+2512 (public PDF; effective 11 Jul 2026)</w:t>
            </w:r>
          </w:p>
        </w:tc>
        <w:tc>
          <w:tcPr/>
          <w:p>
            <w:pPr>
              <w:pStyle w:val="Compact"/>
              <w:jc w:val="left"/>
            </w:pPr>
            <w:r>
              <w:rPr>
                <w:sz w:val="17"/>
              </w:rPr>
              <w:t xml:space="preserve">IR and FX risk weights, correlations, gamma, psi, concentration thresholds, HVR and VRW, SF, theta and lambda, structure of paras 5 to 11; transcribed by two extractors and checked against page images</w:t>
            </w:r>
          </w:p>
        </w:tc>
        <w:tc>
          <w:tcPr/>
          <w:p>
            <w:pPr>
              <w:pStyle w:val="Compact"/>
              <w:jc w:val="left"/>
            </w:pPr>
            <w:r>
              <w:rPr>
                <w:sz w:val="17"/>
              </w:rPr>
              <w:t xml:space="preserve">Credit, equity and commodity tables; IR vega correlation reading is from the methodology text</w:t>
            </w:r>
          </w:p>
        </w:tc>
      </w:tr>
      <w:tr>
        <w:tc>
          <w:tcPr/>
          <w:p>
            <w:pPr>
              <w:pStyle w:val="Compact"/>
              <w:jc w:val="left"/>
            </w:pPr>
            <w:r>
              <w:rPr>
                <w:sz w:val="17"/>
              </w:rPr>
              <w:t xml:space="preserve">2</w:t>
            </w:r>
          </w:p>
        </w:tc>
        <w:tc>
          <w:tcPr/>
          <w:p>
            <w:pPr>
              <w:pStyle w:val="Compact"/>
              <w:jc w:val="left"/>
            </w:pPr>
            <w:r>
              <w:rPr>
                <w:sz w:val="17"/>
              </w:rPr>
              <w:t xml:space="preserve">ISDA SIMM Methodology v2.8+2506 (effective 6 Dec 2025)</w:t>
            </w:r>
          </w:p>
        </w:tc>
        <w:tc>
          <w:tcPr/>
          <w:p>
            <w:pPr>
              <w:pStyle w:val="Compact"/>
              <w:jc w:val="left"/>
            </w:pPr>
            <w:r>
              <w:rPr>
                <w:sz w:val="17"/>
              </w:rPr>
              <w:t xml:space="preserve">The same RatesFX parameters; differences from 2512 tested</w:t>
            </w:r>
          </w:p>
        </w:tc>
        <w:tc>
          <w:tcPr/>
          <w:p>
            <w:pPr>
              <w:pStyle w:val="Compact"/>
              <w:jc w:val="left"/>
            </w:pPr>
            <w:r>
              <w:rPr>
                <w:sz w:val="17"/>
              </w:rPr>
              <w:t xml:space="preserve">Same as above</w:t>
            </w:r>
          </w:p>
        </w:tc>
      </w:tr>
      <w:tr>
        <w:tc>
          <w:tcPr/>
          <w:p>
            <w:pPr>
              <w:pStyle w:val="Compact"/>
              <w:jc w:val="left"/>
            </w:pPr>
            <w:r>
              <w:rPr>
                <w:sz w:val="17"/>
              </w:rPr>
              <w:t xml:space="preserve">3</w:t>
            </w:r>
          </w:p>
        </w:tc>
        <w:tc>
          <w:tcPr/>
          <w:p>
            <w:pPr>
              <w:pStyle w:val="Compact"/>
              <w:jc w:val="left"/>
            </w:pPr>
            <w:r>
              <w:rPr>
                <w:sz w:val="17"/>
              </w:rPr>
              <w:t xml:space="preserve">ISDA SIMM Governance Framework (18 Sep 2026)</w:t>
            </w:r>
          </w:p>
        </w:tc>
        <w:tc>
          <w:tcPr/>
          <w:p>
            <w:pPr>
              <w:pStyle w:val="Compact"/>
              <w:jc w:val="left"/>
            </w:pPr>
            <w:r>
              <w:rPr>
                <w:sz w:val="17"/>
              </w:rPr>
              <w:t xml:space="preserve">Calibration standard, dispute escalation, shortfall amount, backtesting with traffic light</w:t>
            </w:r>
          </w:p>
        </w:tc>
        <w:tc>
          <w:tcPr/>
          <w:p>
            <w:pPr>
              <w:pStyle w:val="Compact"/>
              <w:jc w:val="left"/>
            </w:pPr>
            <w:r>
              <w:rPr>
                <w:sz w:val="17"/>
              </w:rPr>
              <w:t xml:space="preserve">Remediation annex thresholds</w:t>
            </w:r>
          </w:p>
        </w:tc>
      </w:tr>
      <w:tr>
        <w:tc>
          <w:tcPr/>
          <w:p>
            <w:pPr>
              <w:pStyle w:val="Compact"/>
              <w:jc w:val="left"/>
            </w:pPr>
            <w:r>
              <w:rPr>
                <w:sz w:val="17"/>
              </w:rPr>
              <w:t xml:space="preserve">4</w:t>
            </w:r>
          </w:p>
        </w:tc>
        <w:tc>
          <w:tcPr/>
          <w:p>
            <w:pPr>
              <w:pStyle w:val="Compact"/>
              <w:jc w:val="left"/>
            </w:pPr>
            <w:r>
              <w:rPr>
                <w:sz w:val="17"/>
              </w:rPr>
              <w:t xml:space="preserve">ISDA Risk Data Standards v1.36 (1 Feb 2017)</w:t>
            </w:r>
          </w:p>
        </w:tc>
        <w:tc>
          <w:tcPr/>
          <w:p>
            <w:pPr>
              <w:pStyle w:val="Compact"/>
              <w:jc w:val="left"/>
            </w:pPr>
            <w:r>
              <w:rPr>
                <w:sz w:val="17"/>
              </w:rPr>
              <w:t xml:space="preserve">CRIF fields, IR delta per 1bp of par rates, linear rebucketing, vega amount</w:t>
            </w:r>
          </w:p>
        </w:tc>
        <w:tc>
          <w:tcPr/>
          <w:p>
            <w:pPr>
              <w:pStyle w:val="Compact"/>
              <w:jc w:val="left"/>
            </w:pPr>
            <w:r>
              <w:rPr>
                <w:sz w:val="17"/>
              </w:rPr>
              <w:t xml:space="preserve">Dated; a newer CRIF specification may exist</w:t>
            </w:r>
          </w:p>
        </w:tc>
      </w:tr>
      <w:tr>
        <w:tc>
          <w:tcPr/>
          <w:p>
            <w:pPr>
              <w:pStyle w:val="Compact"/>
              <w:jc w:val="left"/>
            </w:pPr>
            <w:r>
              <w:rPr>
                <w:sz w:val="17"/>
              </w:rPr>
              <w:t xml:space="preserve">5</w:t>
            </w:r>
          </w:p>
        </w:tc>
        <w:tc>
          <w:tcPr/>
          <w:p>
            <w:pPr>
              <w:pStyle w:val="Compact"/>
              <w:jc w:val="left"/>
            </w:pPr>
            <w:r>
              <w:rPr>
                <w:sz w:val="17"/>
              </w:rPr>
              <w:t xml:space="preserve">BCBS-IOSCO Margin requirements for non-centrally cleared derivatives (April 2020)</w:t>
            </w:r>
          </w:p>
        </w:tc>
        <w:tc>
          <w:tcPr/>
          <w:p>
            <w:pPr>
              <w:pStyle w:val="Compact"/>
              <w:jc w:val="left"/>
            </w:pPr>
            <w:r>
              <w:rPr>
                <w:sz w:val="17"/>
              </w:rPr>
              <w:t xml:space="preserve">Requirements 1.2, 3.1 and 3.6; Appendix A schedule rates (no cross-currency rows)</w:t>
            </w:r>
          </w:p>
        </w:tc>
        <w:tc>
          <w:tcPr/>
          <w:p>
            <w:pPr>
              <w:pStyle w:val="Compact"/>
              <w:jc w:val="left"/>
            </w:pPr>
            <w:r>
              <w:rPr>
                <w:sz w:val="17"/>
              </w:rPr>
              <w:t xml:space="preserve">Phase-in schedule and thresholds (not read)</w:t>
            </w:r>
          </w:p>
        </w:tc>
      </w:tr>
      <w:tr>
        <w:tc>
          <w:tcPr/>
          <w:p>
            <w:pPr>
              <w:pStyle w:val="Compact"/>
              <w:jc w:val="left"/>
            </w:pPr>
            <w:r>
              <w:rPr>
                <w:sz w:val="17"/>
              </w:rPr>
              <w:t xml:space="preserve">6</w:t>
            </w:r>
          </w:p>
        </w:tc>
        <w:tc>
          <w:tcPr/>
          <w:p>
            <w:pPr>
              <w:pStyle w:val="Compact"/>
              <w:jc w:val="left"/>
            </w:pPr>
            <w:r>
              <w:rPr>
                <w:sz w:val="17"/>
              </w:rPr>
              <w:t xml:space="preserve">12 CFR Part 45 (OCC), eCFR as of 2026-09-30</w:t>
            </w:r>
          </w:p>
        </w:tc>
        <w:tc>
          <w:tcPr/>
          <w:p>
            <w:pPr>
              <w:pStyle w:val="Compact"/>
              <w:jc w:val="left"/>
            </w:pPr>
            <w:r>
              <w:rPr>
                <w:sz w:val="17"/>
              </w:rPr>
              <w:t xml:space="preserve">45.8(d)(1), (d)(2), (d)(4), (d)(13), (e), (f)(2)(ii)-(iii); Appendix A including cross-currency rows and NGR</w:t>
            </w:r>
          </w:p>
        </w:tc>
        <w:tc>
          <w:tcPr/>
          <w:p>
            <w:pPr>
              <w:pStyle w:val="Compact"/>
              <w:jc w:val="left"/>
            </w:pPr>
            <w:r>
              <w:rPr>
                <w:sz w:val="17"/>
              </w:rPr>
              <w:t xml:space="preserve">12 CFR 237.8 and 349.8 (assumed parallel, not fetched); CFTC 23.154 (not fetched)</w:t>
            </w:r>
          </w:p>
        </w:tc>
      </w:tr>
      <w:tr>
        <w:tc>
          <w:tcPr/>
          <w:p>
            <w:pPr>
              <w:pStyle w:val="Compact"/>
              <w:jc w:val="left"/>
            </w:pPr>
            <w:r>
              <w:rPr>
                <w:sz w:val="17"/>
              </w:rPr>
              <w:t xml:space="preserve">7</w:t>
            </w:r>
          </w:p>
        </w:tc>
        <w:tc>
          <w:tcPr/>
          <w:p>
            <w:pPr>
              <w:pStyle w:val="Compact"/>
              <w:jc w:val="left"/>
            </w:pPr>
            <w:r>
              <w:rPr>
                <w:sz w:val="17"/>
              </w:rPr>
              <w:t xml:space="preserve">Commission Delegated Regulation (EU) 2016/2251, as originally published</w:t>
            </w:r>
          </w:p>
        </w:tc>
        <w:tc>
          <w:tcPr/>
          <w:p>
            <w:pPr>
              <w:pStyle w:val="Compact"/>
              <w:jc w:val="left"/>
            </w:pPr>
            <w:r>
              <w:rPr>
                <w:sz w:val="17"/>
              </w:rPr>
              <w:t xml:space="preserve">Articles 14(3) to (6), 15 and 16</w:t>
            </w:r>
          </w:p>
        </w:tc>
        <w:tc>
          <w:tcPr/>
          <w:p>
            <w:pPr>
              <w:pStyle w:val="Compact"/>
              <w:jc w:val="left"/>
            </w:pPr>
            <w:r>
              <w:rPr>
                <w:sz w:val="17"/>
              </w:rPr>
              <w:t xml:space="preserve">Consolidated amendments</w:t>
            </w:r>
          </w:p>
        </w:tc>
      </w:tr>
      <w:tr>
        <w:tc>
          <w:tcPr/>
          <w:p>
            <w:pPr>
              <w:pStyle w:val="Compact"/>
              <w:jc w:val="left"/>
            </w:pPr>
            <w:r>
              <w:rPr>
                <w:sz w:val="17"/>
              </w:rPr>
              <w:t xml:space="preserve">8</w:t>
            </w:r>
          </w:p>
        </w:tc>
        <w:tc>
          <w:tcPr/>
          <w:p>
            <w:pPr>
              <w:pStyle w:val="Compact"/>
              <w:jc w:val="left"/>
            </w:pPr>
            <w:r>
              <w:rPr>
                <w:sz w:val="17"/>
              </w:rPr>
              <w:t xml:space="preserve">BCBS 22 (January 1996)</w:t>
            </w:r>
          </w:p>
        </w:tc>
        <w:tc>
          <w:tcPr/>
          <w:p>
            <w:pPr>
              <w:pStyle w:val="Compact"/>
              <w:jc w:val="left"/>
            </w:pPr>
            <w:r>
              <w:rPr>
                <w:sz w:val="17"/>
              </w:rPr>
              <w:t xml:space="preserve">Section II (one-day measures), Section III(c) to (f), Table 2; cumulative probabilities reproduced with scipy</w:t>
            </w:r>
          </w:p>
        </w:tc>
        <w:tc>
          <w:tcPr/>
          <w:p>
            <w:pPr>
              <w:pStyle w:val="Compact"/>
              <w:jc w:val="left"/>
            </w:pPr>
            <w:r>
              <w:rPr>
                <w:sz w:val="17"/>
              </w:rPr>
              <w:t xml:space="preserve">None</w:t>
            </w:r>
          </w:p>
        </w:tc>
      </w:tr>
      <w:tr>
        <w:tc>
          <w:tcPr/>
          <w:p>
            <w:pPr>
              <w:pStyle w:val="Compact"/>
              <w:jc w:val="left"/>
            </w:pPr>
            <w:r>
              <w:rPr>
                <w:sz w:val="17"/>
              </w:rPr>
              <w:t xml:space="preserve">9</w:t>
            </w:r>
          </w:p>
        </w:tc>
        <w:tc>
          <w:tcPr/>
          <w:p>
            <w:pPr>
              <w:pStyle w:val="Compact"/>
              <w:jc w:val="left"/>
            </w:pPr>
            <w:r>
              <w:rPr>
                <w:sz w:val="17"/>
              </w:rPr>
              <w:t xml:space="preserve">Kupiec (1995), J. Derivatives vol 3 no 2, 73-84</w:t>
            </w:r>
          </w:p>
        </w:tc>
        <w:tc>
          <w:tcPr/>
          <w:p>
            <w:pPr>
              <w:pStyle w:val="Compact"/>
              <w:jc w:val="left"/>
            </w:pPr>
            <w:r>
              <w:rPr>
                <w:sz w:val="17"/>
              </w:rPr>
              <w:t xml:space="preserve">Bibliographic record only; the formula is verified against Federal Reserve restatements (FRBSF working paper 99-06, FEDS 2005-21) and numeric references</w:t>
            </w:r>
          </w:p>
        </w:tc>
        <w:tc>
          <w:tcPr/>
          <w:p>
            <w:pPr>
              <w:pStyle w:val="Compact"/>
              <w:jc w:val="left"/>
            </w:pPr>
            <w:r>
              <w:rPr>
                <w:sz w:val="17"/>
              </w:rPr>
              <w:t xml:space="preserve">Original text NOT obtained</w:t>
            </w:r>
          </w:p>
        </w:tc>
      </w:tr>
      <w:tr>
        <w:tc>
          <w:tcPr/>
          <w:p>
            <w:pPr>
              <w:pStyle w:val="Compact"/>
              <w:jc w:val="left"/>
            </w:pPr>
            <w:r>
              <w:rPr>
                <w:sz w:val="17"/>
              </w:rPr>
              <w:t xml:space="preserve">10</w:t>
            </w:r>
          </w:p>
        </w:tc>
        <w:tc>
          <w:tcPr/>
          <w:p>
            <w:pPr>
              <w:pStyle w:val="Compact"/>
              <w:jc w:val="left"/>
            </w:pPr>
            <w:r>
              <w:rPr>
                <w:sz w:val="17"/>
              </w:rPr>
              <w:t xml:space="preserve">Christoffersen (1998), International Economic Review vol 39 no 4, 841-862</w:t>
            </w:r>
          </w:p>
        </w:tc>
        <w:tc>
          <w:tcPr/>
          <w:p>
            <w:pPr>
              <w:pStyle w:val="Compact"/>
              <w:jc w:val="left"/>
            </w:pPr>
            <w:r>
              <w:rPr>
                <w:sz w:val="17"/>
              </w:rPr>
              <w:t xml:space="preserve">Bibliographic record only; formulas verified against the same restatements and numeric references</w:t>
            </w:r>
          </w:p>
        </w:tc>
        <w:tc>
          <w:tcPr/>
          <w:p>
            <w:pPr>
              <w:pStyle w:val="Compact"/>
              <w:jc w:val="left"/>
            </w:pPr>
            <w:r>
              <w:rPr>
                <w:sz w:val="17"/>
              </w:rPr>
              <w:t xml:space="preserve">Original text NOT obtained</w:t>
            </w:r>
          </w:p>
        </w:tc>
      </w:tr>
      <w:tr>
        <w:tc>
          <w:tcPr/>
          <w:p>
            <w:pPr>
              <w:pStyle w:val="Compact"/>
              <w:jc w:val="left"/>
            </w:pPr>
            <w:r>
              <w:rPr>
                <w:sz w:val="17"/>
              </w:rPr>
              <w:t xml:space="preserve">11</w:t>
            </w:r>
          </w:p>
        </w:tc>
        <w:tc>
          <w:tcPr/>
          <w:p>
            <w:pPr>
              <w:pStyle w:val="Compact"/>
              <w:jc w:val="left"/>
            </w:pPr>
            <w:r>
              <w:rPr>
                <w:sz w:val="17"/>
              </w:rPr>
              <w:t xml:space="preserve">SR 11-7 (Board of Governors of the Federal Reserve System and OCC, 4 April 2011), Supervisory Guidance on Model Risk Management</w:t>
            </w:r>
          </w:p>
        </w:tc>
        <w:tc>
          <w:tcPr/>
          <w:p>
            <w:pPr>
              <w:pStyle w:val="Compact"/>
              <w:jc w:val="left"/>
            </w:pPr>
            <w:r>
              <w:rPr>
                <w:sz w:val="17"/>
              </w:rPr>
              <w:t xml:space="preserve">The three core elements of validation (conceptual soundness, ongoing monitoring, outcomes analysis), read in the attachment from federalreserve.gov</w:t>
            </w:r>
          </w:p>
        </w:tc>
        <w:tc>
          <w:tcPr/>
          <w:p>
            <w:pPr>
              <w:pStyle w:val="Compact"/>
              <w:jc w:val="left"/>
            </w:pPr>
            <w:r>
              <w:rPr>
                <w:sz w:val="17"/>
              </w:rPr>
              <w:t xml:space="preserve">Not used beyond that structure</w:t>
            </w:r>
          </w:p>
        </w:tc>
      </w:tr>
    </w:tbl>
    <w:p>
      <w:pPr>
        <w:pStyle w:val="BodyText"/>
      </w:pPr>
      <w:r>
        <w:t xml:space="preserve">Corrections made during the verification (they supersede the first table of the log where they differ): the high-volatility FX currency list in v2.8+2506 has no ISK (ISK was added in 2512, and RUB and VES were dropped); the FX risk weight is one two by two table by currency volatility group; the US backtesting paragraph is 45.8(f)(2)(ii) to (iii) and the US rule has no quarterly backtesting requirement (the three-month frequency is EU Article 14(3)); the 25 percent stress share and 3 to 5 year window are EU Article 16 rules (the US rule is 1 to 5 years with a stress period and no percentage); the cross-currency schedule rows are in 12 CFR Part 45 and not in the BCBS-IOSCO appendix; the FX correlation two by two tables are not positive semidefinite alone, but the factor-level matrices are; and IR vega has no separate expiry correlation table.</w:t>
      </w:r>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rPr>
  </w:style>
  <w:style w:customStyle="1" w:styleId="Heading8Char" w:type="character">
    <w:name w:val="Heading 8 Char"/>
    <w:basedOn w:val="DefaultParagraphFont"/>
    <w:link w:val="Heading8"/>
    <w:uiPriority w:val="9"/>
    <w:semiHidden/>
    <w:rsid w:val="00A10FD9"/>
    <w:rPr>
      <w:rFonts w:cstheme="majorBidi" w:eastAsiaTheme="majorEastAsia"/>
      <w:i/>
      <w:iCs/>
    </w:rPr>
  </w:style>
  <w:style w:customStyle="1" w:styleId="Heading9Char" w:type="character">
    <w:name w:val="Heading 9 Char"/>
    <w:basedOn w:val="DefaultParagraphFont"/>
    <w:link w:val="Heading9"/>
    <w:uiPriority w:val="9"/>
    <w:semiHidden/>
    <w:rsid w:val="00A10FD9"/>
    <w:rPr>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4" Type="http://schemas.openxmlformats.org/officeDocument/2006/relationships/image" Target="media/rId104.png"/><Relationship Id="rId110" Type="http://schemas.openxmlformats.org/officeDocument/2006/relationships/image" Target="media/rId110.png"/><Relationship Id="rId62" Type="http://schemas.openxmlformats.org/officeDocument/2006/relationships/image" Target="media/rId62.png"/><Relationship Id="rId82" Type="http://schemas.openxmlformats.org/officeDocument/2006/relationships/image" Target="media/rId82.png"/><Relationship Id="rId93" Type="http://schemas.openxmlformats.org/officeDocument/2006/relationships/image" Target="media/rId93.png"/><Relationship Id="rId97" Type="http://schemas.openxmlformats.org/officeDocument/2006/relationships/image" Target="media/rId97.png"/><Relationship Id="rId35" Type="http://schemas.openxmlformats.org/officeDocument/2006/relationships/image" Target="media/rId35.png"/><Relationship Id="rId32" Type="http://schemas.openxmlformats.org/officeDocument/2006/relationships/image" Target="media/rId32.png"/><Relationship Id="rId65" Type="http://schemas.openxmlformats.org/officeDocument/2006/relationships/image" Target="media/rId65.png"/><Relationship Id="rId15" Type="http://schemas.openxmlformats.org/officeDocument/2006/relationships/image" Target="media/rId15.png"/><Relationship Id="rId75" Type="http://schemas.openxmlformats.org/officeDocument/2006/relationships/image" Target="media/rId75.png"/><Relationship Id="rId71" Type="http://schemas.openxmlformats.org/officeDocument/2006/relationships/image" Target="media/rId71.png"/><Relationship Id="rId44" Type="http://schemas.openxmlformats.org/officeDocument/2006/relationships/image" Target="media/rId44.png"/><Relationship Id="rId116" Type="http://schemas.openxmlformats.org/officeDocument/2006/relationships/image" Target="media/rId116.png"/><Relationship Id="rId68" Type="http://schemas.openxmlformats.org/officeDocument/2006/relationships/image" Target="media/rId68.png"/><Relationship Id="rId86" Type="http://schemas.openxmlformats.org/officeDocument/2006/relationships/image" Target="media/rId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SIMM-Style Initial Margin, xVA VaR and Backtesting Model: Methodology, Implementation and Results</dc:title>
  <dc:creator>Deepak Chaudhary</dc:creator>
  <cp:keywords/>
  <dcterms:created xsi:type="dcterms:W3CDTF">2026-10-02T20:18:07Z</dcterms:created>
  <dcterms:modified xsi:type="dcterms:W3CDTF">2026-10-02T20:18:07Z</dcterms:modified>
  <cp:lastModifiedBy>Deepak Chaudhary</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2026-10-02</vt:lpwstr>
  </property>
</Properties>
</file>