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E930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进入bin目录</w:t>
      </w:r>
    </w:p>
    <w:p w14:paraId="6EFD4E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57095"/>
            <wp:effectExtent l="0" t="0" r="5715" b="14605"/>
            <wp:docPr id="1" name="图片 1" descr="ActiveMQbin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eMQbin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AE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输入activemq start 启动activemq</w:t>
      </w:r>
    </w:p>
    <w:p w14:paraId="2EEC67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196975"/>
            <wp:effectExtent l="0" t="0" r="7620" b="3175"/>
            <wp:docPr id="2" name="图片 2" descr="ActiveMQ启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tiveMQ启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br w:type="textWrapping"/>
      </w:r>
    </w:p>
    <w:p w14:paraId="37D07F7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按Ctrl+C 停止 activemq , </w:t>
      </w:r>
      <w:r>
        <w:rPr>
          <w:rFonts w:hint="eastAsia"/>
          <w:lang w:val="en-US" w:eastAsia="zh-CN"/>
        </w:rPr>
        <w:drawing>
          <wp:inline distT="0" distB="0" distL="114300" distR="114300">
            <wp:extent cx="3333750" cy="762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3547331"/>
    <w:rsid w:val="09E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2024-10-15T07:10:40Z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2253B417B5284E4B9C9953EA6FBCC133_12</vt:lpwstr>
  </property>
</Properties>
</file>