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网站 IPv6 支持度检测报告</w:t>
      </w:r>
    </w:p>
    <w:p>
      <w:r>
        <w:rPr>
          <w:rFonts w:ascii="宋体" w:hAnsi="宋体"/>
          <w:b/>
        </w:rPr>
        <w:t xml:space="preserve">网站域名: </w:t>
      </w:r>
      <w:r>
        <w:rPr>
          <w:rFonts w:ascii="Times New Roman" w:hAnsi="Times New Roman"/>
          <w:b/>
          <w:u w:val="single"/>
        </w:rPr>
        <w:t>www.google.com</w:t>
      </w:r>
    </w:p>
    <w:p>
      <w:r>
        <w:rPr>
          <w:rFonts w:ascii="宋体" w:hAnsi="宋体"/>
          <w:b/>
        </w:rPr>
        <w:t xml:space="preserve">支持IPV6: </w:t>
      </w:r>
      <w:r>
        <w:rPr>
          <w:rFonts w:ascii="Times New Roman" w:hAnsi="Times New Roman"/>
          <w:b/>
          <w:u w:val="single"/>
        </w:rPr>
        <w:t xml:space="preserve">   支持    </w:t>
      </w:r>
    </w:p>
    <w:p>
      <w:r>
        <w:rPr>
          <w:rFonts w:ascii="宋体" w:hAnsi="宋体"/>
          <w:b/>
        </w:rPr>
        <w:t xml:space="preserve">检测时间: </w:t>
      </w:r>
      <w:r>
        <w:rPr>
          <w:rFonts w:ascii="Times New Roman" w:hAnsi="Times New Roman"/>
          <w:b/>
          <w:u w:val="single"/>
        </w:rPr>
        <w:t>2024-04-07 20:17:36</w:t>
      </w:r>
    </w:p>
    <w:p>
      <w:pPr>
        <w:pStyle w:val="Heading1"/>
      </w:pPr>
      <w:r>
        <w:t>1.检测依据</w:t>
      </w:r>
    </w:p>
    <w:p>
      <w:pPr>
        <w:ind w:firstLineChars="200"/>
      </w:pPr>
      <w:r>
        <w:rPr>
          <w:rFonts w:ascii="宋体" w:hAnsi="宋体"/>
        </w:rPr>
        <w:t>网站IPv6支持度评测指标与测试方法是基于中华人民共和国通信行业标准YD/T3118-2016《网站IPv6支持度评测指标与测试方法》。该标准规定了网站IPv6支持度评测指标与测试方法，适用于IPv6网络环境下的Web网站，以及IPv6和IPv4共存网络环境下支持双栈模式的Web网站。</w:t>
      </w:r>
    </w:p>
    <w:p>
      <w:pPr>
        <w:pStyle w:val="Heading1"/>
      </w:pPr>
      <w:r>
        <w:t>2.检测报告</w:t>
      </w:r>
    </w:p>
    <w:tbl>
      <w:tblPr>
        <w:tblStyle w:val="LightShading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center"/>
            </w:pPr>
            <w:r>
              <w:t>域名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t>www.baidu.com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是否可以被解析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不支持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是否可以被访问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不支持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支持度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99%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连通性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可以连通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域名解析时延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0.75s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TCP建立解析时延指标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0.75s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服务器相应首包时延指标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0.75s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服务器相应首页时延指标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0.75s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ipv6访问稳定性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不稳定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是否具有ipv6授权体系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0.75s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计算开始时间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0.75s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计算结束时间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0.75s</w:t>
            </w:r>
          </w:p>
        </w:tc>
      </w:tr>
    </w:tbl>
    <w:p>
      <w:pPr>
        <w:pStyle w:val="Heading1"/>
      </w:pPr>
      <w:r>
        <w:t>3.不支持IPV6的链接</w:t>
      </w:r>
    </w:p>
    <w:p>
      <w:pPr>
        <w:pStyle w:val="Heading2"/>
      </w:pPr>
      <w:r>
        <w:t>3.1 不支持IPV6的二级链接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二级链接</w:t>
            </w:r>
          </w:p>
        </w:tc>
        <w:tc>
          <w:tcPr>
            <w:tcW w:type="dxa" w:w="4320"/>
          </w:tcPr>
          <w:p>
            <w:r>
              <w:t>是否支持ipv6</w:t>
            </w:r>
          </w:p>
        </w:tc>
      </w:tr>
    </w:tbl>
    <w:p>
      <w:pPr>
        <w:pStyle w:val="Heading2"/>
      </w:pPr>
      <w:r>
        <w:t>3.2 不支持IPV6的三级链接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三级链接</w:t>
            </w:r>
          </w:p>
        </w:tc>
        <w:tc>
          <w:tcPr>
            <w:tcW w:type="dxa" w:w="4320"/>
          </w:tcPr>
          <w:p>
            <w:r>
              <w:t>是否支持ipv6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