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 w:line="318" w:lineRule="auto"/>
        <w:ind w:left="72" w:right="72" w:firstLine="0"/>
        <w:jc w:val="center"/>
        <w:rPr>
          <w:b w:val="1"/>
          <w:bCs w:val="1"/>
          <w:color w:val="000000"/>
          <w:sz w:val="28"/>
          <w:szCs w:val="28"/>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918527</wp:posOffset>
                </wp:positionH>
                <wp:positionV relativeFrom="page">
                  <wp:posOffset>11075988</wp:posOffset>
                </wp:positionV>
                <wp:extent cx="2009140" cy="220980"/>
                <wp:effectExtent b="0" l="0" r="0" t="0"/>
                <wp:wrapSquare wrapText="bothSides" distB="0" distT="0" distL="114300" distR="114300"/>
                <wp:docPr id="1" name=""/>
                <a:graphic>
                  <a:graphicData uri="http://schemas.microsoft.com/office/word/2010/wordprocessingShape">
                    <wps:wsp>
                      <wps:cNvSpPr/>
                      <wps:cNvPr id="2" name="Shape 2"/>
                      <wps:spPr>
                        <a:xfrm>
                          <a:off x="4346193" y="3674273"/>
                          <a:ext cx="1999615" cy="211455"/>
                        </a:xfrm>
                        <a:custGeom>
                          <a:rect b="b" l="l" r="r" t="t"/>
                          <a:pathLst>
                            <a:path extrusionOk="0" h="211455" w="1999615">
                              <a:moveTo>
                                <a:pt x="0" y="0"/>
                              </a:moveTo>
                              <a:lnTo>
                                <a:pt x="0" y="211455"/>
                              </a:lnTo>
                              <a:lnTo>
                                <a:pt x="1999615" y="211455"/>
                              </a:lnTo>
                              <a:lnTo>
                                <a:pt x="1999615" y="0"/>
                              </a:lnTo>
                              <a:close/>
                            </a:path>
                          </a:pathLst>
                        </a:custGeom>
                        <a:noFill/>
                        <a:ln>
                          <a:noFill/>
                        </a:ln>
                      </wps:spPr>
                      <wps:txbx>
                        <w:txbxContent>
                          <w:p w:rsidR="00000000" w:rsidDel="00000000" w:rsidP="00000000" w:rsidRDefault="00000000" w:rsidRPr="00000000">
                            <w:pPr>
                              <w:spacing w:after="24.000000953674316" w:before="46.99999809265137" w:line="247.99999237060547"/>
                              <w:ind w:left="0" w:right="0" w:firstLine="0"/>
                              <w:jc w:val="left"/>
                              <w:textDirection w:val="btLr"/>
                            </w:pPr>
                            <w:r w:rsidDel="00000000" w:rsidR="00000000" w:rsidRPr="00000000">
                              <w:rPr>
                                <w:rFonts w:ascii="Tahoma" w:cs="Tahoma" w:eastAsia="Tahoma" w:hAnsi="Tahoma"/>
                                <w:b w:val="0"/>
                                <w:i w:val="0"/>
                                <w:smallCaps w:val="0"/>
                                <w:strike w:val="0"/>
                                <w:color w:val="000000"/>
                                <w:sz w:val="19"/>
                                <w:vertAlign w:val="baseline"/>
                              </w:rPr>
                              <w:t xml:space="preserve">*Berikan tanda </w:t>
                            </w:r>
                            <w:r w:rsidDel="00000000" w:rsidR="00000000" w:rsidRPr="00000000">
                              <w:rPr>
                                <w:rFonts w:ascii="Calibri" w:cs="Calibri" w:eastAsia="Calibri" w:hAnsi="Calibri"/>
                                <w:b w:val="0"/>
                                <w:i w:val="0"/>
                                <w:smallCaps w:val="0"/>
                                <w:strike w:val="0"/>
                                <w:color w:val="000000"/>
                                <w:sz w:val="23"/>
                                <w:vertAlign w:val="baseline"/>
                              </w:rPr>
                              <w:t xml:space="preserve">√ </w:t>
                            </w:r>
                            <w:r w:rsidDel="00000000" w:rsidR="00000000" w:rsidRPr="00000000">
                              <w:rPr>
                                <w:rFonts w:ascii="Tahoma" w:cs="Tahoma" w:eastAsia="Tahoma" w:hAnsi="Tahoma"/>
                                <w:b w:val="0"/>
                                <w:i w:val="0"/>
                                <w:smallCaps w:val="0"/>
                                <w:strike w:val="0"/>
                                <w:color w:val="000000"/>
                                <w:sz w:val="19"/>
                                <w:vertAlign w:val="baseline"/>
                              </w:rPr>
                              <w:t xml:space="preserve">pada pilihan Anda</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918527</wp:posOffset>
                </wp:positionH>
                <wp:positionV relativeFrom="page">
                  <wp:posOffset>11075988</wp:posOffset>
                </wp:positionV>
                <wp:extent cx="2009140" cy="2209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09140" cy="220980"/>
                        </a:xfrm>
                        <a:prstGeom prst="rect"/>
                        <a:ln/>
                      </pic:spPr>
                    </pic:pic>
                  </a:graphicData>
                </a:graphic>
              </wp:anchor>
            </w:drawing>
          </mc:Fallback>
        </mc:AlternateContent>
      </w:r>
      <w:r w:rsidDel="00000000" w:rsidR="00000000" w:rsidRPr="00000000">
        <w:rPr>
          <w:b w:val="1"/>
          <w:bCs w:val="1"/>
          <w:color w:val="000000"/>
          <w:sz w:val="28"/>
          <w:szCs w:val="28"/>
          <w:rtl w:val="0"/>
        </w:rPr>
        <w:t xml:space="preserve">FORM LAPORAN BENTURAN KEPENTINGAN</w:t>
      </w:r>
    </w:p>
    <w:p w:rsidR="00000000" w:rsidDel="00000000" w:rsidP="00000000" w:rsidRDefault="00000000" w:rsidRPr="00000000" w14:paraId="00000002">
      <w:pPr>
        <w:spacing w:after="230" w:before="185" w:line="309" w:lineRule="auto"/>
        <w:ind w:left="72" w:right="72" w:firstLine="0"/>
        <w:jc w:val="both"/>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Dalam rangka pelaksanaan pemerintahan yang baik (</w:t>
      </w:r>
      <w:r w:rsidDel="00000000" w:rsidR="00000000" w:rsidRPr="00000000">
        <w:rPr>
          <w:rFonts w:ascii="Arial" w:cs="Arial" w:eastAsia="Arial" w:hAnsi="Arial"/>
          <w:i w:val="1"/>
          <w:iCs w:val="1"/>
          <w:color w:val="000000"/>
          <w:sz w:val="20"/>
          <w:szCs w:val="20"/>
          <w:rtl w:val="0"/>
        </w:rPr>
        <w:t xml:space="preserve">good government</w:t>
      </w:r>
      <w:r w:rsidDel="00000000" w:rsidR="00000000" w:rsidRPr="00000000">
        <w:rPr>
          <w:rFonts w:ascii="Tahoma" w:cs="Tahoma" w:eastAsia="Tahoma" w:hAnsi="Tahoma"/>
          <w:color w:val="000000"/>
          <w:sz w:val="19"/>
          <w:szCs w:val="19"/>
          <w:rtl w:val="0"/>
        </w:rPr>
        <w:t xml:space="preserve">) serta peningkatan pelaksanaan tugas dan fungsi masing-masing pegawai di lingkungan BBPPMPV BMTI dan dalam upaya menciptakan lingkungan kerja yang bersih serta bebas dari </w:t>
      </w:r>
      <w:r w:rsidDel="00000000" w:rsidR="00000000" w:rsidRPr="00000000">
        <w:rPr>
          <w:rFonts w:ascii="Arial" w:cs="Arial" w:eastAsia="Arial" w:hAnsi="Arial"/>
          <w:b w:val="1"/>
          <w:bCs w:val="1"/>
          <w:i w:val="1"/>
          <w:iCs w:val="1"/>
          <w:color w:val="000000"/>
          <w:sz w:val="20"/>
          <w:szCs w:val="20"/>
          <w:rtl w:val="0"/>
        </w:rPr>
        <w:t xml:space="preserve">Korupsi, Kolusi dan Nepotisme </w:t>
      </w:r>
      <w:r w:rsidDel="00000000" w:rsidR="00000000" w:rsidRPr="00000000">
        <w:rPr>
          <w:rFonts w:ascii="Tahoma" w:cs="Tahoma" w:eastAsia="Tahoma" w:hAnsi="Tahoma"/>
          <w:color w:val="000000"/>
          <w:sz w:val="19"/>
          <w:szCs w:val="19"/>
          <w:rtl w:val="0"/>
        </w:rPr>
        <w:t xml:space="preserve">perlu dilakukan pencegahan dan penanganan terhadap terjadinya Benturan Kepentingan dari pejabat atau pegawai di lingkungan BBPPMPV Bidang Mesin dan Teknik Industri.</w:t>
      </w:r>
    </w:p>
    <w:tbl>
      <w:tblPr>
        <w:tblStyle w:val="Table1"/>
        <w:tblW w:w="9585.000000000002" w:type="dxa"/>
        <w:jc w:val="left"/>
        <w:tblInd w:w="6.0" w:type="dxa"/>
        <w:tblLayout w:type="fixed"/>
        <w:tblLook w:val="0000"/>
      </w:tblPr>
      <w:tblGrid>
        <w:gridCol w:w="2275"/>
        <w:gridCol w:w="691"/>
        <w:gridCol w:w="1733"/>
        <w:gridCol w:w="1435"/>
        <w:gridCol w:w="1004"/>
        <w:gridCol w:w="1766"/>
        <w:gridCol w:w="681"/>
        <w:tblGridChange w:id="0">
          <w:tblGrid>
            <w:gridCol w:w="2275"/>
            <w:gridCol w:w="691"/>
            <w:gridCol w:w="1733"/>
            <w:gridCol w:w="1435"/>
            <w:gridCol w:w="1004"/>
            <w:gridCol w:w="1766"/>
            <w:gridCol w:w="681"/>
          </w:tblGrid>
        </w:tblGridChange>
      </w:tblGrid>
      <w:tr>
        <w:trPr>
          <w:cantSplit w:val="0"/>
          <w:trHeight w:val="283"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03">
            <w:pPr>
              <w:spacing w:after="14" w:before="32" w:line="232" w:lineRule="auto"/>
              <w:ind w:left="115" w:firstLine="0"/>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A. Waktu dan tempat terjadinya Benturan Kepentingan:</w:t>
            </w:r>
          </w:p>
        </w:tc>
      </w:tr>
      <w:tr>
        <w:trPr>
          <w:cantSplit w:val="0"/>
          <w:trHeight w:val="816"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0A">
            <w:pPr>
              <w:spacing w:after="542" w:line="232"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Tanggal :</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0B">
            <w:pPr>
              <w:spacing w:after="544"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Bulan :</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0D">
            <w:pPr>
              <w:spacing w:after="544"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Tahun :</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0F">
            <w:pPr>
              <w:spacing w:after="544"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Unit Kerja :</w:t>
            </w:r>
          </w:p>
        </w:tc>
      </w:tr>
      <w:tr>
        <w:trPr>
          <w:cantSplit w:val="0"/>
          <w:trHeight w:val="278"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11">
            <w:pPr>
              <w:spacing w:after="14" w:line="232" w:lineRule="auto"/>
              <w:ind w:left="144" w:firstLine="0"/>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B. Jenis Benturan Kepentingan*:</w:t>
            </w:r>
          </w:p>
        </w:tc>
      </w:tr>
      <w:tr>
        <w:trPr>
          <w:cantSplit w:val="0"/>
          <w:trHeight w:val="547"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4" w:before="0" w:line="264" w:lineRule="auto"/>
              <w:ind w:left="540" w:right="108"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Putusan/Penetapan Pengadilan yang berpihak akibat pengaruh/hubungan dekat/ketergantungan/pemberian gratifikasi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E">
            <w:pPr>
              <w:rPr>
                <w:color w:val="000000"/>
                <w:sz w:val="24"/>
                <w:szCs w:val="24"/>
              </w:rPr>
            </w:pPr>
            <w:r w:rsidDel="00000000" w:rsidR="00000000" w:rsidRPr="00000000">
              <w:rPr>
                <w:rtl w:val="0"/>
              </w:rPr>
            </w:r>
          </w:p>
        </w:tc>
      </w:tr>
      <w:tr>
        <w:trPr>
          <w:cantSplit w:val="0"/>
          <w:trHeight w:val="547"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4" w:before="0" w:line="264" w:lineRule="auto"/>
              <w:ind w:left="540" w:right="108"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Kebijakan yang berpihak akibat pengaruh/hubungan dekat/ketergantungan/pemberian gratifikasi;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5">
            <w:pPr>
              <w:rPr>
                <w:color w:val="000000"/>
                <w:sz w:val="24"/>
                <w:szCs w:val="24"/>
              </w:rPr>
            </w:pPr>
            <w:r w:rsidDel="00000000" w:rsidR="00000000" w:rsidRPr="00000000">
              <w:rPr>
                <w:rtl w:val="0"/>
              </w:rPr>
            </w:r>
          </w:p>
        </w:tc>
      </w:tr>
      <w:tr>
        <w:trPr>
          <w:cantSplit w:val="0"/>
          <w:trHeight w:val="279"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9" w:before="0" w:line="232" w:lineRule="auto"/>
              <w:ind w:left="540"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Pemberian ijin yang diskriminatif;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C">
            <w:pPr>
              <w:rPr>
                <w:color w:val="000000"/>
                <w:sz w:val="24"/>
                <w:szCs w:val="24"/>
              </w:rPr>
            </w:pPr>
            <w:r w:rsidDel="00000000" w:rsidR="00000000" w:rsidRPr="00000000">
              <w:rPr>
                <w:rtl w:val="0"/>
              </w:rPr>
            </w:r>
          </w:p>
        </w:tc>
      </w:tr>
      <w:tr>
        <w:trPr>
          <w:cantSplit w:val="0"/>
          <w:trHeight w:val="547"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9" w:before="0" w:line="264" w:lineRule="auto"/>
              <w:ind w:left="540" w:right="108"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Pengangkatan/pengusulan pegawai berdasarkan hubungan dekat/balas jasa/pengaruh dari </w:t>
              <w:br w:type="textWrapping"/>
              <w:t xml:space="preserve">pejabat;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rPr>
                <w:color w:val="000000"/>
                <w:sz w:val="24"/>
                <w:szCs w:val="24"/>
              </w:rPr>
            </w:pPr>
            <w:r w:rsidDel="00000000" w:rsidR="00000000" w:rsidRPr="00000000">
              <w:rPr>
                <w:rtl w:val="0"/>
              </w:rPr>
            </w:r>
          </w:p>
        </w:tc>
      </w:tr>
      <w:tr>
        <w:trPr>
          <w:cantSplit w:val="0"/>
          <w:trHeight w:val="278"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5" w:before="0" w:line="232" w:lineRule="auto"/>
              <w:ind w:left="540"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Pemilihan rekanan kerja berdasarkan keputusan yang tidak professional;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rPr>
                <w:color w:val="000000"/>
                <w:sz w:val="24"/>
                <w:szCs w:val="24"/>
              </w:rPr>
            </w:pPr>
            <w:r w:rsidDel="00000000" w:rsidR="00000000" w:rsidRPr="00000000">
              <w:rPr>
                <w:rtl w:val="0"/>
              </w:rPr>
            </w:r>
          </w:p>
        </w:tc>
      </w:tr>
      <w:tr>
        <w:trPr>
          <w:cantSplit w:val="0"/>
          <w:trHeight w:val="279"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4" w:before="0" w:line="232" w:lineRule="auto"/>
              <w:ind w:left="540"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Komersialisasi pelayanan publik;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rPr>
                <w:color w:val="000000"/>
                <w:sz w:val="24"/>
                <w:szCs w:val="24"/>
              </w:rPr>
            </w:pPr>
            <w:r w:rsidDel="00000000" w:rsidR="00000000" w:rsidRPr="00000000">
              <w:rPr>
                <w:rtl w:val="0"/>
              </w:rPr>
            </w:r>
          </w:p>
        </w:tc>
      </w:tr>
      <w:tr>
        <w:trPr>
          <w:cantSplit w:val="0"/>
          <w:trHeight w:val="278"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9" w:before="0" w:line="232" w:lineRule="auto"/>
              <w:ind w:left="540"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Penggunaan asset dan informasi rahasia untuk kepentingan pribadi/golongan;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rPr>
                <w:color w:val="000000"/>
                <w:sz w:val="24"/>
                <w:szCs w:val="24"/>
              </w:rPr>
            </w:pPr>
            <w:r w:rsidDel="00000000" w:rsidR="00000000" w:rsidRPr="00000000">
              <w:rPr>
                <w:rtl w:val="0"/>
              </w:rPr>
            </w:r>
          </w:p>
        </w:tc>
      </w:tr>
      <w:tr>
        <w:trPr>
          <w:cantSplit w:val="0"/>
          <w:trHeight w:val="279"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8" w:before="0" w:line="232" w:lineRule="auto"/>
              <w:ind w:left="540"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Menjadi bagian dari pihak yang diawasi;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rPr>
                <w:color w:val="000000"/>
                <w:sz w:val="24"/>
                <w:szCs w:val="24"/>
              </w:rPr>
            </w:pPr>
            <w:r w:rsidDel="00000000" w:rsidR="00000000" w:rsidRPr="00000000">
              <w:rPr>
                <w:rtl w:val="0"/>
              </w:rPr>
            </w:r>
          </w:p>
        </w:tc>
      </w:tr>
      <w:tr>
        <w:trPr>
          <w:cantSplit w:val="0"/>
          <w:trHeight w:val="278"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4" w:before="0" w:line="232" w:lineRule="auto"/>
              <w:ind w:left="540" w:right="0" w:hanging="360"/>
              <w:jc w:val="left"/>
              <w:rPr>
                <w:b w:val="0"/>
                <w:bCs w:val="0"/>
                <w:i w:val="0"/>
                <w:iCs w:val="0"/>
                <w:smallCaps w:val="0"/>
                <w:u w:val="none"/>
                <w:shd w:fill="auto" w:val="clear"/>
              </w:rPr>
            </w:pPr>
            <w:bookmarkStart w:colFirst="0" w:colLast="0" w:name="_gjdgxs" w:id="0"/>
            <w:bookmarkEnd w:id="0"/>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Melakukan pengawasan yang tidak sesuai dengan norma, standard dan prosedur;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rPr>
                <w:color w:val="000000"/>
                <w:sz w:val="24"/>
                <w:szCs w:val="24"/>
              </w:rPr>
            </w:pPr>
            <w:r w:rsidDel="00000000" w:rsidR="00000000" w:rsidRPr="00000000">
              <w:rPr>
                <w:rtl w:val="0"/>
              </w:rPr>
            </w:r>
          </w:p>
        </w:tc>
      </w:tr>
      <w:tr>
        <w:trPr>
          <w:cantSplit w:val="0"/>
          <w:trHeight w:val="278"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10" w:before="0" w:line="232" w:lineRule="auto"/>
              <w:ind w:left="547" w:right="0" w:hanging="360"/>
              <w:jc w:val="left"/>
              <w:rPr>
                <w:b w:val="0"/>
                <w:bCs w:val="0"/>
                <w:i w:val="0"/>
                <w:iCs w:val="0"/>
                <w:smallCaps w:val="0"/>
                <w:u w:val="none"/>
                <w:shd w:fill="auto" w:val="clear"/>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Menjadi Bagian dari pihak yang memiliki kepentingan atas sesuatu yang dinilai;</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rPr>
                <w:color w:val="000000"/>
                <w:sz w:val="24"/>
                <w:szCs w:val="24"/>
              </w:rPr>
            </w:pPr>
            <w:r w:rsidDel="00000000" w:rsidR="00000000" w:rsidRPr="00000000">
              <w:rPr>
                <w:rtl w:val="0"/>
              </w:rPr>
            </w:r>
          </w:p>
        </w:tc>
      </w:tr>
      <w:tr>
        <w:trPr>
          <w:cantSplit w:val="0"/>
          <w:trHeight w:val="816"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numPr>
                <w:ilvl w:val="0"/>
                <w:numId w:val="1"/>
              </w:numPr>
              <w:spacing w:after="10" w:line="232" w:lineRule="auto"/>
              <w:ind w:left="540" w:hanging="360"/>
              <w:rPr/>
            </w:pPr>
            <w:r w:rsidDel="00000000" w:rsidR="00000000" w:rsidRPr="00000000">
              <w:rPr>
                <w:rFonts w:ascii="Tahoma" w:cs="Tahoma" w:eastAsia="Tahoma" w:hAnsi="Tahoma"/>
                <w:color w:val="000000"/>
                <w:sz w:val="19"/>
                <w:szCs w:val="19"/>
                <w:rtl w:val="0"/>
              </w:rPr>
              <w:t xml:space="preserve">Lain-lain:</w:t>
            </w:r>
          </w:p>
        </w:tc>
      </w:tr>
      <w:tr>
        <w:trPr>
          <w:cantSplit w:val="0"/>
          <w:trHeight w:val="279"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65">
            <w:pPr>
              <w:spacing w:after="9" w:line="232" w:lineRule="auto"/>
              <w:ind w:left="144" w:firstLine="0"/>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C. Waktu Pembuatan Laporan Benturan Kepentingan:</w:t>
            </w:r>
          </w:p>
        </w:tc>
      </w:tr>
      <w:tr>
        <w:trPr>
          <w:cantSplit w:val="0"/>
          <w:trHeight w:val="816"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spacing w:after="552" w:line="232"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Tanggal</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after="554"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Bulan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after="554"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Tahun</w:t>
            </w:r>
          </w:p>
        </w:tc>
      </w:tr>
      <w:tr>
        <w:trPr>
          <w:cantSplit w:val="0"/>
          <w:trHeight w:val="278" w:hRule="atLeast"/>
          <w:tblHeader w:val="0"/>
        </w:trPr>
        <w:tc>
          <w:tcPr>
            <w:gridSpan w:val="7"/>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073">
            <w:pPr>
              <w:spacing w:after="9" w:line="232" w:lineRule="auto"/>
              <w:ind w:left="115" w:firstLine="0"/>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D. Identitas Pelapor:</w:t>
            </w:r>
          </w:p>
        </w:tc>
      </w:tr>
      <w:tr>
        <w:trPr>
          <w:cantSplit w:val="0"/>
          <w:trHeight w:val="109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A">
            <w:pPr>
              <w:spacing w:after="827"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Nama</w:t>
            </w:r>
          </w:p>
        </w:tc>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C">
            <w:pPr>
              <w:spacing w:after="827" w:line="230"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Jabatan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E">
            <w:pPr>
              <w:spacing w:after="825" w:line="232" w:lineRule="auto"/>
              <w:jc w:val="center"/>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Tandatangan</w:t>
            </w:r>
          </w:p>
        </w:tc>
      </w:tr>
    </w:tbl>
    <w:p w:rsidR="00000000" w:rsidDel="00000000" w:rsidP="00000000" w:rsidRDefault="00000000" w:rsidRPr="00000000" w14:paraId="00000081">
      <w:pPr>
        <w:spacing w:line="310" w:lineRule="auto"/>
        <w:ind w:left="72" w:right="72" w:firstLine="792"/>
        <w:jc w:val="both"/>
        <w:rPr>
          <w:rFonts w:ascii="Tahoma" w:cs="Tahoma" w:eastAsia="Tahoma" w:hAnsi="Tahoma"/>
          <w:color w:val="000000"/>
          <w:sz w:val="19"/>
          <w:szCs w:val="19"/>
        </w:rPr>
      </w:pPr>
      <w:r w:rsidDel="00000000" w:rsidR="00000000" w:rsidRPr="00000000">
        <w:rPr>
          <w:rFonts w:ascii="Tahoma" w:cs="Tahoma" w:eastAsia="Tahoma" w:hAnsi="Tahoma"/>
          <w:color w:val="000000"/>
          <w:sz w:val="19"/>
          <w:szCs w:val="19"/>
          <w:rtl w:val="0"/>
        </w:rPr>
        <w:t xml:space="preserve">Laporan ini dibuat sebagai bahan evaluasi pencegahan terjadinya Benturan Kepentingan dalam rangka implementasi Zona Integritas (ZI) menuju Wilayah Bebas dari Korupsi (WBK) dan Wilayah Birokrasi Bersih Melayani (WBBM) di lingkungan BBPPMPV Bidang Mesin dan Teknik Industri.</w:t>
      </w:r>
    </w:p>
    <w:sectPr>
      <w:pgSz w:h="18725" w:w="12245" w:orient="portrait"/>
      <w:pgMar w:bottom="879" w:top="1000" w:left="1325" w:right="13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0"/>
      </w:pPr>
      <w:rPr>
        <w:rFonts w:ascii="Tahoma" w:cs="Tahoma" w:eastAsia="Tahoma" w:hAnsi="Tahoma"/>
        <w:strike w:val="0"/>
        <w:color w:val="000000"/>
        <w:sz w:val="19"/>
        <w:szCs w:val="19"/>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