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4D5BC" w14:textId="31501885" w:rsidR="00A3466C" w:rsidRPr="00B860D2" w:rsidRDefault="00EA76D9">
      <w:pPr>
        <w:rPr>
          <w:b/>
          <w:bCs/>
          <w:i/>
          <w:iCs/>
        </w:rPr>
      </w:pPr>
      <w:r w:rsidRPr="00B860D2">
        <w:rPr>
          <w:b/>
          <w:bCs/>
          <w:i/>
          <w:iCs/>
        </w:rPr>
        <w:t>Los principales tipos de Gestalt son:</w:t>
      </w:r>
    </w:p>
    <w:p w14:paraId="68C9682D" w14:textId="77777777" w:rsidR="00B860D2" w:rsidRDefault="00B860D2"/>
    <w:p w14:paraId="1A406B72" w14:textId="05C2A71D" w:rsidR="00B860D2" w:rsidRPr="00B860D2" w:rsidRDefault="00EA76D9" w:rsidP="00EA76D9">
      <w:pPr>
        <w:pStyle w:val="Prrafodelista"/>
        <w:numPr>
          <w:ilvl w:val="0"/>
          <w:numId w:val="1"/>
        </w:numPr>
        <w:rPr>
          <w:sz w:val="24"/>
          <w:szCs w:val="24"/>
          <w:highlight w:val="lightGray"/>
        </w:rPr>
      </w:pPr>
      <w:r w:rsidRPr="00B860D2">
        <w:rPr>
          <w:b/>
          <w:bCs/>
          <w:sz w:val="28"/>
          <w:szCs w:val="28"/>
          <w:highlight w:val="lightGray"/>
        </w:rPr>
        <w:t>PROXIMIDAD</w:t>
      </w:r>
    </w:p>
    <w:p w14:paraId="094556D4" w14:textId="68A77CD6" w:rsidR="00EA76D9" w:rsidRDefault="00EA76D9" w:rsidP="00B860D2">
      <w:pPr>
        <w:ind w:left="360"/>
      </w:pPr>
      <w:r>
        <w:t xml:space="preserve">Estos 3 elementos están lo suficientemente separados del resto de elementos como para considerarse un conjunto diferente de </w:t>
      </w:r>
      <w:r w:rsidR="00B860D2">
        <w:t>información,</w:t>
      </w:r>
      <w:r>
        <w:t xml:space="preserve"> pero están lo suficientemente juntos entre sí para ser considerados información del mismo tipo.</w:t>
      </w:r>
    </w:p>
    <w:p w14:paraId="1C7E0D46" w14:textId="3FDDE1EB" w:rsidR="00EA76D9" w:rsidRDefault="00EA76D9" w:rsidP="00EA76D9">
      <w:pPr>
        <w:ind w:left="360"/>
      </w:pPr>
      <w:r>
        <w:rPr>
          <w:noProof/>
        </w:rPr>
        <w:drawing>
          <wp:inline distT="0" distB="0" distL="0" distR="0" wp14:anchorId="27EBEF7F" wp14:editId="2D8E1C3B">
            <wp:extent cx="5402580" cy="23774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F5D6" w14:textId="77777777" w:rsidR="00B860D2" w:rsidRPr="00B860D2" w:rsidRDefault="00EA76D9" w:rsidP="00EA76D9">
      <w:pPr>
        <w:pStyle w:val="Prrafodelista"/>
        <w:numPr>
          <w:ilvl w:val="0"/>
          <w:numId w:val="1"/>
        </w:numPr>
        <w:rPr>
          <w:highlight w:val="lightGray"/>
        </w:rPr>
      </w:pPr>
      <w:r w:rsidRPr="00B860D2">
        <w:rPr>
          <w:b/>
          <w:bCs/>
          <w:sz w:val="28"/>
          <w:szCs w:val="28"/>
          <w:highlight w:val="lightGray"/>
        </w:rPr>
        <w:t>SIMILARIDAD</w:t>
      </w:r>
    </w:p>
    <w:p w14:paraId="3E2F5FB1" w14:textId="39671A33" w:rsidR="00EA76D9" w:rsidRDefault="00AC319D" w:rsidP="00B860D2">
      <w:pPr>
        <w:ind w:left="360"/>
      </w:pPr>
      <w:r w:rsidRPr="00AC319D">
        <w:t>En esta página web, el principio de similitud se aplica al agrupar productos similares juntos en la misma sección y mostrar productos que comparten características visuales similares, como colores y estilo</w:t>
      </w:r>
      <w:r>
        <w:t>.</w:t>
      </w:r>
    </w:p>
    <w:p w14:paraId="7FAF59D5" w14:textId="6527E3A4" w:rsidR="00EA76D9" w:rsidRDefault="00AC319D" w:rsidP="00EA76D9">
      <w:pPr>
        <w:ind w:left="360"/>
      </w:pPr>
      <w:r w:rsidRPr="00AC319D">
        <w:drawing>
          <wp:inline distT="0" distB="0" distL="0" distR="0" wp14:anchorId="01B8B439" wp14:editId="464D4907">
            <wp:extent cx="5400040" cy="2562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F62D" w14:textId="4474EFE5" w:rsidR="000E6DBB" w:rsidRDefault="000E6DBB" w:rsidP="00EA76D9">
      <w:pPr>
        <w:ind w:left="360"/>
      </w:pPr>
    </w:p>
    <w:p w14:paraId="5523EBF9" w14:textId="5E2089BE" w:rsidR="000E6DBB" w:rsidRDefault="000E6DBB" w:rsidP="00EA76D9">
      <w:pPr>
        <w:ind w:left="360"/>
      </w:pPr>
    </w:p>
    <w:p w14:paraId="21513982" w14:textId="4417F0E4" w:rsidR="000E6DBB" w:rsidRDefault="000E6DBB" w:rsidP="00EA76D9">
      <w:pPr>
        <w:ind w:left="360"/>
      </w:pPr>
    </w:p>
    <w:p w14:paraId="17F149A4" w14:textId="77777777" w:rsidR="000E6DBB" w:rsidRDefault="000E6DBB" w:rsidP="00B860D2"/>
    <w:p w14:paraId="4F6764C2" w14:textId="104AFD1A" w:rsidR="00B860D2" w:rsidRPr="00B860D2" w:rsidRDefault="007104B6" w:rsidP="00AC319D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highlight w:val="lightGray"/>
        </w:rPr>
      </w:pPr>
      <w:r w:rsidRPr="00B860D2">
        <w:rPr>
          <w:b/>
          <w:bCs/>
          <w:sz w:val="28"/>
          <w:szCs w:val="28"/>
          <w:highlight w:val="lightGray"/>
        </w:rPr>
        <w:lastRenderedPageBreak/>
        <w:t>REGIÓN COMÚN</w:t>
      </w:r>
    </w:p>
    <w:p w14:paraId="3E880A9B" w14:textId="4A699434" w:rsidR="00EA76D9" w:rsidRDefault="000E6DBB" w:rsidP="00B860D2">
      <w:pPr>
        <w:ind w:left="360"/>
      </w:pPr>
      <w:r>
        <w:t>Se ve perfectamente como las reseñas están todas agrupadas en el mismo rectángulo blanco dando a pensar que son elementos con el mismo tipo de información independientes a los recuadros blancos de arriba, que tienen otro propósito distinto.</w:t>
      </w:r>
    </w:p>
    <w:p w14:paraId="4E7D56D1" w14:textId="5968DB7D" w:rsidR="00EA76D9" w:rsidRDefault="000E6DBB" w:rsidP="00EA76D9">
      <w:pPr>
        <w:ind w:left="360"/>
      </w:pPr>
      <w:r w:rsidRPr="000E6DBB">
        <w:drawing>
          <wp:inline distT="0" distB="0" distL="0" distR="0" wp14:anchorId="26B9358F" wp14:editId="5E32FD2F">
            <wp:extent cx="5400040" cy="25901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8E2" w14:textId="46427DD6" w:rsidR="00EA76D9" w:rsidRDefault="00EA76D9" w:rsidP="00EA76D9">
      <w:pPr>
        <w:ind w:left="360"/>
      </w:pPr>
    </w:p>
    <w:p w14:paraId="7FE25E9E" w14:textId="7965F59C" w:rsidR="00EA76D9" w:rsidRPr="00B860D2" w:rsidRDefault="00726F76" w:rsidP="00726F76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highlight w:val="lightGray"/>
        </w:rPr>
      </w:pPr>
      <w:r w:rsidRPr="00B860D2">
        <w:rPr>
          <w:b/>
          <w:bCs/>
          <w:sz w:val="28"/>
          <w:szCs w:val="28"/>
          <w:highlight w:val="lightGray"/>
        </w:rPr>
        <w:t>CONEXIÓN</w:t>
      </w:r>
    </w:p>
    <w:p w14:paraId="578C5762" w14:textId="77777777" w:rsidR="00B860D2" w:rsidRDefault="00B860D2" w:rsidP="00B860D2">
      <w:pPr>
        <w:ind w:left="360"/>
      </w:pPr>
    </w:p>
    <w:p w14:paraId="404DAC0A" w14:textId="77777777" w:rsidR="00726F76" w:rsidRDefault="00726F76" w:rsidP="00726F76">
      <w:pPr>
        <w:ind w:left="360"/>
      </w:pPr>
    </w:p>
    <w:p w14:paraId="14016437" w14:textId="77777777" w:rsidR="00EA76D9" w:rsidRDefault="00EA76D9" w:rsidP="00EA76D9">
      <w:pPr>
        <w:ind w:left="360"/>
      </w:pPr>
    </w:p>
    <w:sectPr w:rsidR="00EA76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F59AC"/>
    <w:multiLevelType w:val="hybridMultilevel"/>
    <w:tmpl w:val="1222E0B0"/>
    <w:lvl w:ilvl="0" w:tplc="9F76EC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52"/>
    <w:rsid w:val="000E6DBB"/>
    <w:rsid w:val="007104B6"/>
    <w:rsid w:val="00726F76"/>
    <w:rsid w:val="00975852"/>
    <w:rsid w:val="00A3466C"/>
    <w:rsid w:val="00AC319D"/>
    <w:rsid w:val="00B860D2"/>
    <w:rsid w:val="00EA0824"/>
    <w:rsid w:val="00EA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CAA9E"/>
  <w15:chartTrackingRefBased/>
  <w15:docId w15:val="{A4750657-0E19-4233-A519-592F132D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7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119</Words>
  <Characters>660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Antonios Cruz</dc:creator>
  <cp:keywords/>
  <dc:description/>
  <cp:lastModifiedBy>Antonios Cruz</cp:lastModifiedBy>
  <cp:revision>9</cp:revision>
  <dcterms:created xsi:type="dcterms:W3CDTF">2023-10-02T19:07:00Z</dcterms:created>
  <dcterms:modified xsi:type="dcterms:W3CDTF">2023-10-02T19:30:00Z</dcterms:modified>
</cp:coreProperties>
</file>