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168AF" w14:textId="77777777" w:rsidR="0097718C" w:rsidRPr="00C8475C" w:rsidRDefault="0097718C" w:rsidP="00C8475C">
      <w:pPr>
        <w:rPr>
          <w:rFonts w:ascii="Times New Roman" w:hAnsi="Times New Roman" w:cs="Times New Roman"/>
          <w:b/>
        </w:rPr>
      </w:pPr>
      <w:r w:rsidRPr="00C8475C">
        <w:rPr>
          <w:rFonts w:ascii="Times New Roman" w:hAnsi="Times New Roman" w:cs="Times New Roman"/>
          <w:b/>
        </w:rPr>
        <w:t xml:space="preserve">Metodología </w:t>
      </w:r>
    </w:p>
    <w:p w14:paraId="52A9E946" w14:textId="77777777" w:rsidR="0029167A" w:rsidRPr="00C8475C" w:rsidRDefault="0029167A" w:rsidP="00C8475C">
      <w:pPr>
        <w:pStyle w:val="Sinespaciado"/>
        <w:jc w:val="both"/>
        <w:rPr>
          <w:rFonts w:ascii="Times New Roman" w:hAnsi="Times New Roman" w:cs="Times New Roman"/>
          <w:lang w:eastAsia="es-CO"/>
        </w:rPr>
      </w:pPr>
      <w:r w:rsidRPr="00C8475C">
        <w:rPr>
          <w:rFonts w:ascii="Times New Roman" w:hAnsi="Times New Roman" w:cs="Times New Roman"/>
          <w:lang w:eastAsia="es-CO"/>
        </w:rPr>
        <w:t xml:space="preserve">Se elaboró un estudio con una muestra de 400 empleados seleccionados aleatoriamente de cada una de las divisiones de la empresa HBAT en Estados Unidos, Europa, Asia y Australia. </w:t>
      </w:r>
    </w:p>
    <w:p w14:paraId="5B670B41" w14:textId="77777777" w:rsidR="0097718C" w:rsidRPr="00C8475C" w:rsidRDefault="0029167A" w:rsidP="00C8475C">
      <w:pPr>
        <w:pStyle w:val="Sinespaciado"/>
        <w:jc w:val="both"/>
        <w:rPr>
          <w:rFonts w:ascii="Times New Roman" w:hAnsi="Times New Roman" w:cs="Times New Roman"/>
          <w:lang w:eastAsia="es-CO"/>
        </w:rPr>
      </w:pPr>
      <w:r w:rsidRPr="00C8475C">
        <w:rPr>
          <w:rFonts w:ascii="Times New Roman" w:hAnsi="Times New Roman" w:cs="Times New Roman"/>
          <w:lang w:eastAsia="es-CO"/>
        </w:rPr>
        <w:t xml:space="preserve">Para la medición de los conceptos descritos se emplearon las escalas multi-ítem </w:t>
      </w:r>
      <w:proofErr w:type="spellStart"/>
      <w:r w:rsidRPr="00C8475C">
        <w:rPr>
          <w:rFonts w:ascii="Times New Roman" w:hAnsi="Times New Roman" w:cs="Times New Roman"/>
          <w:lang w:eastAsia="es-CO"/>
        </w:rPr>
        <w:t>reflectivas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 adaptadas de </w:t>
      </w:r>
      <w:proofErr w:type="spellStart"/>
      <w:r w:rsidRPr="00C8475C">
        <w:rPr>
          <w:rFonts w:ascii="Times New Roman" w:hAnsi="Times New Roman" w:cs="Times New Roman"/>
          <w:lang w:eastAsia="es-CO"/>
        </w:rPr>
        <w:t>Hair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, Black, </w:t>
      </w:r>
      <w:proofErr w:type="spellStart"/>
      <w:r w:rsidRPr="00C8475C">
        <w:rPr>
          <w:rFonts w:ascii="Times New Roman" w:hAnsi="Times New Roman" w:cs="Times New Roman"/>
          <w:lang w:eastAsia="es-CO"/>
        </w:rPr>
        <w:t>Babin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, Anderson y </w:t>
      </w:r>
      <w:proofErr w:type="spellStart"/>
      <w:r w:rsidRPr="00C8475C">
        <w:rPr>
          <w:rFonts w:ascii="Times New Roman" w:hAnsi="Times New Roman" w:cs="Times New Roman"/>
          <w:lang w:eastAsia="es-CO"/>
        </w:rPr>
        <w:t>Tatham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 (2006).</w:t>
      </w:r>
    </w:p>
    <w:p w14:paraId="1B279AE0" w14:textId="77777777" w:rsidR="0097718C" w:rsidRDefault="0097718C"/>
    <w:p w14:paraId="596D4A2E" w14:textId="77777777" w:rsidR="0097718C" w:rsidRPr="00C8475C" w:rsidRDefault="0097718C">
      <w:pPr>
        <w:rPr>
          <w:b/>
        </w:rPr>
      </w:pPr>
      <w:r w:rsidRPr="00C8475C">
        <w:rPr>
          <w:b/>
        </w:rPr>
        <w:t xml:space="preserve">Modelo Estructural </w:t>
      </w:r>
    </w:p>
    <w:p w14:paraId="50C3B980" w14:textId="77777777" w:rsidR="00C8475C" w:rsidRDefault="00C8475C"/>
    <w:p w14:paraId="7FB047D3" w14:textId="77777777" w:rsidR="001861A9" w:rsidRDefault="0097718C">
      <w:r>
        <w:t xml:space="preserve">                              </w:t>
      </w:r>
      <w:r w:rsidR="0029167A">
        <w:rPr>
          <w:noProof/>
          <w:lang w:val="es-ES"/>
        </w:rPr>
        <w:drawing>
          <wp:inline distT="0" distB="0" distL="0" distR="0" wp14:anchorId="6B99A634" wp14:editId="008A143A">
            <wp:extent cx="3888973" cy="29990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73" cy="299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722C" w14:textId="77777777" w:rsidR="0097718C" w:rsidRDefault="0097718C"/>
    <w:p w14:paraId="79E8DA06" w14:textId="77777777" w:rsidR="0097718C" w:rsidRDefault="0097718C"/>
    <w:p w14:paraId="7501026D" w14:textId="77777777" w:rsidR="0029167A" w:rsidRPr="00C8475C" w:rsidRDefault="0029167A" w:rsidP="00C8475C">
      <w:pPr>
        <w:pStyle w:val="Sinespaciado"/>
        <w:rPr>
          <w:rFonts w:ascii="Times New Roman" w:hAnsi="Times New Roman" w:cs="Times New Roman"/>
          <w:b/>
          <w:lang w:eastAsia="es-CO"/>
        </w:rPr>
      </w:pPr>
      <w:r w:rsidRPr="00C8475C">
        <w:rPr>
          <w:rFonts w:ascii="Times New Roman" w:hAnsi="Times New Roman" w:cs="Times New Roman"/>
          <w:b/>
          <w:lang w:eastAsia="es-CO"/>
        </w:rPr>
        <w:t>Resultados</w:t>
      </w:r>
    </w:p>
    <w:p w14:paraId="42C6FF51" w14:textId="77777777" w:rsidR="00C8475C" w:rsidRPr="00C8475C" w:rsidRDefault="0029167A" w:rsidP="00C8475C">
      <w:pPr>
        <w:pStyle w:val="Sinespaciado"/>
        <w:jc w:val="both"/>
        <w:rPr>
          <w:rFonts w:ascii="Times New Roman" w:hAnsi="Times New Roman" w:cs="Times New Roman"/>
          <w:lang w:eastAsia="es-CO"/>
        </w:rPr>
      </w:pPr>
      <w:r w:rsidRPr="00C8475C">
        <w:rPr>
          <w:rFonts w:ascii="Times New Roman" w:hAnsi="Times New Roman" w:cs="Times New Roman"/>
          <w:lang w:eastAsia="es-CO"/>
        </w:rPr>
        <w:t>Se verificó la fiabilidad y validez mediante un Análisis Factorial Confirmatorio utilizando el método de máxima verosimilitud, ideal para muestras con cierta anormalidad en los datos (</w:t>
      </w:r>
      <w:proofErr w:type="spellStart"/>
      <w:r w:rsidRPr="00C8475C">
        <w:rPr>
          <w:rFonts w:ascii="Times New Roman" w:hAnsi="Times New Roman" w:cs="Times New Roman"/>
          <w:lang w:eastAsia="es-CO"/>
        </w:rPr>
        <w:t>Joreskog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 &amp; </w:t>
      </w:r>
      <w:proofErr w:type="spellStart"/>
      <w:r w:rsidRPr="00C8475C">
        <w:rPr>
          <w:rFonts w:ascii="Times New Roman" w:hAnsi="Times New Roman" w:cs="Times New Roman"/>
          <w:lang w:eastAsia="es-CO"/>
        </w:rPr>
        <w:t>Sorbom</w:t>
      </w:r>
      <w:proofErr w:type="spellEnd"/>
      <w:r w:rsidRPr="00C8475C">
        <w:rPr>
          <w:rFonts w:ascii="Times New Roman" w:hAnsi="Times New Roman" w:cs="Times New Roman"/>
          <w:lang w:eastAsia="es-CO"/>
        </w:rPr>
        <w:t>, 1990).</w:t>
      </w:r>
    </w:p>
    <w:p w14:paraId="673D99AB" w14:textId="77777777" w:rsidR="0029167A" w:rsidRPr="00C8475C" w:rsidRDefault="0029167A" w:rsidP="00C8475C">
      <w:pPr>
        <w:pStyle w:val="Sinespaciado"/>
        <w:jc w:val="both"/>
        <w:rPr>
          <w:rFonts w:ascii="Times New Roman" w:hAnsi="Times New Roman" w:cs="Times New Roman"/>
          <w:lang w:eastAsia="es-CO"/>
        </w:rPr>
      </w:pPr>
      <w:r w:rsidRPr="00C8475C">
        <w:rPr>
          <w:rFonts w:ascii="Times New Roman" w:hAnsi="Times New Roman" w:cs="Times New Roman"/>
          <w:lang w:eastAsia="es-CO"/>
        </w:rPr>
        <w:t>En el estudio de la validez convergente se verificó que todas las cargas factoriales estandarizadas de los indicadores fueran superiores a 0,6 (</w:t>
      </w:r>
      <w:proofErr w:type="spellStart"/>
      <w:r w:rsidRPr="00C8475C">
        <w:rPr>
          <w:rFonts w:ascii="Times New Roman" w:hAnsi="Times New Roman" w:cs="Times New Roman"/>
          <w:lang w:eastAsia="es-CO"/>
        </w:rPr>
        <w:t>Bagozzi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 &amp; </w:t>
      </w:r>
      <w:proofErr w:type="spellStart"/>
      <w:r w:rsidRPr="00C8475C">
        <w:rPr>
          <w:rFonts w:ascii="Times New Roman" w:hAnsi="Times New Roman" w:cs="Times New Roman"/>
          <w:lang w:eastAsia="es-CO"/>
        </w:rPr>
        <w:t>Yi</w:t>
      </w:r>
      <w:proofErr w:type="spellEnd"/>
      <w:r w:rsidRPr="00C8475C">
        <w:rPr>
          <w:rFonts w:ascii="Times New Roman" w:hAnsi="Times New Roman" w:cs="Times New Roman"/>
          <w:lang w:eastAsia="es-CO"/>
        </w:rPr>
        <w:t>, 1988), que el promedio de cargas factoriales estandarizadas fuera superior a 0,7 (</w:t>
      </w:r>
      <w:proofErr w:type="spellStart"/>
      <w:r w:rsidRPr="00C8475C">
        <w:rPr>
          <w:rFonts w:ascii="Times New Roman" w:hAnsi="Times New Roman" w:cs="Times New Roman"/>
          <w:lang w:eastAsia="es-CO"/>
        </w:rPr>
        <w:t>Hair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, Anderson, </w:t>
      </w:r>
      <w:proofErr w:type="spellStart"/>
      <w:r w:rsidRPr="00C8475C">
        <w:rPr>
          <w:rFonts w:ascii="Times New Roman" w:hAnsi="Times New Roman" w:cs="Times New Roman"/>
          <w:lang w:eastAsia="es-CO"/>
        </w:rPr>
        <w:t>Tatham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 y Black, 1998), que el test de multiplicadores de </w:t>
      </w:r>
      <w:proofErr w:type="spellStart"/>
      <w:r w:rsidRPr="00C8475C">
        <w:rPr>
          <w:rFonts w:ascii="Times New Roman" w:hAnsi="Times New Roman" w:cs="Times New Roman"/>
          <w:lang w:eastAsia="es-CO"/>
        </w:rPr>
        <w:t>Lagrange</w:t>
      </w:r>
      <w:proofErr w:type="spellEnd"/>
      <w:r w:rsidRPr="00C8475C">
        <w:rPr>
          <w:rFonts w:ascii="Times New Roman" w:hAnsi="Times New Roman" w:cs="Times New Roman"/>
          <w:lang w:eastAsia="es-CO"/>
        </w:rPr>
        <w:t xml:space="preserve"> no propusiera relaciones adicionales a las planteadas (</w:t>
      </w:r>
      <w:proofErr w:type="spellStart"/>
      <w:r w:rsidRPr="00C8475C">
        <w:rPr>
          <w:rFonts w:ascii="Times New Roman" w:hAnsi="Times New Roman" w:cs="Times New Roman"/>
          <w:lang w:eastAsia="es-CO"/>
        </w:rPr>
        <w:t>Hatcher</w:t>
      </w:r>
      <w:proofErr w:type="spellEnd"/>
      <w:r w:rsidRPr="00C8475C">
        <w:rPr>
          <w:rFonts w:ascii="Times New Roman" w:hAnsi="Times New Roman" w:cs="Times New Roman"/>
          <w:lang w:eastAsia="es-CO"/>
        </w:rPr>
        <w:t>, 1994) y que hubiera un buen ajuste del modelo. El proceso no exigió ningún proceso de depuración, tras lo que fue posible garantizar un buen ajuste del modelo.</w:t>
      </w:r>
    </w:p>
    <w:p w14:paraId="413D2DC2" w14:textId="77777777" w:rsidR="0097718C" w:rsidRDefault="0097718C"/>
    <w:tbl>
      <w:tblPr>
        <w:tblW w:w="5827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7"/>
        <w:gridCol w:w="811"/>
        <w:gridCol w:w="1276"/>
        <w:gridCol w:w="709"/>
        <w:gridCol w:w="567"/>
        <w:gridCol w:w="567"/>
        <w:gridCol w:w="850"/>
      </w:tblGrid>
      <w:tr w:rsidR="0097718C" w:rsidRPr="003156E4" w14:paraId="2566EB16" w14:textId="77777777" w:rsidTr="003156E4">
        <w:trPr>
          <w:trHeight w:val="300"/>
          <w:jc w:val="center"/>
        </w:trPr>
        <w:tc>
          <w:tcPr>
            <w:tcW w:w="5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12FE2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  <w:t>Modelo de medición. Confiabilidad y validez convergente</w:t>
            </w:r>
          </w:p>
        </w:tc>
      </w:tr>
      <w:tr w:rsidR="003156E4" w:rsidRPr="003156E4" w14:paraId="47FED986" w14:textId="77777777" w:rsidTr="00821B13">
        <w:trPr>
          <w:trHeight w:val="451"/>
          <w:jc w:val="center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79BD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 xml:space="preserve">Factor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4432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Indicator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E171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Standardized loading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9D7F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t-Value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DBD7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CA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A49E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CR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0F40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AV</w:t>
            </w:r>
          </w:p>
        </w:tc>
      </w:tr>
      <w:tr w:rsidR="003156E4" w:rsidRPr="003156E4" w14:paraId="7640E4C3" w14:textId="77777777" w:rsidTr="00821B13">
        <w:trPr>
          <w:trHeight w:val="132"/>
          <w:jc w:val="center"/>
        </w:trPr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BCA44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F1.  Satisfacción Empleo (jc)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4B59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EP1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7B76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0,552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2787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16,098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085C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0,844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929B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0,845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0E56" w14:textId="77777777" w:rsidR="0097718C" w:rsidRPr="003156E4" w:rsidRDefault="003156E4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0,522</w:t>
            </w:r>
          </w:p>
        </w:tc>
      </w:tr>
      <w:tr w:rsidR="003156E4" w:rsidRPr="003156E4" w14:paraId="5803953A" w14:textId="77777777" w:rsidTr="00821B13">
        <w:trPr>
          <w:trHeight w:val="67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FFC8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67B6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EP2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729B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0,559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74B6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16,243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19C7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4887C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4E8CB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5FE6EF23" w14:textId="77777777" w:rsidTr="00821B13">
        <w:trPr>
          <w:trHeight w:val="67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B7FA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A68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EP3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2436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0,462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0FCD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14,307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D95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4BA6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FADD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246AA2E2" w14:textId="77777777" w:rsidTr="00821B13">
        <w:trPr>
          <w:trHeight w:val="67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0FF69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35FD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EP4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F263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0,497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CB1B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14,999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9B07C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718C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4BBEF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7D794178" w14:textId="77777777" w:rsidTr="00821B13">
        <w:trPr>
          <w:trHeight w:val="67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7086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95E8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EP5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94DD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0,541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A2DF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15,909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34E1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07CD8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53E4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243B5A2A" w14:textId="77777777" w:rsidTr="00821B13">
        <w:trPr>
          <w:trHeight w:val="67"/>
          <w:jc w:val="center"/>
        </w:trPr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8B29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F2. Compromis</w:t>
            </w: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lastRenderedPageBreak/>
              <w:t>o Empresa   (oc)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736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lastRenderedPageBreak/>
              <w:t>AC1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B8D1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0,338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FC93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12,055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544A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0,832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8043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0,836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B09" w14:textId="77777777" w:rsidR="0097718C" w:rsidRPr="003156E4" w:rsidRDefault="003156E4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0,566</w:t>
            </w:r>
          </w:p>
        </w:tc>
      </w:tr>
      <w:tr w:rsidR="003156E4" w:rsidRPr="003156E4" w14:paraId="234F1D24" w14:textId="77777777" w:rsidTr="00821B13">
        <w:trPr>
          <w:trHeight w:val="67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B45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E7C3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AC2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F73C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0,788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9901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21,189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9DE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42E8F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120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5EC1987C" w14:textId="77777777" w:rsidTr="00821B13">
        <w:trPr>
          <w:trHeight w:val="67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A0F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974A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AC3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EC3D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0,432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D1C1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14,060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E9AAC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0B636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B2E06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0780F45B" w14:textId="77777777" w:rsidTr="00821B13">
        <w:trPr>
          <w:trHeight w:val="67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B40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2D81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AC4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8EF8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0,70</w:t>
            </w:r>
            <w:r w:rsidR="00821B1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5</w:t>
            </w: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A984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19,525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81C99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E5F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ADF3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76B5BE43" w14:textId="77777777" w:rsidTr="00821B13">
        <w:trPr>
          <w:trHeight w:val="67"/>
          <w:jc w:val="center"/>
        </w:trPr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F836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F3.  Intención Permanencia (si)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2673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JC1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B143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0,657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4CFA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18,978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EF1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0,889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4197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0,890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EFC2" w14:textId="77777777" w:rsidR="0097718C" w:rsidRPr="003156E4" w:rsidRDefault="003156E4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0,669</w:t>
            </w:r>
          </w:p>
        </w:tc>
      </w:tr>
      <w:tr w:rsidR="003156E4" w:rsidRPr="003156E4" w14:paraId="5E6B974A" w14:textId="77777777" w:rsidTr="00821B13">
        <w:trPr>
          <w:trHeight w:val="67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119E9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C602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JC2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DD57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0,746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4FA8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20,893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E66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E4F1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0B2E4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685ED50B" w14:textId="77777777" w:rsidTr="00821B13">
        <w:trPr>
          <w:trHeight w:val="300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D024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E24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JC3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7DAD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0,549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3A2E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16,648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B281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D6C1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866E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01938A77" w14:textId="77777777" w:rsidTr="00821B13">
        <w:trPr>
          <w:trHeight w:val="300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F1D9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C60E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JC4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F814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0,725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EDD0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20,457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F02B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96E2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4BD3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2CA5C4A9" w14:textId="77777777" w:rsidTr="00821B13">
        <w:trPr>
          <w:trHeight w:val="300"/>
          <w:jc w:val="center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9C2D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1804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1C58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37B7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6494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2B94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8DE1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</w:tr>
      <w:tr w:rsidR="003156E4" w:rsidRPr="003156E4" w14:paraId="4AD1A75D" w14:textId="77777777" w:rsidTr="00821B13">
        <w:trPr>
          <w:trHeight w:val="300"/>
          <w:jc w:val="center"/>
        </w:trPr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4BA7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F4. Entorno de Trabajo (ep)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31B7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OC1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10A0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0,488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871E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15,108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5E31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64E6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0,861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C95D" w14:textId="77777777" w:rsidR="0097718C" w:rsidRPr="003156E4" w:rsidRDefault="003156E4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0,608</w:t>
            </w:r>
          </w:p>
        </w:tc>
      </w:tr>
      <w:tr w:rsidR="003156E4" w:rsidRPr="003156E4" w14:paraId="59CE58FC" w14:textId="77777777" w:rsidTr="00821B13">
        <w:trPr>
          <w:trHeight w:val="300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E659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29CB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OC2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1A7A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0,660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89F8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18,648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CC28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E4EF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38CD4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57AEF368" w14:textId="77777777" w:rsidTr="00821B13">
        <w:trPr>
          <w:trHeight w:val="300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8AFAF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BB3F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OC3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1E3B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0,606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75B5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17,563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640A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2B1D1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C8533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6999A07A" w14:textId="77777777" w:rsidTr="00821B13">
        <w:trPr>
          <w:trHeight w:val="300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CBC9D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B916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OC4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6A1E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0,677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D4BE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18,984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260AE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BD0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1912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2D3154DB" w14:textId="77777777" w:rsidTr="00821B13">
        <w:trPr>
          <w:trHeight w:val="300"/>
          <w:jc w:val="center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5976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E858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681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FD76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74ED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98DE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3E4A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</w:tr>
      <w:tr w:rsidR="003156E4" w:rsidRPr="003156E4" w14:paraId="3F9DCA27" w14:textId="77777777" w:rsidTr="00821B13">
        <w:trPr>
          <w:trHeight w:val="300"/>
          <w:jc w:val="center"/>
        </w:trPr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2355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 xml:space="preserve">F5. Actitud Compañeros (ac)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628C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SI1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7991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0,674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67F2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19,226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9890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0,894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AA80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0,894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B057" w14:textId="77777777" w:rsidR="003156E4" w:rsidRPr="003156E4" w:rsidRDefault="003156E4" w:rsidP="003156E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0,677</w:t>
            </w:r>
          </w:p>
        </w:tc>
      </w:tr>
      <w:tr w:rsidR="003156E4" w:rsidRPr="003156E4" w14:paraId="1E57A031" w14:textId="77777777" w:rsidTr="00821B13">
        <w:trPr>
          <w:trHeight w:val="300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11E2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70F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SI2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93AE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0,672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7B04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19,178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4052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3B3A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AF14A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0EBE8BF0" w14:textId="77777777" w:rsidTr="00821B13">
        <w:trPr>
          <w:trHeight w:val="300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3864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1DD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SI3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557D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0,701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5F78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19,761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D6E3D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AF1E7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F94B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3156E4" w:rsidRPr="003156E4" w14:paraId="2A4BF2DE" w14:textId="77777777" w:rsidTr="00821B13">
        <w:trPr>
          <w:trHeight w:val="300"/>
          <w:jc w:val="center"/>
        </w:trPr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B39EC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F45E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SI4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879F" w14:textId="77777777" w:rsidR="0097718C" w:rsidRPr="003156E4" w:rsidRDefault="00821B13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0,662</w:t>
            </w:r>
            <w:r w:rsidR="0097718C"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D7EB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18,980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B47A3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7F5F5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38541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</w:tr>
      <w:tr w:rsidR="0097718C" w:rsidRPr="003156E4" w14:paraId="28D332C2" w14:textId="77777777" w:rsidTr="003156E4">
        <w:trPr>
          <w:trHeight w:val="541"/>
          <w:jc w:val="center"/>
        </w:trPr>
        <w:tc>
          <w:tcPr>
            <w:tcW w:w="5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B109D6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  <w:t>Chi2 (179)=229.689 (</w:t>
            </w:r>
            <w:r w:rsidR="003156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  <w:t xml:space="preserve">p=0.000); CFI=0.988; TLI=0.986; </w:t>
            </w:r>
            <w:r w:rsidRPr="003156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  <w:t>RMSEA(90%CI)=0.027(0.036;1.000) **=p&lt;0.01; CA=Cronbach's alpha; CR=Composite Reliability; AVE=Average Variance Extracted</w:t>
            </w:r>
          </w:p>
        </w:tc>
      </w:tr>
    </w:tbl>
    <w:p w14:paraId="494EF20D" w14:textId="77777777" w:rsidR="0097718C" w:rsidRDefault="0097718C"/>
    <w:p w14:paraId="74A8B1B0" w14:textId="77777777" w:rsidR="00C8475C" w:rsidRPr="00C8475C" w:rsidRDefault="00C8475C" w:rsidP="00C8475C">
      <w:pPr>
        <w:pStyle w:val="Sinespaciado"/>
        <w:jc w:val="both"/>
        <w:rPr>
          <w:rFonts w:ascii="Times New Roman" w:hAnsi="Times New Roman" w:cs="Times New Roman"/>
        </w:rPr>
      </w:pPr>
      <w:r w:rsidRPr="00C8475C">
        <w:rPr>
          <w:rFonts w:ascii="Times New Roman" w:hAnsi="Times New Roman" w:cs="Times New Roman"/>
        </w:rPr>
        <w:t xml:space="preserve">Se verificó la validez discriminante (Tabla 4) comprobando que el valor 1 no estuviera contenido en el intervalo de confianza de las correlaciones entre las diferentes escalas </w:t>
      </w:r>
      <w:r w:rsidRPr="00C8475C">
        <w:rPr>
          <w:rFonts w:ascii="Times New Roman" w:hAnsi="Times New Roman" w:cs="Times New Roman"/>
          <w:noProof/>
        </w:rPr>
        <w:t>(Anderson &amp; Gerbing, 1988)</w:t>
      </w:r>
      <w:r w:rsidRPr="00C8475C">
        <w:rPr>
          <w:rFonts w:ascii="Times New Roman" w:hAnsi="Times New Roman" w:cs="Times New Roman"/>
        </w:rPr>
        <w:t xml:space="preserve">, y que el Índice de Varianza Extraída – IVE de cada constructo superara el cuadrado de las covarianzas entre cada par de factores </w:t>
      </w:r>
      <w:r w:rsidRPr="00C8475C">
        <w:rPr>
          <w:rFonts w:ascii="Times New Roman" w:hAnsi="Times New Roman" w:cs="Times New Roman"/>
          <w:noProof/>
        </w:rPr>
        <w:t>(Fornell &amp; Larcker, 1981)</w:t>
      </w:r>
      <w:r w:rsidRPr="00C8475C">
        <w:rPr>
          <w:rFonts w:ascii="Times New Roman" w:hAnsi="Times New Roman" w:cs="Times New Roman"/>
        </w:rPr>
        <w:t xml:space="preserve">. </w:t>
      </w:r>
    </w:p>
    <w:p w14:paraId="06B5AC65" w14:textId="77777777" w:rsidR="0097718C" w:rsidRDefault="0097718C"/>
    <w:tbl>
      <w:tblPr>
        <w:tblW w:w="4977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762"/>
        <w:gridCol w:w="708"/>
        <w:gridCol w:w="709"/>
        <w:gridCol w:w="709"/>
        <w:gridCol w:w="709"/>
      </w:tblGrid>
      <w:tr w:rsidR="00C8475C" w:rsidRPr="003156E4" w14:paraId="4E6BCF1A" w14:textId="77777777" w:rsidTr="00C8475C">
        <w:trPr>
          <w:trHeight w:val="67"/>
          <w:jc w:val="center"/>
        </w:trPr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3511F" w14:textId="77777777" w:rsidR="00C8475C" w:rsidRPr="003156E4" w:rsidRDefault="00C8475C" w:rsidP="00C8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Modelo de Medición Validez Discriminante</w:t>
            </w:r>
          </w:p>
        </w:tc>
      </w:tr>
      <w:tr w:rsidR="007269CB" w:rsidRPr="003156E4" w14:paraId="27966494" w14:textId="77777777" w:rsidTr="00C8475C">
        <w:trPr>
          <w:trHeight w:val="67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5052C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229C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1F0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EE8E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AA88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014B" w14:textId="77777777" w:rsidR="0097718C" w:rsidRPr="003156E4" w:rsidRDefault="0097718C" w:rsidP="0097718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F5</w:t>
            </w:r>
          </w:p>
        </w:tc>
      </w:tr>
      <w:tr w:rsidR="007269CB" w:rsidRPr="003156E4" w14:paraId="666DAA47" w14:textId="77777777" w:rsidTr="00C8475C">
        <w:trPr>
          <w:trHeight w:val="67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3C6F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F1.  Satisfacción Empleo (jc)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50C7" w14:textId="77777777" w:rsidR="0097718C" w:rsidRPr="003156E4" w:rsidRDefault="00754314" w:rsidP="0097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  <w:t>0,523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D60F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C947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7BBC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DE6D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0,166</w:t>
            </w:r>
          </w:p>
        </w:tc>
      </w:tr>
      <w:tr w:rsidR="007269CB" w:rsidRPr="003156E4" w14:paraId="6A90EBB3" w14:textId="77777777" w:rsidTr="003156E4">
        <w:trPr>
          <w:trHeight w:val="67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A45DB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F2. Compromiso Empresa   (oc)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90CB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0,044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71FE" w14:textId="77777777" w:rsidR="0097718C" w:rsidRPr="003156E4" w:rsidRDefault="007269CB" w:rsidP="0097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  <w:t>0,566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0A97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4394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0,585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875E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0,409</w:t>
            </w:r>
          </w:p>
        </w:tc>
      </w:tr>
      <w:tr w:rsidR="007269CB" w:rsidRPr="003156E4" w14:paraId="084B0ADA" w14:textId="77777777" w:rsidTr="003156E4">
        <w:trPr>
          <w:trHeight w:val="67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F27F7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F3.  Intención Permanencia (si)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04D2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0,053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E12D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62F9" w14:textId="77777777" w:rsidR="0097718C" w:rsidRPr="003156E4" w:rsidRDefault="007269CB" w:rsidP="0097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  <w:t>0,669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CC51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0,644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FB71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0,41</w:t>
            </w:r>
          </w:p>
        </w:tc>
      </w:tr>
      <w:tr w:rsidR="007269CB" w:rsidRPr="003156E4" w14:paraId="4F13C4A7" w14:textId="77777777" w:rsidTr="003156E4">
        <w:trPr>
          <w:trHeight w:val="67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BF6C8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F4. Entorno de Trabajo (ep)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293B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0,058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765A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0,245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4431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0,316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026B" w14:textId="77777777" w:rsidR="0097718C" w:rsidRPr="003156E4" w:rsidRDefault="007269CB" w:rsidP="0097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  <w:t>0,608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6498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0,361</w:t>
            </w:r>
          </w:p>
        </w:tc>
      </w:tr>
      <w:tr w:rsidR="007269CB" w:rsidRPr="003156E4" w14:paraId="494568DE" w14:textId="77777777" w:rsidTr="003156E4">
        <w:trPr>
          <w:trHeight w:val="67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C25AB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F5. Actitud Compañeros (ac)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DEC0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0,003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261E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0,093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39D7" w14:textId="77777777" w:rsidR="0097718C" w:rsidRPr="003156E4" w:rsidRDefault="0097718C" w:rsidP="009771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F15A" w14:textId="77777777" w:rsidR="0097718C" w:rsidRPr="003156E4" w:rsidRDefault="0097718C" w:rsidP="009771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FA76" w14:textId="77777777" w:rsidR="0097718C" w:rsidRPr="003156E4" w:rsidRDefault="007269CB" w:rsidP="0097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CO"/>
              </w:rPr>
              <w:t>0,677</w:t>
            </w:r>
          </w:p>
        </w:tc>
      </w:tr>
      <w:tr w:rsidR="0097718C" w:rsidRPr="003156E4" w14:paraId="31479353" w14:textId="77777777" w:rsidTr="003156E4">
        <w:trPr>
          <w:trHeight w:val="365"/>
          <w:jc w:val="center"/>
        </w:trPr>
        <w:tc>
          <w:tcPr>
            <w:tcW w:w="4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D4EAFD" w14:textId="77777777" w:rsidR="0097718C" w:rsidRPr="003156E4" w:rsidRDefault="0097718C" w:rsidP="003156E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  <w:t>Diagonal: AVE; Above the diagonal: upper limit of the 90% CI for factors correlation estimation; Below the diagonal, squared correlation between factors</w:t>
            </w:r>
          </w:p>
        </w:tc>
      </w:tr>
    </w:tbl>
    <w:p w14:paraId="21EB9F76" w14:textId="77777777" w:rsidR="0097718C" w:rsidRDefault="0097718C"/>
    <w:p w14:paraId="67513035" w14:textId="77777777" w:rsidR="00C8475C" w:rsidRPr="00C8475C" w:rsidRDefault="00C8475C" w:rsidP="00C8475C">
      <w:pPr>
        <w:pStyle w:val="Sinespaciado"/>
        <w:jc w:val="both"/>
        <w:rPr>
          <w:rFonts w:ascii="Times New Roman" w:hAnsi="Times New Roman" w:cs="Times New Roman"/>
        </w:rPr>
      </w:pPr>
      <w:r w:rsidRPr="00C8475C">
        <w:rPr>
          <w:rFonts w:ascii="Times New Roman" w:hAnsi="Times New Roman" w:cs="Times New Roman"/>
        </w:rPr>
        <w:t xml:space="preserve">También se demostró la fiabilidad del instrumento mediante el cálculo del Alfa de </w:t>
      </w:r>
      <w:proofErr w:type="spellStart"/>
      <w:r w:rsidRPr="00C8475C">
        <w:rPr>
          <w:rFonts w:ascii="Times New Roman" w:hAnsi="Times New Roman" w:cs="Times New Roman"/>
        </w:rPr>
        <w:t>Cronbach</w:t>
      </w:r>
      <w:proofErr w:type="spellEnd"/>
      <w:r w:rsidRPr="00C8475C">
        <w:rPr>
          <w:rFonts w:ascii="Times New Roman" w:hAnsi="Times New Roman" w:cs="Times New Roman"/>
        </w:rPr>
        <w:t xml:space="preserve"> para cada escala de cada constructo (Tabla 5), evidenciando que fuera superior a 0,7 </w:t>
      </w:r>
      <w:r w:rsidRPr="00C8475C">
        <w:rPr>
          <w:rFonts w:ascii="Times New Roman" w:hAnsi="Times New Roman" w:cs="Times New Roman"/>
          <w:noProof/>
        </w:rPr>
        <w:t>(Nunnally &amp; Bernstein, 1994)</w:t>
      </w:r>
      <w:r w:rsidRPr="00C8475C">
        <w:rPr>
          <w:rFonts w:ascii="Times New Roman" w:hAnsi="Times New Roman" w:cs="Times New Roman"/>
        </w:rPr>
        <w:t xml:space="preserve">. A su vez, se procedió al cálculo de la fiabilidad compuesta y la varianza extraída, lográndose superar los límites sugeridos de 0,7 y 0,5 respectivamente, para todos los casos </w:t>
      </w:r>
      <w:r w:rsidRPr="00C8475C">
        <w:rPr>
          <w:rFonts w:ascii="Times New Roman" w:hAnsi="Times New Roman" w:cs="Times New Roman"/>
          <w:noProof/>
        </w:rPr>
        <w:t>(Fornell &amp; Larcker, 1981)</w:t>
      </w:r>
      <w:r w:rsidRPr="00C8475C">
        <w:rPr>
          <w:rFonts w:ascii="Times New Roman" w:hAnsi="Times New Roman" w:cs="Times New Roman"/>
        </w:rPr>
        <w:t>.</w:t>
      </w:r>
    </w:p>
    <w:p w14:paraId="30B33FE4" w14:textId="77777777" w:rsidR="00C8475C" w:rsidRPr="00C8475C" w:rsidRDefault="00C8475C" w:rsidP="00C8475C">
      <w:pPr>
        <w:pStyle w:val="Sinespaciado"/>
        <w:jc w:val="both"/>
        <w:rPr>
          <w:rFonts w:ascii="Times New Roman" w:hAnsi="Times New Roman" w:cs="Times New Roman"/>
          <w:lang w:eastAsia="es-CO"/>
        </w:rPr>
      </w:pPr>
      <w:r w:rsidRPr="00C8475C">
        <w:rPr>
          <w:rFonts w:ascii="Times New Roman" w:hAnsi="Times New Roman" w:cs="Times New Roman"/>
          <w:lang w:eastAsia="es-CO"/>
        </w:rPr>
        <w:t>Al garantizar la validez y fiabilidad del modelo, se contrastaron las hipótesis por medio de ecuaciones estructurales. La aplicación del método de máxima verosimilitud condujo a la confirmación de nueve hipótesis planteadas y a buenos indicadores de ajuste.</w:t>
      </w:r>
    </w:p>
    <w:p w14:paraId="67A6D11D" w14:textId="77777777" w:rsidR="007269CB" w:rsidRPr="00C8475C" w:rsidRDefault="007269CB" w:rsidP="00C8475C">
      <w:pPr>
        <w:rPr>
          <w:rFonts w:ascii="Times New Roman" w:hAnsi="Times New Roman" w:cs="Times New Roman"/>
          <w:sz w:val="22"/>
          <w:szCs w:val="22"/>
        </w:rPr>
      </w:pPr>
    </w:p>
    <w:p w14:paraId="05B123B9" w14:textId="77777777" w:rsidR="003156E4" w:rsidRDefault="003156E4" w:rsidP="00C8475C">
      <w:pPr>
        <w:rPr>
          <w:rFonts w:ascii="Times New Roman" w:hAnsi="Times New Roman" w:cs="Times New Roman"/>
          <w:sz w:val="22"/>
          <w:szCs w:val="22"/>
        </w:rPr>
      </w:pPr>
    </w:p>
    <w:p w14:paraId="77B4300B" w14:textId="77777777" w:rsidR="00F316D9" w:rsidRDefault="00F316D9" w:rsidP="00C8475C">
      <w:pPr>
        <w:rPr>
          <w:rFonts w:ascii="Times New Roman" w:hAnsi="Times New Roman" w:cs="Times New Roman"/>
          <w:sz w:val="22"/>
          <w:szCs w:val="22"/>
        </w:rPr>
      </w:pPr>
    </w:p>
    <w:p w14:paraId="56A40CE8" w14:textId="77777777" w:rsidR="00F316D9" w:rsidRPr="00C8475C" w:rsidRDefault="00F316D9" w:rsidP="00C8475C">
      <w:pPr>
        <w:rPr>
          <w:rFonts w:ascii="Times New Roman" w:hAnsi="Times New Roman" w:cs="Times New Roman"/>
          <w:sz w:val="22"/>
          <w:szCs w:val="22"/>
        </w:rPr>
      </w:pPr>
    </w:p>
    <w:p w14:paraId="6E90044F" w14:textId="77777777" w:rsidR="007269CB" w:rsidRDefault="007269CB"/>
    <w:tbl>
      <w:tblPr>
        <w:tblW w:w="4477" w:type="dxa"/>
        <w:jc w:val="center"/>
        <w:tblInd w:w="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916"/>
        <w:gridCol w:w="1559"/>
        <w:gridCol w:w="1332"/>
      </w:tblGrid>
      <w:tr w:rsidR="0052604D" w:rsidRPr="003156E4" w14:paraId="6EE138F8" w14:textId="77777777" w:rsidTr="0052604D">
        <w:trPr>
          <w:trHeight w:val="141"/>
          <w:jc w:val="center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9BB5A46" w14:textId="77777777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3759" w14:textId="1E44353E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2137F" w14:textId="77777777" w:rsidR="0052604D" w:rsidRPr="003156E4" w:rsidRDefault="0052604D" w:rsidP="00C8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Standardized beta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2B186" w14:textId="77777777" w:rsidR="0052604D" w:rsidRPr="003156E4" w:rsidRDefault="0052604D" w:rsidP="00C847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TVALUE</w:t>
            </w:r>
          </w:p>
        </w:tc>
      </w:tr>
      <w:tr w:rsidR="0052604D" w:rsidRPr="003156E4" w14:paraId="0EEBCEBD" w14:textId="77777777" w:rsidTr="0052604D">
        <w:trPr>
          <w:trHeight w:val="30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9414" w14:textId="33513078" w:rsidR="0052604D" w:rsidRPr="0052604D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  <w:t>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7362" w14:textId="63830598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EP--&gt;OC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6905" w14:textId="77777777" w:rsidR="0052604D" w:rsidRPr="003156E4" w:rsidRDefault="0052604D" w:rsidP="003156E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0,449**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FA64E" w14:textId="77777777" w:rsidR="0052604D" w:rsidRPr="003156E4" w:rsidRDefault="0052604D" w:rsidP="007269C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6,63</w:t>
            </w:r>
          </w:p>
        </w:tc>
      </w:tr>
      <w:tr w:rsidR="0052604D" w:rsidRPr="003156E4" w14:paraId="43CFE5F1" w14:textId="77777777" w:rsidTr="0052604D">
        <w:trPr>
          <w:trHeight w:val="30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F803" w14:textId="12741824" w:rsidR="0052604D" w:rsidRPr="0052604D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D851" w14:textId="5D8F8068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EP--&gt;JS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62FC" w14:textId="77777777" w:rsidR="0052604D" w:rsidRPr="003156E4" w:rsidRDefault="0052604D" w:rsidP="003156E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0,25**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322EF" w14:textId="77777777" w:rsidR="0052604D" w:rsidRPr="003156E4" w:rsidRDefault="0052604D" w:rsidP="007269C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4,02</w:t>
            </w:r>
          </w:p>
        </w:tc>
      </w:tr>
      <w:tr w:rsidR="0052604D" w:rsidRPr="003156E4" w14:paraId="6BAF9632" w14:textId="77777777" w:rsidTr="0052604D">
        <w:trPr>
          <w:trHeight w:val="30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6778" w14:textId="275427F8" w:rsidR="0052604D" w:rsidRPr="0052604D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  <w:t>3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3475" w14:textId="156069F4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AC--&gt;JS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212D" w14:textId="77777777" w:rsidR="0052604D" w:rsidRPr="003156E4" w:rsidRDefault="0052604D" w:rsidP="003156E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-0,010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7AFCA" w14:textId="77777777" w:rsidR="0052604D" w:rsidRPr="003156E4" w:rsidRDefault="0052604D" w:rsidP="007269C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-0,17</w:t>
            </w:r>
          </w:p>
        </w:tc>
      </w:tr>
      <w:tr w:rsidR="0052604D" w:rsidRPr="003156E4" w14:paraId="481F1A3A" w14:textId="77777777" w:rsidTr="0052604D">
        <w:trPr>
          <w:trHeight w:val="30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21D5" w14:textId="628E1D06" w:rsidR="0052604D" w:rsidRPr="0052604D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  <w:t>4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F6BF" w14:textId="1907386B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AC--&gt;OC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DD86" w14:textId="77777777" w:rsidR="0052604D" w:rsidRPr="003156E4" w:rsidRDefault="0052604D" w:rsidP="003156E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0,201**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612E0" w14:textId="77777777" w:rsidR="0052604D" w:rsidRPr="003156E4" w:rsidRDefault="0052604D" w:rsidP="007269C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3,75</w:t>
            </w:r>
          </w:p>
        </w:tc>
      </w:tr>
      <w:tr w:rsidR="0052604D" w:rsidRPr="003156E4" w14:paraId="2E4F8A17" w14:textId="77777777" w:rsidTr="0052604D">
        <w:trPr>
          <w:trHeight w:val="30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B012" w14:textId="265CFDCF" w:rsidR="0052604D" w:rsidRPr="0052604D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  <w:t>7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10D6" w14:textId="7D7AD4B9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OC--&gt;SI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E5EB" w14:textId="77777777" w:rsidR="0052604D" w:rsidRPr="003156E4" w:rsidRDefault="0052604D" w:rsidP="003156E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0,552**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92BBB" w14:textId="77777777" w:rsidR="0052604D" w:rsidRPr="003156E4" w:rsidRDefault="0052604D" w:rsidP="007269C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8,25</w:t>
            </w:r>
          </w:p>
        </w:tc>
      </w:tr>
      <w:tr w:rsidR="0052604D" w:rsidRPr="003156E4" w14:paraId="1FDB8111" w14:textId="77777777" w:rsidTr="0052604D">
        <w:trPr>
          <w:trHeight w:val="30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08BA" w14:textId="00FC5769" w:rsidR="0052604D" w:rsidRPr="0052604D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  <w:t>5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5013" w14:textId="62528DE9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JS--&gt;OC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B9D3" w14:textId="77777777" w:rsidR="0052604D" w:rsidRPr="003156E4" w:rsidRDefault="0052604D" w:rsidP="003156E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0,086*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FAB417" w14:textId="77777777" w:rsidR="0052604D" w:rsidRPr="003156E4" w:rsidRDefault="0052604D" w:rsidP="007269C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1,62</w:t>
            </w:r>
          </w:p>
        </w:tc>
      </w:tr>
      <w:tr w:rsidR="0052604D" w:rsidRPr="003156E4" w14:paraId="0CA21A6C" w14:textId="77777777" w:rsidTr="0052604D">
        <w:trPr>
          <w:trHeight w:val="30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2AD5" w14:textId="6BB1FDA8" w:rsidR="0052604D" w:rsidRPr="0052604D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s-CO"/>
              </w:rPr>
              <w:t>6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312F" w14:textId="6C2A7C51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JS--&gt;SI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A0E9" w14:textId="77777777" w:rsidR="0052604D" w:rsidRPr="003156E4" w:rsidRDefault="0052604D" w:rsidP="003156E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0,121*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3AD0A" w14:textId="77777777" w:rsidR="0052604D" w:rsidRPr="003156E4" w:rsidRDefault="0052604D" w:rsidP="007269C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2,38</w:t>
            </w:r>
          </w:p>
        </w:tc>
      </w:tr>
      <w:tr w:rsidR="0052604D" w:rsidRPr="003156E4" w14:paraId="3F6DBBFA" w14:textId="77777777" w:rsidTr="0052604D">
        <w:trPr>
          <w:trHeight w:val="457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1B3627" w14:textId="77777777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C6725" w14:textId="7CA80D82" w:rsidR="0052604D" w:rsidRPr="003156E4" w:rsidRDefault="0052604D" w:rsidP="007269C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</w:pPr>
            <w:r w:rsidRPr="003156E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CO"/>
              </w:rPr>
              <w:t>Chi2 (181)=276.369 (p=0.000); CFI=0.977; TLI=0.974; RMSEA(90%CI)=0.036 (0.045;0.997) **p&lt;0,01; *p&lt;0,05</w:t>
            </w:r>
          </w:p>
        </w:tc>
      </w:tr>
    </w:tbl>
    <w:p w14:paraId="6FD12EDF" w14:textId="77777777" w:rsidR="00F316D9" w:rsidRDefault="00F316D9"/>
    <w:p w14:paraId="43E70718" w14:textId="77777777" w:rsidR="007A5F4D" w:rsidRDefault="00C8475C" w:rsidP="002D2E12">
      <w:pPr>
        <w:jc w:val="both"/>
        <w:rPr>
          <w:sz w:val="22"/>
          <w:szCs w:val="22"/>
        </w:rPr>
      </w:pPr>
      <w:r w:rsidRPr="002D2E12">
        <w:rPr>
          <w:sz w:val="22"/>
          <w:szCs w:val="22"/>
        </w:rPr>
        <w:t xml:space="preserve">Como se puede evidenciar la relación AC-JS </w:t>
      </w:r>
      <w:r w:rsidR="0052604D" w:rsidRPr="002D2E12">
        <w:rPr>
          <w:sz w:val="22"/>
          <w:szCs w:val="22"/>
        </w:rPr>
        <w:t xml:space="preserve"> Hipótesis 3 </w:t>
      </w:r>
      <w:r w:rsidR="00B4731A" w:rsidRPr="002D2E12">
        <w:rPr>
          <w:sz w:val="22"/>
          <w:szCs w:val="22"/>
        </w:rPr>
        <w:t>no es significativa</w:t>
      </w:r>
      <w:r w:rsidRPr="002D2E12">
        <w:rPr>
          <w:sz w:val="22"/>
          <w:szCs w:val="22"/>
        </w:rPr>
        <w:t xml:space="preserve"> ya que el Beta estandarizado, esta por debajo </w:t>
      </w:r>
      <w:r w:rsidR="00F316D9" w:rsidRPr="002D2E12">
        <w:rPr>
          <w:sz w:val="22"/>
          <w:szCs w:val="22"/>
        </w:rPr>
        <w:t xml:space="preserve">de los parámetros, establecidos </w:t>
      </w:r>
      <w:r w:rsidR="00B4731A" w:rsidRPr="002D2E12">
        <w:rPr>
          <w:sz w:val="22"/>
          <w:szCs w:val="22"/>
        </w:rPr>
        <w:t>y el intervalo, así esta hipótesis demuestra a que las variables del modelo el grado de correlació</w:t>
      </w:r>
      <w:r w:rsidR="005D3579" w:rsidRPr="002D2E12">
        <w:rPr>
          <w:sz w:val="22"/>
          <w:szCs w:val="22"/>
        </w:rPr>
        <w:t>n no es significante</w:t>
      </w:r>
      <w:r w:rsidR="00B4731A" w:rsidRPr="002D2E12">
        <w:rPr>
          <w:sz w:val="22"/>
          <w:szCs w:val="22"/>
        </w:rPr>
        <w:t>.</w:t>
      </w:r>
      <w:r w:rsidR="007A5F4D">
        <w:rPr>
          <w:sz w:val="22"/>
          <w:szCs w:val="22"/>
        </w:rPr>
        <w:t xml:space="preserve"> De igual manera la Hipótesis 5 no tiene significancia. </w:t>
      </w:r>
      <w:r w:rsidR="004107B4" w:rsidRPr="002D2E12">
        <w:rPr>
          <w:sz w:val="22"/>
          <w:szCs w:val="22"/>
        </w:rPr>
        <w:t xml:space="preserve">Esto permite analizar que las otras hipótesis tiene un grado de correlación pero aclarando que su grado de significación, tampoco es relevante, pero aún así, representan relación entre las variables.  </w:t>
      </w:r>
    </w:p>
    <w:p w14:paraId="47002509" w14:textId="1107EDC0" w:rsidR="00C8475C" w:rsidRDefault="004107B4" w:rsidP="002D2E12">
      <w:pPr>
        <w:jc w:val="both"/>
        <w:rPr>
          <w:sz w:val="22"/>
          <w:szCs w:val="22"/>
        </w:rPr>
      </w:pPr>
      <w:bookmarkStart w:id="0" w:name="_GoBack"/>
      <w:bookmarkEnd w:id="0"/>
      <w:r w:rsidRPr="002D2E12">
        <w:rPr>
          <w:sz w:val="22"/>
          <w:szCs w:val="22"/>
        </w:rPr>
        <w:t xml:space="preserve"> </w:t>
      </w:r>
      <w:r w:rsidR="00B4731A" w:rsidRPr="002D2E12">
        <w:rPr>
          <w:sz w:val="22"/>
          <w:szCs w:val="22"/>
        </w:rPr>
        <w:t xml:space="preserve"> </w:t>
      </w:r>
      <w:r w:rsidR="0052604D" w:rsidRPr="002D2E12">
        <w:rPr>
          <w:sz w:val="22"/>
          <w:szCs w:val="22"/>
        </w:rPr>
        <w:t xml:space="preserve"> </w:t>
      </w:r>
      <w:r w:rsidR="00F316D9" w:rsidRPr="002D2E12">
        <w:rPr>
          <w:sz w:val="22"/>
          <w:szCs w:val="22"/>
        </w:rPr>
        <w:t xml:space="preserve"> </w:t>
      </w:r>
      <w:r w:rsidR="00C8475C" w:rsidRPr="002D2E12">
        <w:rPr>
          <w:sz w:val="22"/>
          <w:szCs w:val="22"/>
        </w:rPr>
        <w:t xml:space="preserve"> </w:t>
      </w:r>
    </w:p>
    <w:p w14:paraId="7864FBB6" w14:textId="77777777" w:rsidR="001C40D2" w:rsidRDefault="001C40D2" w:rsidP="002D2E12">
      <w:pPr>
        <w:jc w:val="both"/>
        <w:rPr>
          <w:sz w:val="22"/>
          <w:szCs w:val="22"/>
        </w:rPr>
      </w:pPr>
    </w:p>
    <w:p w14:paraId="551979AA" w14:textId="77777777" w:rsidR="001C40D2" w:rsidRPr="002D2E12" w:rsidRDefault="001C40D2" w:rsidP="002D2E12">
      <w:pPr>
        <w:jc w:val="both"/>
        <w:rPr>
          <w:sz w:val="22"/>
          <w:szCs w:val="22"/>
        </w:rPr>
      </w:pPr>
    </w:p>
    <w:sectPr w:rsidR="001C40D2" w:rsidRPr="002D2E12" w:rsidSect="001861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4F6B3" w14:textId="77777777" w:rsidR="0096464D" w:rsidRDefault="0096464D" w:rsidP="0096464D">
      <w:r>
        <w:separator/>
      </w:r>
    </w:p>
  </w:endnote>
  <w:endnote w:type="continuationSeparator" w:id="0">
    <w:p w14:paraId="34034405" w14:textId="77777777" w:rsidR="0096464D" w:rsidRDefault="0096464D" w:rsidP="0096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39B74" w14:textId="77777777" w:rsidR="0096464D" w:rsidRDefault="0096464D" w:rsidP="0096464D">
      <w:r>
        <w:separator/>
      </w:r>
    </w:p>
  </w:footnote>
  <w:footnote w:type="continuationSeparator" w:id="0">
    <w:p w14:paraId="4D32F481" w14:textId="77777777" w:rsidR="0096464D" w:rsidRDefault="0096464D" w:rsidP="009646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A7BA5" w14:textId="5C2EB2D3" w:rsidR="0096464D" w:rsidRDefault="0096464D">
    <w:pPr>
      <w:pStyle w:val="Encabezado"/>
    </w:pPr>
    <w:r>
      <w:t xml:space="preserve">Néstor Fabián Díaz Huertas </w:t>
    </w:r>
  </w:p>
  <w:p w14:paraId="2996F97D" w14:textId="0790C782" w:rsidR="0096464D" w:rsidRDefault="0096464D" w:rsidP="0096464D">
    <w:pPr>
      <w:pStyle w:val="Encabezado"/>
      <w:jc w:val="right"/>
    </w:pPr>
    <w:r>
      <w:t xml:space="preserve">Doctorado en marketing </w:t>
    </w:r>
  </w:p>
  <w:p w14:paraId="1FEDF9B1" w14:textId="01187CA7" w:rsidR="0096464D" w:rsidRDefault="004107B4" w:rsidP="0096464D">
    <w:pPr>
      <w:pStyle w:val="Encabezado"/>
      <w:jc w:val="right"/>
    </w:pPr>
    <w:r>
      <w:t>Análisis de Datos</w:t>
    </w:r>
  </w:p>
  <w:p w14:paraId="44BC265C" w14:textId="5DF3D7A2" w:rsidR="004107B4" w:rsidRDefault="004107B4" w:rsidP="0096464D">
    <w:pPr>
      <w:pStyle w:val="Encabezado"/>
      <w:jc w:val="right"/>
    </w:pPr>
    <w:r>
      <w:t xml:space="preserve">Presentado a: Joaquín </w:t>
    </w:r>
    <w:proofErr w:type="spellStart"/>
    <w:r>
      <w:t>Aldas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BEC"/>
    <w:multiLevelType w:val="multilevel"/>
    <w:tmpl w:val="5A4A4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8C"/>
    <w:rsid w:val="001861A9"/>
    <w:rsid w:val="001C40D2"/>
    <w:rsid w:val="0029167A"/>
    <w:rsid w:val="002D2E12"/>
    <w:rsid w:val="003156E4"/>
    <w:rsid w:val="004107B4"/>
    <w:rsid w:val="0052604D"/>
    <w:rsid w:val="005D3579"/>
    <w:rsid w:val="007269CB"/>
    <w:rsid w:val="00754314"/>
    <w:rsid w:val="007A5F4D"/>
    <w:rsid w:val="00821B13"/>
    <w:rsid w:val="0096464D"/>
    <w:rsid w:val="0097718C"/>
    <w:rsid w:val="00B4731A"/>
    <w:rsid w:val="00C8475C"/>
    <w:rsid w:val="00F3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5D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18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18C"/>
    <w:rPr>
      <w:rFonts w:ascii="Lucida Grande" w:hAnsi="Lucida Grande"/>
      <w:sz w:val="18"/>
      <w:szCs w:val="18"/>
      <w:lang w:val="es-ES_tradnl"/>
    </w:rPr>
  </w:style>
  <w:style w:type="paragraph" w:styleId="Sinespaciado">
    <w:name w:val="No Spacing"/>
    <w:uiPriority w:val="1"/>
    <w:qFormat/>
    <w:rsid w:val="0029167A"/>
    <w:rPr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646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464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46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64D"/>
    <w:rPr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18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18C"/>
    <w:rPr>
      <w:rFonts w:ascii="Lucida Grande" w:hAnsi="Lucida Grande"/>
      <w:sz w:val="18"/>
      <w:szCs w:val="18"/>
      <w:lang w:val="es-ES_tradnl"/>
    </w:rPr>
  </w:style>
  <w:style w:type="paragraph" w:styleId="Sinespaciado">
    <w:name w:val="No Spacing"/>
    <w:uiPriority w:val="1"/>
    <w:qFormat/>
    <w:rsid w:val="0029167A"/>
    <w:rPr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646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464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46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64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708</Words>
  <Characters>3894</Characters>
  <Application>Microsoft Macintosh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Fabian Diaz</dc:creator>
  <cp:keywords/>
  <dc:description/>
  <cp:lastModifiedBy>Nestor Fabian Diaz</cp:lastModifiedBy>
  <cp:revision>3</cp:revision>
  <dcterms:created xsi:type="dcterms:W3CDTF">2017-02-27T13:43:00Z</dcterms:created>
  <dcterms:modified xsi:type="dcterms:W3CDTF">2017-02-27T13:45:00Z</dcterms:modified>
</cp:coreProperties>
</file>