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1. Características sociodemográficas de la muestra (n = 69,840)**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1"/>
        <w:gridCol w:w="1915"/>
      </w:tblGrid>
      <w:tr>
        <w:trPr>
          <w:trHeight w:val="60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44,431 (63.6%)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25,409 (36.4%)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18,190 (26.0%)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5,081 (7.3%)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4,064 (5.8%)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4,553 (6.5%)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6,250 (8.9%)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7,205 (10.3%)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50-54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6,644 (9.5%)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5,415 (7.8%)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4,670 (6.7%)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3,457 (4.9%)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2,270 (3.3%)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75-79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 (1.7%)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80-84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572 (0.8%)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85-89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95-100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(0.0%)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Derechohabiencia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30,786 (44.1%)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1,332 (1.9%)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4,182 (6.0%)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 (1.4%)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7,388 (10.6%)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24,777 (35.5%)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2026-05-06T11:57:25Z</dcterms:modified>
  <cp:category/>
</cp:coreProperties>
</file>