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2. Índice CPO-D y estado de salud bucal según sexo**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6"/>
        <w:gridCol w:w="3088"/>
        <w:gridCol w:w="3088"/>
        <w:gridCol w:w="3088"/>
      </w:tblGrid>
      <w:tr>
        <w:trPr>
          <w:trHeight w:val="76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femenino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44,431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masculino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25,409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CPO-D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7.5 (rango: 0.0-32.0)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 ± 7.3 (rango: 0.0-32.0)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 ± 7.8 (rango: 0.0-32.0)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Estado de salud bucal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16,038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9,210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6,828 (26.9%)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13,508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8,450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5,058 (19.9%)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14,204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9,308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4,896 (19.3%)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13,409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9,073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4,336 (17.1%)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ALTO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12,681 (18.2%)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8,390 (18.9%)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4,291 (16.9%)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 ± DE. CPO-D: Cariados, Perdidos, Obturados - Dientes.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2026-05-06T11:57:26Z</dcterms:modified>
  <cp:category/>
</cp:coreProperties>
</file>