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7,267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5,678 (22.9%)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4,894 (19.8%)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6,312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4,883 (19.7%)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5,831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4,795 (19.4%)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4,527 (18.3%)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2026-05-06T11:57:27Z</dcterms:modified>
  <cp:category/>
</cp:coreProperties>
</file>