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7,267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5,678 (22.9%)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4,894 (19.8%)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6,312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4,883 (19.7%)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5,831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4,795 (19.4%)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4,527 (18.3%)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2026-04-16T13:05:40Z</dcterms:modified>
  <cp:category/>
</cp:coreProperties>
</file>