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2. Índice CPO-D y estado de salud bucal según sexo**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6"/>
        <w:gridCol w:w="3088"/>
        <w:gridCol w:w="3088"/>
        <w:gridCol w:w="3088"/>
      </w:tblGrid>
      <w:tr>
        <w:trPr>
          <w:trHeight w:val="769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44,431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25,409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Índice CPO-D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14.9 ± 7.5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 ± 7.3 (rango: 0.0-32.0)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 ± 7.8 (rango: 0.0-32.0)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Estado de salud bucal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16,038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9,210 (20.7%)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6,828 (26.9%)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BAJO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13,508 (19.3%)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5,058 (19.9%)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14,204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9,308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4,896 (19.3%)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13,409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9,073 (20.4%)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4,336 (17.1%)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MUY ALTO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12,681 (18.2%)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8,390 (18.9%)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4,291 (16.9%)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(%); Media ± DE. CPO-D: Cariados, Perdidos, Obturados - Dientes.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2026-04-21T16:45:44Z</dcterms:modified>
  <cp:category/>
</cp:coreProperties>
</file>