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3. Estado de salud bucal según derechohabiencia**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30,786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4,182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7,388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24,777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± 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 ± 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 ± 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± 7.8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8.1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 ± 7.3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7,267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1,504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5,678 (22.9%)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4,894 (19.8%)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6,312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4,883 (19.7%)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5,831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1,462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4,795 (19.4%)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4,527 (18.3%)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 (3.4%)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2,177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3,913 (15.8%)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5,452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5,947 (24.0%)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6,923 (27.9%)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1,638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10,268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1,475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5,699 (23.0%)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(4.1%)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(0.8%)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2026-04-21T16:45:45Z</dcterms:modified>
  <cp:category/>
</cp:coreProperties>
</file>