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1. Características sociodemográficas de la muestra (n = 69,840)**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1"/>
        <w:gridCol w:w="1915"/>
      </w:tblGrid>
      <w:tr>
        <w:trPr>
          <w:trHeight w:val="60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44,431 (63.6%)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25,409 (36.4%)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18,190 (26.0%)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5,081 (7.3%)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4,064 (5.8%)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4,553 (6.5%)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6,250 (8.9%)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7,205 (10.3%)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50-54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6,644 (9.5%)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55-59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5,415 (7.8%)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4,670 (6.7%)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3,457 (4.9%)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2,270 (3.3%)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75-79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 (1.7%)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80-84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572 (0.8%)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85-89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95-100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(0.0%)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Derechohabiencia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30,786 (44.1%)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1,332 (1.9%)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4,182 (6.0%)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 (1.4%)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7,388 (10.6%)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24,777 (35.5%)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2026-04-16T13:05:38Z</dcterms:modified>
  <cp:category/>
</cp:coreProperties>
</file>