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1. Características sociodemográficas de la muestra (n = 69,840)**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1"/>
        <w:gridCol w:w="1915"/>
      </w:tblGrid>
      <w:tr>
        <w:trPr>
          <w:trHeight w:val="60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44,431 (63.6%)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25,409 (36.4%)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18,190 (26.0%)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5,081 (7.3%)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4,064 (5.8%)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4,553 (6.5%)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6,250 (8.9%)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7,205 (10.3%)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50-54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6,644 (9.5%)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55-59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5,415 (7.8%)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4,670 (6.7%)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3,457 (4.9%)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2,270 (3.3%)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75-79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 (1.7%)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80-84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572 (0.8%)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85-89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95-100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(0.0%)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Derechohabiencia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30,786 (44.1%)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1,332 (1.9%)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4,182 (6.0%)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 (1.4%)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7,388 (10.6%)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24,777 (35.5%)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2026-04-16T17:32:38Z</dcterms:modified>
  <cp:category/>
</cp:coreProperties>
</file>