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3. Estado de salud bucal según derechohabiencia**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69"/>
        <w:gridCol w:w="1915"/>
        <w:gridCol w:w="1915"/>
        <w:gridCol w:w="1609"/>
        <w:gridCol w:w="1487"/>
        <w:gridCol w:w="1793"/>
        <w:gridCol w:w="1609"/>
        <w:gridCol w:w="1487"/>
        <w:gridCol w:w="2623"/>
        <w:gridCol w:w="3283"/>
      </w:tblGrid>
      <w:tr>
        <w:trPr>
          <w:trHeight w:val="76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30,786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1,332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4,182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7,388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24,777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CPO-D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7.5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 ± 7.7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 ± 7.2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 ± 7.9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16.1 ± 7.4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 ± 7.8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8.1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 ± 7.2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14.7 ± 7.3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Estado de salud bucal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16,038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7,267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1,504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5,678 (22.9%)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13,508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5,888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1,354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4,894 (19.8%)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14,204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6,312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889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1,587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4,883 (19.7%)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13,409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5,831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1,462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4,795 (19.4%)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12,681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5,488 (17.8%)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730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1,481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4,527 (18.3%)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849 (3.4%)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5,058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 (12.1%)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2,177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3,913 (15.8%)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5,452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219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649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163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2,419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5,947 (24.0%)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914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1,455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6,923 (27.9%)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1,638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1,189 (4.8%)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10,268 (33.4%)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1,475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5,699 (23.0%)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(0.8%)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(4.3%)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 (4.1%)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(0.2%)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(0.8%)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 ± DE. CPO-D: Cariados, Perdidos, Obturados - Dientes.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2026-04-16T17:32:40Z</dcterms:modified>
  <cp:category/>
</cp:coreProperties>
</file>