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658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(1.5%)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4,104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1,884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1,488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22,525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9,890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1,394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 (35.9%)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2,216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8,106 (32.7%)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22,306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9,907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431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1,372 (32.8%)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2,457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7,722 (31.2%)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19,688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8,447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7,082 (28.6%)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2026-04-23T17:40:41Z</dcterms:modified>
  <cp:category/>
</cp:coreProperties>
</file>