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23A" w:rsidRDefault="00800469" w:rsidP="00800469">
      <w:pPr>
        <w:pStyle w:val="Ttulo"/>
      </w:pPr>
      <w:proofErr w:type="spellStart"/>
      <w:r>
        <w:t>Ultrashort</w:t>
      </w:r>
      <w:proofErr w:type="spellEnd"/>
      <w:r>
        <w:t xml:space="preserve"> pulses and </w:t>
      </w:r>
      <w:proofErr w:type="spellStart"/>
      <w:r>
        <w:t>applications</w:t>
      </w:r>
      <w:proofErr w:type="spellEnd"/>
    </w:p>
    <w:p w:rsidR="00800469" w:rsidRDefault="00800469" w:rsidP="00800469"/>
    <w:p w:rsidR="00800469" w:rsidRDefault="00800469" w:rsidP="00800469">
      <w:pPr>
        <w:jc w:val="both"/>
        <w:rPr>
          <w:lang w:val="en-US"/>
        </w:rPr>
      </w:pPr>
      <w:r>
        <w:rPr>
          <w:lang w:val="en-US"/>
        </w:rPr>
        <w:t xml:space="preserve">Ultrashort pulses are brief bursts of electromagnetic radiation with extremely short temporal duration. Typically, this duration range from </w:t>
      </w:r>
      <w:proofErr w:type="gramStart"/>
      <w:r>
        <w:rPr>
          <w:lang w:val="en-US"/>
        </w:rPr>
        <w:t>10  to</w:t>
      </w:r>
      <w:proofErr w:type="gramEnd"/>
      <w:r>
        <w:rPr>
          <w:lang w:val="en-US"/>
        </w:rPr>
        <w:t xml:space="preserve"> 100 fs although we can also find these pulses reaching the </w:t>
      </w:r>
      <w:proofErr w:type="spellStart"/>
      <w:r>
        <w:rPr>
          <w:lang w:val="en-US"/>
        </w:rPr>
        <w:t>attosecond</w:t>
      </w:r>
      <w:proofErr w:type="spellEnd"/>
      <w:r>
        <w:rPr>
          <w:lang w:val="en-US"/>
        </w:rPr>
        <w:t xml:space="preserve"> regime.</w:t>
      </w:r>
    </w:p>
    <w:p w:rsidR="00800469" w:rsidRDefault="00800469" w:rsidP="00800469">
      <w:pPr>
        <w:jc w:val="both"/>
        <w:rPr>
          <w:lang w:val="en-US"/>
        </w:rPr>
      </w:pPr>
      <w:r>
        <w:rPr>
          <w:lang w:val="en-US"/>
        </w:rPr>
        <w:t>Due to their limited temporal duration, they inherently possess a broad spectral bandwidth due to the Fourier transform relationship between time and frequency domains. Generating a short pulse in time requires the coherent superposition of a wide range of frequencies.</w:t>
      </w:r>
    </w:p>
    <w:p w:rsidR="00800469" w:rsidRDefault="00800469" w:rsidP="00800469">
      <w:pPr>
        <w:jc w:val="both"/>
        <w:rPr>
          <w:lang w:val="en-US"/>
        </w:rPr>
      </w:pPr>
      <w:r>
        <w:rPr>
          <w:lang w:val="en-US"/>
        </w:rPr>
        <w:t xml:space="preserve">Besides this, the bandwidth is influenced by the carrier frequency of the pulse envelope. This means that for a fixed pulse width, the required bandwidth decreases as the carrier frequency increases. </w:t>
      </w:r>
    </w:p>
    <w:p w:rsidR="0006362B" w:rsidRDefault="0006362B" w:rsidP="00800469">
      <w:pPr>
        <w:jc w:val="both"/>
        <w:rPr>
          <w:lang w:val="en-US"/>
        </w:rPr>
      </w:pPr>
    </w:p>
    <w:p w:rsidR="0006362B" w:rsidRPr="00800469" w:rsidRDefault="0006362B" w:rsidP="0006362B">
      <w:pPr>
        <w:pStyle w:val="Subttulo"/>
        <w:rPr>
          <w:lang w:val="en-US"/>
        </w:rPr>
      </w:pPr>
      <w:r>
        <w:rPr>
          <w:lang w:val="en-US"/>
        </w:rPr>
        <w:t>Spectral resolution and sampling issues in Fourier-transform spectral interferometry</w:t>
      </w:r>
    </w:p>
    <w:p w:rsidR="0006362B" w:rsidRPr="0006362B" w:rsidRDefault="0006362B" w:rsidP="0006362B">
      <w:pPr>
        <w:numPr>
          <w:ilvl w:val="0"/>
          <w:numId w:val="1"/>
        </w:numPr>
        <w:shd w:val="clear" w:color="auto" w:fill="FFFFFF"/>
        <w:spacing w:before="100" w:beforeAutospacing="1" w:after="120" w:line="240" w:lineRule="auto"/>
        <w:ind w:left="0"/>
        <w:rPr>
          <w:rFonts w:ascii="Arial" w:eastAsia="Times New Roman" w:hAnsi="Arial" w:cs="Arial"/>
          <w:color w:val="525254"/>
          <w:sz w:val="21"/>
          <w:szCs w:val="21"/>
          <w:lang w:eastAsia="es-ES"/>
        </w:rPr>
      </w:pPr>
      <w:r w:rsidRPr="0006362B">
        <w:rPr>
          <w:rFonts w:ascii="Arial" w:eastAsia="Times New Roman" w:hAnsi="Arial" w:cs="Arial"/>
          <w:color w:val="525254"/>
          <w:sz w:val="21"/>
          <w:szCs w:val="21"/>
          <w:lang w:eastAsia="es-ES"/>
        </w:rPr>
        <w:t>DOI: </w:t>
      </w:r>
    </w:p>
    <w:p w:rsidR="0006362B" w:rsidRDefault="0006362B" w:rsidP="0006362B">
      <w:pPr>
        <w:numPr>
          <w:ilvl w:val="0"/>
          <w:numId w:val="1"/>
        </w:numPr>
        <w:shd w:val="clear" w:color="auto" w:fill="FFFFFF"/>
        <w:spacing w:beforeAutospacing="1" w:after="0" w:afterAutospacing="1" w:line="240" w:lineRule="auto"/>
        <w:ind w:left="0"/>
        <w:rPr>
          <w:rFonts w:ascii="Arial" w:eastAsia="Times New Roman" w:hAnsi="Arial" w:cs="Arial"/>
          <w:color w:val="525254"/>
          <w:sz w:val="21"/>
          <w:szCs w:val="21"/>
          <w:lang w:eastAsia="es-ES"/>
        </w:rPr>
      </w:pPr>
      <w:hyperlink r:id="rId5" w:tgtFrame="_blank" w:history="1">
        <w:r w:rsidRPr="0006362B">
          <w:rPr>
            <w:rFonts w:ascii="inherit" w:eastAsia="Times New Roman" w:hAnsi="inherit" w:cs="Arial"/>
            <w:color w:val="0000FF"/>
            <w:sz w:val="21"/>
            <w:szCs w:val="21"/>
            <w:u w:val="single"/>
            <w:bdr w:val="none" w:sz="0" w:space="0" w:color="auto" w:frame="1"/>
            <w:lang w:eastAsia="es-ES"/>
          </w:rPr>
          <w:t>10.1364/JOSAB.17.001795</w:t>
        </w:r>
      </w:hyperlink>
    </w:p>
    <w:p w:rsidR="0006362B" w:rsidRPr="0006362B" w:rsidRDefault="0006362B" w:rsidP="0006362B">
      <w:pPr>
        <w:shd w:val="clear" w:color="auto" w:fill="FFFFFF"/>
        <w:spacing w:beforeAutospacing="1" w:after="0" w:afterAutospacing="1" w:line="240" w:lineRule="auto"/>
        <w:rPr>
          <w:lang w:val="en-US"/>
        </w:rPr>
      </w:pPr>
      <w:r w:rsidRPr="0006362B">
        <w:rPr>
          <w:lang w:val="en-US"/>
        </w:rPr>
        <w:t xml:space="preserve">Spectral interferometry, a technique relying on the use of frequency-domain interferences between two beams of different optical </w:t>
      </w:r>
      <w:proofErr w:type="spellStart"/>
      <w:r w:rsidRPr="0006362B">
        <w:rPr>
          <w:lang w:val="en-US"/>
        </w:rPr>
        <w:t>pathds</w:t>
      </w:r>
      <w:proofErr w:type="spellEnd"/>
      <w:r w:rsidRPr="0006362B">
        <w:rPr>
          <w:lang w:val="en-US"/>
        </w:rPr>
        <w:t xml:space="preserve">, has been shown to be of great use in femtosecond spectroscopy and analysis of temporal pulse </w:t>
      </w:r>
      <w:proofErr w:type="spellStart"/>
      <w:r w:rsidRPr="0006362B">
        <w:rPr>
          <w:lang w:val="en-US"/>
        </w:rPr>
        <w:t>sahep</w:t>
      </w:r>
      <w:proofErr w:type="spellEnd"/>
      <w:r w:rsidRPr="0006362B">
        <w:rPr>
          <w:lang w:val="en-US"/>
        </w:rPr>
        <w:t>.</w:t>
      </w:r>
    </w:p>
    <w:p w:rsidR="0006362B" w:rsidRDefault="0006362B" w:rsidP="0006362B">
      <w:pPr>
        <w:shd w:val="clear" w:color="auto" w:fill="FFFFFF"/>
        <w:spacing w:beforeAutospacing="1" w:after="0" w:afterAutospacing="1" w:line="240" w:lineRule="auto"/>
        <w:rPr>
          <w:lang w:val="en-US"/>
        </w:rPr>
      </w:pPr>
      <w:r w:rsidRPr="0006362B">
        <w:rPr>
          <w:lang w:val="en-US"/>
        </w:rPr>
        <w:t>Spectral</w:t>
      </w:r>
      <w:r>
        <w:rPr>
          <w:lang w:val="en-US"/>
        </w:rPr>
        <w:t xml:space="preserve"> interferometry allows the retrieval, in a simple way, of the difference in spectral phase between two </w:t>
      </w:r>
      <w:proofErr w:type="spellStart"/>
      <w:r>
        <w:rPr>
          <w:lang w:val="en-US"/>
        </w:rPr>
        <w:t>tiem</w:t>
      </w:r>
      <w:proofErr w:type="spellEnd"/>
      <w:r>
        <w:rPr>
          <w:lang w:val="en-US"/>
        </w:rPr>
        <w:t xml:space="preserve">-delayed light pulses. This makes possible the measurement of the complex transfer function of any linear optical element by use of a broadband light source such as a femtosecond laser or an incoherent white lamp. It also allows the full characterization of the electric field of an unknown pulse, assuming that a well-characterized reference pulse of appropriate spectrum is available. Because the measured quantity is linear in the electric field of the unknown pulse, this technique is much more sensitive than its nonlinear counterparts and can be used for extremely weak pulses, which is one of the main reasons for its widespread use in femtosecond spectroscopy. </w:t>
      </w:r>
    </w:p>
    <w:p w:rsidR="0006362B" w:rsidRDefault="0006362B">
      <w:pPr>
        <w:jc w:val="both"/>
        <w:rPr>
          <w:lang w:val="en-US"/>
        </w:rPr>
      </w:pPr>
      <w:r>
        <w:rPr>
          <w:lang w:val="en-US"/>
        </w:rPr>
        <w:t>FOURIER TRANSFORM SPECTRAL INTERFEROMETRY</w:t>
      </w:r>
    </w:p>
    <w:p w:rsidR="0006362B" w:rsidRDefault="0006362B">
      <w:pPr>
        <w:jc w:val="both"/>
        <w:rPr>
          <w:lang w:val="en-US"/>
        </w:rPr>
      </w:pPr>
      <w:r>
        <w:rPr>
          <w:lang w:val="en-US"/>
        </w:rPr>
        <w:t xml:space="preserve">In this section we describe how FTSI permits the retrieval of the difference in spectral phase between two light pulses from their interference spectrum. </w:t>
      </w:r>
    </w:p>
    <w:p w:rsidR="0006362B" w:rsidRDefault="0006362B">
      <w:pPr>
        <w:jc w:val="both"/>
        <w:rPr>
          <w:rFonts w:eastAsiaTheme="minorEastAsia"/>
          <w:lang w:val="en-US"/>
        </w:rPr>
      </w:pPr>
      <w:r>
        <w:rPr>
          <w:lang w:val="en-US"/>
        </w:rPr>
        <w:t xml:space="preserve">In a typical spectral interferometry experiment, a relative time delay tau is </w:t>
      </w:r>
      <w:proofErr w:type="spellStart"/>
      <w:r>
        <w:rPr>
          <w:lang w:val="en-US"/>
        </w:rPr>
        <w:t>inftroduced</w:t>
      </w:r>
      <w:proofErr w:type="spellEnd"/>
      <w:r>
        <w:rPr>
          <w:lang w:val="en-US"/>
        </w:rPr>
        <w:t xml:space="preserve"> between the two beams, which are then recombined collinearly with a beam splitter. The total electric field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+E(t-τ)</m:t>
        </m:r>
      </m:oMath>
      <w:r w:rsidR="00F72372">
        <w:rPr>
          <w:rFonts w:eastAsiaTheme="minorEastAsia"/>
          <w:lang w:val="en-US"/>
        </w:rPr>
        <w:t xml:space="preserve"> is then spectrally resolved with a spectrometer and a CCD detector. The total frequency spectrum thus reads:</w:t>
      </w:r>
    </w:p>
    <w:p w:rsidR="00F72372" w:rsidRPr="00F72372" w:rsidRDefault="00F72372">
      <w:pPr>
        <w:jc w:val="both"/>
        <w:rPr>
          <w:rFonts w:eastAsiaTheme="minorEastAsia"/>
          <w:lang w:val="en-US"/>
        </w:rPr>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ω</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ω</m:t>
              </m:r>
            </m:e>
          </m:d>
          <m:r>
            <w:rPr>
              <w:rFonts w:ascii="Cambria Math" w:hAnsi="Cambria Math"/>
              <w:lang w:val="en-US"/>
            </w:rPr>
            <m:t>+E(ω)</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iωτ</m:t>
              </m:r>
            </m:sup>
          </m:sSup>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oMath>
      </m:oMathPara>
    </w:p>
    <w:p w:rsidR="00F72372" w:rsidRDefault="00F72372">
      <w:pPr>
        <w:jc w:val="both"/>
        <w:rPr>
          <w:rFonts w:eastAsiaTheme="minorEastAsia"/>
          <w:lang w:val="en-US"/>
        </w:rPr>
      </w:pPr>
    </w:p>
    <w:p w:rsidR="00F72372" w:rsidRDefault="00F72372">
      <w:pPr>
        <w:jc w:val="both"/>
        <w:rPr>
          <w:lang w:val="en-US"/>
        </w:rPr>
      </w:pPr>
      <w:r>
        <w:rPr>
          <w:noProof/>
          <w:lang w:eastAsia="es-ES"/>
        </w:rPr>
        <w:lastRenderedPageBreak/>
        <w:drawing>
          <wp:inline distT="0" distB="0" distL="0" distR="0" wp14:anchorId="00772AFB" wp14:editId="60B7717A">
            <wp:extent cx="5400040" cy="3411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411855"/>
                    </a:xfrm>
                    <a:prstGeom prst="rect">
                      <a:avLst/>
                    </a:prstGeom>
                  </pic:spPr>
                </pic:pic>
              </a:graphicData>
            </a:graphic>
          </wp:inline>
        </w:drawing>
      </w:r>
    </w:p>
    <w:p w:rsidR="004B1F85" w:rsidRDefault="004B1F85">
      <w:pPr>
        <w:jc w:val="both"/>
        <w:rPr>
          <w:lang w:val="en-US"/>
        </w:rPr>
      </w:pPr>
      <w:r>
        <w:rPr>
          <w:lang w:val="en-US"/>
        </w:rPr>
        <w:t>DESCRIPTION OF ULSTRASHORT LASER PULSES: BASIC CONCEPTS AND DEFINITIONS</w:t>
      </w:r>
    </w:p>
    <w:p w:rsidR="004B1F85" w:rsidRDefault="004B1F85">
      <w:pPr>
        <w:jc w:val="both"/>
        <w:rPr>
          <w:lang w:val="en-US"/>
        </w:rPr>
      </w:pPr>
      <w:r>
        <w:rPr>
          <w:lang w:val="en-US"/>
        </w:rPr>
        <w:t xml:space="preserve">In this section, we will introduce the concepts of optics required for the description and characterization of ultrashort laser pulses, including the physical and mathematical definition of the pulses (such as electric field, amplitude and phase), as well as the </w:t>
      </w:r>
      <w:proofErr w:type="spellStart"/>
      <w:r>
        <w:rPr>
          <w:lang w:val="en-US"/>
        </w:rPr>
        <w:t>mathematicl</w:t>
      </w:r>
      <w:proofErr w:type="spellEnd"/>
      <w:r>
        <w:rPr>
          <w:lang w:val="en-US"/>
        </w:rPr>
        <w:t xml:space="preserve"> tools to deal with the pulses. </w:t>
      </w:r>
    </w:p>
    <w:p w:rsidR="004B1F85" w:rsidRDefault="004B1F85">
      <w:pPr>
        <w:jc w:val="both"/>
        <w:rPr>
          <w:lang w:val="en-US"/>
        </w:rPr>
      </w:pPr>
      <w:r>
        <w:rPr>
          <w:lang w:val="en-US"/>
        </w:rPr>
        <w:t xml:space="preserve">The light is an electromagnetic wave consisting of a vibrating electromagnetic field </w:t>
      </w:r>
      <w:proofErr w:type="spellStart"/>
      <w:r>
        <w:rPr>
          <w:lang w:val="en-US"/>
        </w:rPr>
        <w:t>Ref_hetch</w:t>
      </w:r>
      <w:proofErr w:type="spellEnd"/>
      <w:r>
        <w:rPr>
          <w:lang w:val="en-US"/>
        </w:rPr>
        <w:t xml:space="preserve">. The electric field E and the magnetic field B are related by Maxwell’s equations. Therefore, it is enough to consider the electric field for the description of the laser radiation and disregard the magnetic field from now on.  In many situations the electric field is a vector that oscillates in the plane perpendicular to the propagation direction. The trajectory described by the electric field vector in that plane is known as polarization. In our case, the lasers employed are linearly polarized (oscillating in one direction), so we can consider the pulses as a scalar electric field. </w:t>
      </w:r>
    </w:p>
    <w:p w:rsidR="004B1F85" w:rsidRDefault="004B1F85">
      <w:pPr>
        <w:jc w:val="both"/>
        <w:rPr>
          <w:lang w:val="en-US"/>
        </w:rPr>
      </w:pPr>
      <w:r>
        <w:rPr>
          <w:lang w:val="en-US"/>
        </w:rPr>
        <w:t>Basic definitions:</w:t>
      </w:r>
    </w:p>
    <w:p w:rsidR="004B1F85" w:rsidRDefault="004B1F85">
      <w:pPr>
        <w:jc w:val="both"/>
        <w:rPr>
          <w:lang w:val="en-US"/>
        </w:rPr>
      </w:pPr>
      <w:r>
        <w:rPr>
          <w:lang w:val="en-US"/>
        </w:rPr>
        <w:t>Despite being a real function (</w:t>
      </w:r>
      <w:proofErr w:type="spellStart"/>
      <w:r>
        <w:rPr>
          <w:lang w:val="en-US"/>
        </w:rPr>
        <w:t>sice</w:t>
      </w:r>
      <w:proofErr w:type="spellEnd"/>
      <w:r>
        <w:rPr>
          <w:lang w:val="en-US"/>
        </w:rPr>
        <w:t xml:space="preserve"> it stands for a physical </w:t>
      </w:r>
      <w:proofErr w:type="spellStart"/>
      <w:r>
        <w:rPr>
          <w:lang w:val="en-US"/>
        </w:rPr>
        <w:t>ampliftude</w:t>
      </w:r>
      <w:proofErr w:type="spellEnd"/>
      <w:r>
        <w:rPr>
          <w:lang w:val="en-US"/>
        </w:rPr>
        <w:t xml:space="preserve">), electric field is usually expressed as a complex function: The actual electric field is simply the real part of the complex representation. </w:t>
      </w:r>
    </w:p>
    <w:p w:rsidR="004B1F85" w:rsidRPr="004305D9" w:rsidRDefault="004B1F85">
      <w:pPr>
        <w:jc w:val="both"/>
        <w:rPr>
          <w:rFonts w:eastAsiaTheme="minorEastAsia"/>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x,y,z,t</m:t>
              </m:r>
            </m:e>
          </m:d>
          <m:r>
            <w:rPr>
              <w:rFonts w:ascii="Cambria Math" w:hAnsi="Cambria Math"/>
              <w:lang w:val="en-US"/>
            </w:rPr>
            <m:t>=A</m:t>
          </m:r>
          <m:d>
            <m:dPr>
              <m:ctrlPr>
                <w:rPr>
                  <w:rFonts w:ascii="Cambria Math" w:hAnsi="Cambria Math"/>
                  <w:i/>
                  <w:lang w:val="en-US"/>
                </w:rPr>
              </m:ctrlPr>
            </m:dPr>
            <m:e>
              <m:r>
                <w:rPr>
                  <w:rFonts w:ascii="Cambria Math" w:hAnsi="Cambria Math"/>
                  <w:lang w:val="en-US"/>
                </w:rPr>
                <m:t>x,y,z,t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k</m:t>
                      </m:r>
                    </m:e>
                  </m:acc>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+φ</m:t>
                  </m:r>
                  <m:d>
                    <m:dPr>
                      <m:ctrlPr>
                        <w:rPr>
                          <w:rFonts w:ascii="Cambria Math" w:hAnsi="Cambria Math"/>
                          <w:i/>
                          <w:lang w:val="en-US"/>
                        </w:rPr>
                      </m:ctrlPr>
                    </m:dPr>
                    <m:e>
                      <m:r>
                        <w:rPr>
                          <w:rFonts w:ascii="Cambria Math" w:hAnsi="Cambria Math"/>
                          <w:lang w:val="en-US"/>
                        </w:rPr>
                        <m:t>x,y,z,t</m:t>
                      </m:r>
                    </m:e>
                  </m:d>
                </m:e>
              </m:d>
            </m:sup>
          </m:sSup>
        </m:oMath>
      </m:oMathPara>
    </w:p>
    <w:p w:rsidR="004305D9" w:rsidRPr="004305D9" w:rsidRDefault="004305D9">
      <w:pPr>
        <w:jc w:val="both"/>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x,y,z,t</m:t>
              </m:r>
            </m:e>
          </m:d>
          <m:r>
            <w:rPr>
              <w:rFonts w:ascii="Cambria Math" w:eastAsiaTheme="minorEastAsia" w:hAnsi="Cambria Math"/>
              <w:lang w:val="en-US"/>
            </w:rPr>
            <m:t>=|E|</m:t>
          </m:r>
          <m:r>
            <m:rPr>
              <m:sty m:val="p"/>
            </m:rPr>
            <w:rPr>
              <w:rFonts w:ascii="Cambria Math" w:eastAsiaTheme="minorEastAsia" w:hAnsi="Cambria Math"/>
              <w:lang w:val="en-US"/>
            </w:rPr>
            <m:t>cos⁡</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k</m:t>
              </m:r>
            </m:e>
          </m:acc>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+φ</m:t>
          </m:r>
          <m:d>
            <m:dPr>
              <m:ctrlPr>
                <w:rPr>
                  <w:rFonts w:ascii="Cambria Math" w:hAnsi="Cambria Math"/>
                  <w:i/>
                  <w:lang w:val="en-US"/>
                </w:rPr>
              </m:ctrlPr>
            </m:dPr>
            <m:e>
              <m:r>
                <w:rPr>
                  <w:rFonts w:ascii="Cambria Math" w:hAnsi="Cambria Math"/>
                  <w:lang w:val="en-US"/>
                </w:rPr>
                <m:t>x,y,z,t</m:t>
              </m:r>
            </m:e>
          </m:d>
          <m:r>
            <w:rPr>
              <w:rFonts w:ascii="Cambria Math" w:hAnsi="Cambria Math"/>
              <w:lang w:val="en-US"/>
            </w:rPr>
            <m:t>)</m:t>
          </m:r>
        </m:oMath>
      </m:oMathPara>
    </w:p>
    <w:p w:rsidR="004305D9" w:rsidRPr="004305D9" w:rsidRDefault="004305D9">
      <w:pPr>
        <w:jc w:val="both"/>
        <w:rPr>
          <w:rFonts w:eastAsiaTheme="minorEastAsia"/>
        </w:rPr>
      </w:pPr>
      <w:r w:rsidRPr="004305D9">
        <w:rPr>
          <w:rFonts w:eastAsiaTheme="minorEastAsia"/>
        </w:rPr>
        <w:t xml:space="preserve"> </w:t>
      </w:r>
      <w:r>
        <w:rPr>
          <w:rFonts w:ascii="Symbol" w:eastAsiaTheme="minorEastAsia" w:hAnsi="Symbol"/>
          <w:lang w:val="en-US"/>
        </w:rPr>
        <w:t></w:t>
      </w:r>
      <w:r w:rsidRPr="004305D9">
        <w:rPr>
          <w:rFonts w:ascii="Symbol" w:eastAsiaTheme="minorEastAsia" w:hAnsi="Symbol"/>
          <w:vertAlign w:val="subscript"/>
          <w:lang w:val="en-US"/>
        </w:rPr>
        <w:t></w:t>
      </w:r>
      <w:r>
        <w:rPr>
          <w:rFonts w:ascii="Symbol" w:eastAsiaTheme="minorEastAsia" w:hAnsi="Symbol"/>
          <w:vertAlign w:val="subscript"/>
          <w:lang w:val="en-US"/>
        </w:rPr>
        <w:t></w:t>
      </w:r>
      <w:r>
        <w:rPr>
          <w:rFonts w:eastAsiaTheme="minorEastAsia"/>
        </w:rPr>
        <w:t xml:space="preserve"> </w:t>
      </w:r>
      <w:proofErr w:type="gramStart"/>
      <w:r>
        <w:rPr>
          <w:rFonts w:eastAsiaTheme="minorEastAsia"/>
        </w:rPr>
        <w:t xml:space="preserve">es </w:t>
      </w:r>
      <w:r w:rsidRPr="004305D9">
        <w:rPr>
          <w:rFonts w:eastAsiaTheme="minorEastAsia"/>
        </w:rPr>
        <w:t xml:space="preserve"> la</w:t>
      </w:r>
      <w:proofErr w:type="gramEnd"/>
      <w:r w:rsidRPr="004305D9">
        <w:rPr>
          <w:rFonts w:eastAsiaTheme="minorEastAsia"/>
        </w:rPr>
        <w:t xml:space="preserve"> frecuencia angular central </w:t>
      </w:r>
      <w:bookmarkStart w:id="0" w:name="_GoBack"/>
      <w:bookmarkEnd w:id="0"/>
    </w:p>
    <w:p w:rsidR="004B1F85" w:rsidRPr="004305D9" w:rsidRDefault="004B1F85">
      <w:pPr>
        <w:jc w:val="both"/>
      </w:pPr>
    </w:p>
    <w:sectPr w:rsidR="004B1F85" w:rsidRPr="004305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26876"/>
    <w:multiLevelType w:val="multilevel"/>
    <w:tmpl w:val="6FEC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7B7"/>
    <w:rsid w:val="0006362B"/>
    <w:rsid w:val="001037B7"/>
    <w:rsid w:val="004305D9"/>
    <w:rsid w:val="004456FB"/>
    <w:rsid w:val="004B1F85"/>
    <w:rsid w:val="00800469"/>
    <w:rsid w:val="00EA523A"/>
    <w:rsid w:val="00F723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D80C"/>
  <w15:chartTrackingRefBased/>
  <w15:docId w15:val="{93890683-7D41-465C-A52E-3FEAFC6E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00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04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362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6362B"/>
    <w:rPr>
      <w:rFonts w:eastAsiaTheme="minorEastAsia"/>
      <w:color w:val="5A5A5A" w:themeColor="text1" w:themeTint="A5"/>
      <w:spacing w:val="15"/>
    </w:rPr>
  </w:style>
  <w:style w:type="character" w:styleId="Hipervnculo">
    <w:name w:val="Hyperlink"/>
    <w:basedOn w:val="Fuentedeprrafopredeter"/>
    <w:uiPriority w:val="99"/>
    <w:semiHidden/>
    <w:unhideWhenUsed/>
    <w:rsid w:val="0006362B"/>
    <w:rPr>
      <w:color w:val="0000FF"/>
      <w:u w:val="single"/>
    </w:rPr>
  </w:style>
  <w:style w:type="character" w:styleId="Textodelmarcadordeposicin">
    <w:name w:val="Placeholder Text"/>
    <w:basedOn w:val="Fuentedeprrafopredeter"/>
    <w:uiPriority w:val="99"/>
    <w:semiHidden/>
    <w:rsid w:val="000636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81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x.doi.org/10.1364/JOSAB.17.00179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5682</TotalTime>
  <Pages>2</Pages>
  <Words>613</Words>
  <Characters>3373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Méndez Valverde</dc:creator>
  <cp:keywords/>
  <dc:description/>
  <cp:lastModifiedBy>Cruz Méndez Valverde</cp:lastModifiedBy>
  <cp:revision>2</cp:revision>
  <dcterms:created xsi:type="dcterms:W3CDTF">2025-02-17T13:17:00Z</dcterms:created>
  <dcterms:modified xsi:type="dcterms:W3CDTF">2025-02-21T12:14:00Z</dcterms:modified>
</cp:coreProperties>
</file>