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640" w:rsidRDefault="00186640" w:rsidP="00186640">
      <w:pPr>
        <w:pStyle w:val="Title"/>
      </w:pPr>
      <w:r>
        <w:t>Contracts and Threading Guidance</w:t>
      </w:r>
    </w:p>
    <w:p w:rsidR="00186640" w:rsidRDefault="00186640" w:rsidP="00186640">
      <w:r>
        <w:t xml:space="preserve">When writing contracts on methods invoked in multi-threading contexts, one has to be careful not to define contracts on shared unprotected state that are too strong, namely that don’t hold for certain thread </w:t>
      </w:r>
      <w:proofErr w:type="spellStart"/>
      <w:r>
        <w:t>interleavings</w:t>
      </w:r>
      <w:proofErr w:type="spellEnd"/>
      <w:r>
        <w:t>. This note provides guidance on how to write contracts in these situations.</w:t>
      </w:r>
    </w:p>
    <w:p w:rsidR="00777BD5" w:rsidRDefault="00777BD5" w:rsidP="00186640">
      <w:pPr>
        <w:pStyle w:val="Heading1"/>
      </w:pPr>
      <w:r>
        <w:t>Assumptions</w:t>
      </w:r>
    </w:p>
    <w:p w:rsidR="00777BD5" w:rsidRDefault="00777BD5" w:rsidP="00777BD5">
      <w:r>
        <w:t>For contracts involving threading issue, the Monitor class (or related class) in the BCL must provide a predicate that enables testing whether a certain lock is held. We assume the following method for this purpose:</w:t>
      </w:r>
    </w:p>
    <w:p w:rsidR="00777BD5" w:rsidRPr="00EE3299" w:rsidRDefault="00777BD5" w:rsidP="00777BD5">
      <w:pPr>
        <w:pStyle w:val="CodeDisplay"/>
      </w:pPr>
      <w:r>
        <w:t xml:space="preserve">  </w:t>
      </w:r>
      <w:proofErr w:type="gramStart"/>
      <w:r w:rsidRPr="0019554C">
        <w:rPr>
          <w:b/>
        </w:rPr>
        <w:t>public</w:t>
      </w:r>
      <w:proofErr w:type="gramEnd"/>
      <w:r>
        <w:t xml:space="preserve"> </w:t>
      </w:r>
      <w:r w:rsidRPr="00777BD5">
        <w:rPr>
          <w:b/>
        </w:rPr>
        <w:t xml:space="preserve">static </w:t>
      </w:r>
      <w:proofErr w:type="spellStart"/>
      <w:r w:rsidRPr="00777BD5">
        <w:rPr>
          <w:b/>
        </w:rPr>
        <w:t>bool</w:t>
      </w:r>
      <w:proofErr w:type="spellEnd"/>
      <w:r>
        <w:t xml:space="preserve"> </w:t>
      </w:r>
      <w:proofErr w:type="spellStart"/>
      <w:r>
        <w:t>IsHeld</w:t>
      </w:r>
      <w:proofErr w:type="spellEnd"/>
      <w:r>
        <w:t>(</w:t>
      </w:r>
      <w:r w:rsidRPr="00777BD5">
        <w:rPr>
          <w:b/>
        </w:rPr>
        <w:t>object</w:t>
      </w:r>
      <w:r>
        <w:t xml:space="preserve"> </w:t>
      </w:r>
      <w:proofErr w:type="spellStart"/>
      <w:r>
        <w:t>lockObject</w:t>
      </w:r>
      <w:proofErr w:type="spellEnd"/>
      <w:r>
        <w:t>);</w:t>
      </w:r>
    </w:p>
    <w:p w:rsidR="00426716" w:rsidRDefault="00426716" w:rsidP="00186640">
      <w:pPr>
        <w:pStyle w:val="Heading1"/>
      </w:pPr>
      <w:r>
        <w:t>Running Example</w:t>
      </w:r>
    </w:p>
    <w:p w:rsidR="00426716" w:rsidRDefault="00426716" w:rsidP="00426716">
      <w:r>
        <w:t>To illustrate the concepts, we use a fragment of some collection class that has the following methods</w:t>
      </w:r>
    </w:p>
    <w:p w:rsidR="00426716" w:rsidRPr="003D3780" w:rsidRDefault="00426716" w:rsidP="003D3780">
      <w:pPr>
        <w:pStyle w:val="CodeDisplay"/>
      </w:pPr>
      <w:r w:rsidRPr="003D3780">
        <w:rPr>
          <w:b/>
        </w:rPr>
        <w:t xml:space="preserve">  public int</w:t>
      </w:r>
      <w:r w:rsidRPr="003D3780">
        <w:t xml:space="preserve"> Count { </w:t>
      </w:r>
      <w:r w:rsidRPr="003D3780">
        <w:rPr>
          <w:b/>
        </w:rPr>
        <w:t>get</w:t>
      </w:r>
      <w:r w:rsidRPr="003D3780">
        <w:t>; }</w:t>
      </w:r>
    </w:p>
    <w:p w:rsidR="00426716" w:rsidRPr="003D3780" w:rsidRDefault="00426716" w:rsidP="003D3780">
      <w:pPr>
        <w:pStyle w:val="CodeDisplay"/>
      </w:pPr>
      <w:r w:rsidRPr="003D3780">
        <w:t xml:space="preserve">  </w:t>
      </w:r>
      <w:r w:rsidRPr="003D3780">
        <w:rPr>
          <w:b/>
        </w:rPr>
        <w:t>public object</w:t>
      </w:r>
      <w:r w:rsidRPr="003D3780">
        <w:t xml:space="preserve"> Pop();</w:t>
      </w:r>
    </w:p>
    <w:p w:rsidR="00426716" w:rsidRPr="003D3780" w:rsidRDefault="00426716" w:rsidP="003D3780">
      <w:pPr>
        <w:pStyle w:val="CodeDisplay"/>
      </w:pPr>
      <w:r w:rsidRPr="003D3780">
        <w:t xml:space="preserve">  </w:t>
      </w:r>
      <w:r w:rsidRPr="003D3780">
        <w:rPr>
          <w:b/>
        </w:rPr>
        <w:t>public void</w:t>
      </w:r>
      <w:r w:rsidRPr="003D3780">
        <w:t xml:space="preserve"> Push(</w:t>
      </w:r>
      <w:r w:rsidRPr="003D3780">
        <w:rPr>
          <w:b/>
        </w:rPr>
        <w:t>object</w:t>
      </w:r>
      <w:r w:rsidRPr="003D3780">
        <w:t xml:space="preserve"> data);</w:t>
      </w:r>
    </w:p>
    <w:p w:rsidR="00186640" w:rsidRDefault="00186640" w:rsidP="00186640">
      <w:pPr>
        <w:pStyle w:val="Heading1"/>
      </w:pPr>
      <w:r>
        <w:t>Classification</w:t>
      </w:r>
    </w:p>
    <w:p w:rsidR="00186640" w:rsidRDefault="00777BD5" w:rsidP="00186640">
      <w:r>
        <w:t xml:space="preserve">We classify methods into </w:t>
      </w:r>
      <w:r w:rsidR="00427363">
        <w:t>the following</w:t>
      </w:r>
      <w:r>
        <w:t xml:space="preserve"> </w:t>
      </w:r>
      <w:r w:rsidR="00427363">
        <w:t>categories and analyze the impact of pre- and post-conditions in each category. Object invariants are discussed in a separate section.</w:t>
      </w:r>
    </w:p>
    <w:p w:rsidR="00777BD5" w:rsidRPr="00426716" w:rsidRDefault="00777BD5" w:rsidP="00777BD5">
      <w:pPr>
        <w:pStyle w:val="ListParagraph"/>
        <w:numPr>
          <w:ilvl w:val="0"/>
          <w:numId w:val="28"/>
        </w:numPr>
        <w:rPr>
          <w:b/>
          <w:i/>
        </w:rPr>
      </w:pPr>
      <w:r w:rsidRPr="00777BD5">
        <w:rPr>
          <w:b/>
          <w:i/>
        </w:rPr>
        <w:t>Methods that do</w:t>
      </w:r>
      <w:r>
        <w:rPr>
          <w:b/>
          <w:i/>
        </w:rPr>
        <w:t xml:space="preserve"> no</w:t>
      </w:r>
      <w:r w:rsidRPr="00777BD5">
        <w:rPr>
          <w:b/>
          <w:i/>
        </w:rPr>
        <w:t>t perform internal synchronization on shared state</w:t>
      </w:r>
      <w:r>
        <w:t>.</w:t>
      </w:r>
      <w:r>
        <w:br/>
        <w:t>If such methods access shared state, the caller has to guarantee proper locking around them. For such methods, pre-conditions</w:t>
      </w:r>
      <w:r w:rsidR="00427363">
        <w:t xml:space="preserve"> and</w:t>
      </w:r>
      <w:r>
        <w:t xml:space="preserve"> post-conditions can be written that may involve such shared state without further complication, as these conditions will be evaluated within the same locking scope as the rest of the method.</w:t>
      </w:r>
    </w:p>
    <w:p w:rsidR="00426716" w:rsidRDefault="00426716" w:rsidP="00426716">
      <w:pPr>
        <w:pStyle w:val="ListParagraph"/>
      </w:pPr>
      <w:r>
        <w:t>For the example, this means we can have contracts of the following form</w:t>
      </w:r>
      <w:r w:rsidR="00A85788">
        <w:t>, expressing both the pre-condition on Pop to not pop from empty collections, and the post condition on Push that there is now one more element in the collection</w:t>
      </w:r>
      <w:r>
        <w:t>:</w:t>
      </w:r>
    </w:p>
    <w:p w:rsidR="00426716" w:rsidRDefault="00426716" w:rsidP="00E73F06">
      <w:pPr>
        <w:pStyle w:val="StyleCodeDisplayLeft05"/>
      </w:pPr>
      <w:r>
        <w:t xml:space="preserve">  </w:t>
      </w:r>
      <w:r w:rsidRPr="00E73F06">
        <w:rPr>
          <w:b/>
        </w:rPr>
        <w:t>public</w:t>
      </w:r>
      <w:r w:rsidRPr="00426716">
        <w:t xml:space="preserve"> </w:t>
      </w:r>
      <w:r w:rsidRPr="00E73F06">
        <w:rPr>
          <w:b/>
        </w:rPr>
        <w:t>object</w:t>
      </w:r>
      <w:r>
        <w:t xml:space="preserve"> Pop() {</w:t>
      </w:r>
    </w:p>
    <w:p w:rsidR="00426716" w:rsidRDefault="00426716" w:rsidP="00E73F06">
      <w:pPr>
        <w:pStyle w:val="StyleCodeDisplayLeft05"/>
      </w:pPr>
      <w:r>
        <w:rPr>
          <w:b/>
        </w:rPr>
        <w:t xml:space="preserve">    </w:t>
      </w:r>
      <w:r w:rsidRPr="008A42A1">
        <w:t>Contract.Requires(</w:t>
      </w:r>
      <w:r w:rsidR="008A42A1">
        <w:t xml:space="preserve"> </w:t>
      </w:r>
      <w:r w:rsidRPr="008A42A1">
        <w:t>Count &gt; 0</w:t>
      </w:r>
      <w:r w:rsidR="008A42A1">
        <w:t xml:space="preserve"> </w:t>
      </w:r>
      <w:r w:rsidRPr="008A42A1">
        <w:t>);</w:t>
      </w:r>
    </w:p>
    <w:p w:rsidR="008A42A1" w:rsidRDefault="008A42A1" w:rsidP="00E73F06">
      <w:pPr>
        <w:pStyle w:val="StyleCodeDisplayLeft05"/>
      </w:pPr>
      <w:r>
        <w:t xml:space="preserve">    …</w:t>
      </w:r>
    </w:p>
    <w:p w:rsidR="008A42A1" w:rsidRDefault="008A42A1" w:rsidP="00E73F06">
      <w:pPr>
        <w:pStyle w:val="StyleCodeDisplayLeft05"/>
      </w:pPr>
      <w:r>
        <w:t xml:space="preserve">  }</w:t>
      </w:r>
    </w:p>
    <w:p w:rsidR="00426716" w:rsidRDefault="00426716" w:rsidP="00E73F06">
      <w:pPr>
        <w:pStyle w:val="StyleCodeDisplayLeft05"/>
      </w:pPr>
      <w:r>
        <w:t xml:space="preserve">  </w:t>
      </w:r>
      <w:r w:rsidRPr="00E73F06">
        <w:rPr>
          <w:b/>
        </w:rPr>
        <w:t>public void</w:t>
      </w:r>
      <w:r>
        <w:t xml:space="preserve"> Push(</w:t>
      </w:r>
      <w:r w:rsidRPr="00E73F06">
        <w:rPr>
          <w:b/>
        </w:rPr>
        <w:t>object</w:t>
      </w:r>
      <w:r w:rsidR="008A42A1">
        <w:t xml:space="preserve"> data) {</w:t>
      </w:r>
    </w:p>
    <w:p w:rsidR="008A42A1" w:rsidRDefault="008A42A1" w:rsidP="00E73F06">
      <w:pPr>
        <w:pStyle w:val="StyleCodeDisplayLeft05"/>
      </w:pPr>
      <w:r>
        <w:rPr>
          <w:b/>
        </w:rPr>
        <w:t xml:space="preserve">    </w:t>
      </w:r>
      <w:r w:rsidRPr="008A42A1">
        <w:t>C</w:t>
      </w:r>
      <w:r>
        <w:t>ontract.Ensures( Count == Contract.Old(Count) + 1 );</w:t>
      </w:r>
    </w:p>
    <w:p w:rsidR="008A42A1" w:rsidRDefault="008A42A1" w:rsidP="00E73F06">
      <w:pPr>
        <w:pStyle w:val="StyleCodeDisplayLeft05"/>
      </w:pPr>
      <w:r>
        <w:t xml:space="preserve">    …</w:t>
      </w:r>
    </w:p>
    <w:p w:rsidR="008A42A1" w:rsidRPr="008A42A1" w:rsidRDefault="008A42A1" w:rsidP="00E73F06">
      <w:pPr>
        <w:pStyle w:val="StyleCodeDisplayLeft05"/>
      </w:pPr>
      <w:r>
        <w:lastRenderedPageBreak/>
        <w:t xml:space="preserve">  }</w:t>
      </w:r>
    </w:p>
    <w:p w:rsidR="00426716" w:rsidRPr="00426716" w:rsidRDefault="00426716" w:rsidP="00426716">
      <w:pPr>
        <w:pStyle w:val="ListParagraph"/>
      </w:pPr>
    </w:p>
    <w:p w:rsidR="00777BD5" w:rsidRPr="00777BD5" w:rsidRDefault="00777BD5" w:rsidP="00777BD5">
      <w:pPr>
        <w:pStyle w:val="ListParagraph"/>
        <w:numPr>
          <w:ilvl w:val="0"/>
          <w:numId w:val="28"/>
        </w:numPr>
        <w:rPr>
          <w:b/>
          <w:i/>
        </w:rPr>
      </w:pPr>
      <w:r w:rsidRPr="00777BD5">
        <w:rPr>
          <w:b/>
          <w:i/>
        </w:rPr>
        <w:t>Methods that perform internal synchronization on a caller visible lock.</w:t>
      </w:r>
      <w:r>
        <w:rPr>
          <w:b/>
          <w:i/>
        </w:rPr>
        <w:br/>
      </w:r>
      <w:r>
        <w:t>Such methods may be called in two possible contexts:</w:t>
      </w:r>
    </w:p>
    <w:p w:rsidR="00777BD5" w:rsidRDefault="00777BD5" w:rsidP="00777BD5">
      <w:pPr>
        <w:pStyle w:val="ListParagraph"/>
        <w:numPr>
          <w:ilvl w:val="1"/>
          <w:numId w:val="28"/>
        </w:numPr>
      </w:pPr>
      <w:r w:rsidRPr="00777BD5">
        <w:t>From</w:t>
      </w:r>
      <w:r>
        <w:t xml:space="preserve"> a context where the protecting lock is already held</w:t>
      </w:r>
    </w:p>
    <w:p w:rsidR="00777BD5" w:rsidRDefault="00777BD5" w:rsidP="00777BD5">
      <w:pPr>
        <w:pStyle w:val="ListParagraph"/>
        <w:numPr>
          <w:ilvl w:val="1"/>
          <w:numId w:val="28"/>
        </w:numPr>
      </w:pPr>
      <w:r>
        <w:t>From a context where the protecting lock is not held</w:t>
      </w:r>
    </w:p>
    <w:p w:rsidR="00A85788" w:rsidRDefault="00426716" w:rsidP="00426716">
      <w:pPr>
        <w:ind w:left="720"/>
      </w:pPr>
      <w:r>
        <w:t xml:space="preserve">The contracts written on the method must be useful in both these contexts. For pre-conditions, this implies that they </w:t>
      </w:r>
      <w:r w:rsidRPr="00A85788">
        <w:rPr>
          <w:i/>
        </w:rPr>
        <w:t>cannot</w:t>
      </w:r>
      <w:r>
        <w:t xml:space="preserve"> refer to state protected by the lock, as callers not holding the lock cannot guarantee such preconditions reliably (another thread could modify the shared state just prior to the method acquiring the protecting lock, but after the caller has established the pre-condition). </w:t>
      </w:r>
      <w:r w:rsidR="00A85788">
        <w:t>In our example, this means that there is some lock object associated with the collection, and it is accessible to clients via a property, e.g</w:t>
      </w:r>
      <w:proofErr w:type="gramStart"/>
      <w:r w:rsidR="00A85788">
        <w:t>.,</w:t>
      </w:r>
      <w:proofErr w:type="gramEnd"/>
      <w:r w:rsidR="00A85788">
        <w:t xml:space="preserve"> </w:t>
      </w:r>
    </w:p>
    <w:p w:rsidR="00A85788" w:rsidRDefault="00A85788" w:rsidP="00A85788">
      <w:pPr>
        <w:pStyle w:val="CodeDisplay"/>
        <w:ind w:left="720"/>
      </w:pPr>
      <w:r>
        <w:t xml:space="preserve">  </w:t>
      </w:r>
      <w:r w:rsidRPr="00A85788">
        <w:rPr>
          <w:b/>
        </w:rPr>
        <w:t>object</w:t>
      </w:r>
      <w:r>
        <w:t xml:space="preserve"> SyncRoot { </w:t>
      </w:r>
      <w:r w:rsidRPr="00A85788">
        <w:rPr>
          <w:b/>
        </w:rPr>
        <w:t>get</w:t>
      </w:r>
      <w:r>
        <w:t>; }</w:t>
      </w:r>
    </w:p>
    <w:p w:rsidR="00777BD5" w:rsidRDefault="001046CD" w:rsidP="00426716">
      <w:pPr>
        <w:ind w:left="720"/>
      </w:pPr>
      <w:r>
        <w:t>No,</w:t>
      </w:r>
      <w:r w:rsidR="00A85788">
        <w:t xml:space="preserve"> Pop </w:t>
      </w:r>
      <w:r w:rsidR="00A85788" w:rsidRPr="00A85788">
        <w:rPr>
          <w:i/>
        </w:rPr>
        <w:t>cannot</w:t>
      </w:r>
      <w:r w:rsidR="00A85788">
        <w:t xml:space="preserve"> have the precondition Count &gt; 0, as the following code could still fail due to another thread calling Pop in-between the test and the Pop:</w:t>
      </w:r>
    </w:p>
    <w:p w:rsidR="00A85788" w:rsidRDefault="00A85788" w:rsidP="00A85788">
      <w:pPr>
        <w:pStyle w:val="CodeDisplay"/>
        <w:ind w:left="720"/>
      </w:pPr>
      <w:r>
        <w:t xml:space="preserve">  </w:t>
      </w:r>
      <w:r w:rsidRPr="00A85788">
        <w:rPr>
          <w:b/>
        </w:rPr>
        <w:t>if</w:t>
      </w:r>
      <w:r>
        <w:t xml:space="preserve"> (c.Count &gt; 0) { </w:t>
      </w:r>
      <w:r w:rsidRPr="00A85788">
        <w:rPr>
          <w:b/>
        </w:rPr>
        <w:t>object</w:t>
      </w:r>
      <w:r>
        <w:t xml:space="preserve"> o = c.Pop(); … }</w:t>
      </w:r>
    </w:p>
    <w:p w:rsidR="00A85788" w:rsidRDefault="00A85788" w:rsidP="00A85788">
      <w:pPr>
        <w:ind w:left="720"/>
      </w:pPr>
      <w:r>
        <w:t xml:space="preserve">This means that Pop cannot have the obvious pre-condition in such method implementations and must instead fail at runtime if the collection is empty. </w:t>
      </w:r>
      <w:proofErr w:type="gramStart"/>
      <w:r>
        <w:t>This points</w:t>
      </w:r>
      <w:proofErr w:type="gramEnd"/>
      <w:r>
        <w:t xml:space="preserve"> to a general problem with synchronized methods, namely, that the caller/</w:t>
      </w:r>
      <w:proofErr w:type="spellStart"/>
      <w:r>
        <w:t>callee</w:t>
      </w:r>
      <w:proofErr w:type="spellEnd"/>
      <w:r>
        <w:t xml:space="preserve"> contract really can only be followed if the caller performs the synchronization. This can be made explicit by changing the method implementation to be caller synchronized and adding the following pre-condition:</w:t>
      </w:r>
    </w:p>
    <w:p w:rsidR="00A85788" w:rsidRDefault="00A85788" w:rsidP="00A85788">
      <w:pPr>
        <w:pStyle w:val="StyleCodeDisplayLeft05"/>
      </w:pPr>
      <w:r>
        <w:t xml:space="preserve">  </w:t>
      </w:r>
      <w:r w:rsidRPr="00E73F06">
        <w:rPr>
          <w:b/>
        </w:rPr>
        <w:t>public</w:t>
      </w:r>
      <w:r w:rsidRPr="00426716">
        <w:t xml:space="preserve"> </w:t>
      </w:r>
      <w:r w:rsidRPr="00E73F06">
        <w:rPr>
          <w:b/>
        </w:rPr>
        <w:t>object</w:t>
      </w:r>
      <w:r>
        <w:t xml:space="preserve"> Pop() {</w:t>
      </w:r>
    </w:p>
    <w:p w:rsidR="00A85788" w:rsidRPr="001046CD" w:rsidRDefault="00A85788" w:rsidP="00A85788">
      <w:pPr>
        <w:pStyle w:val="StyleCodeDisplayLeft05"/>
      </w:pPr>
      <w:r>
        <w:rPr>
          <w:b/>
        </w:rPr>
        <w:t xml:space="preserve">   </w:t>
      </w:r>
      <w:r w:rsidRPr="001046CD">
        <w:t xml:space="preserve"> Contract.Requires</w:t>
      </w:r>
      <w:r w:rsidR="001046CD">
        <w:t>( Monitor.IsHeld(this.SyncRoot) );</w:t>
      </w:r>
    </w:p>
    <w:p w:rsidR="00A85788" w:rsidRDefault="00A85788" w:rsidP="00A85788">
      <w:pPr>
        <w:pStyle w:val="StyleCodeDisplayLeft05"/>
      </w:pPr>
      <w:r w:rsidRPr="001046CD">
        <w:t xml:space="preserve">   </w:t>
      </w:r>
      <w:r>
        <w:rPr>
          <w:b/>
        </w:rPr>
        <w:t xml:space="preserve"> </w:t>
      </w:r>
      <w:r w:rsidRPr="008A42A1">
        <w:t>Contract.Requires(</w:t>
      </w:r>
      <w:r>
        <w:t xml:space="preserve"> </w:t>
      </w:r>
      <w:r w:rsidRPr="008A42A1">
        <w:t>Count &gt; 0</w:t>
      </w:r>
      <w:r>
        <w:t xml:space="preserve"> </w:t>
      </w:r>
      <w:r w:rsidRPr="008A42A1">
        <w:t>);</w:t>
      </w:r>
    </w:p>
    <w:p w:rsidR="00A85788" w:rsidRDefault="00A85788" w:rsidP="00A85788">
      <w:pPr>
        <w:pStyle w:val="StyleCodeDisplayLeft05"/>
      </w:pPr>
      <w:r>
        <w:t xml:space="preserve">    …</w:t>
      </w:r>
    </w:p>
    <w:p w:rsidR="00A85788" w:rsidRPr="008A42A1" w:rsidRDefault="00A85788" w:rsidP="00A85788">
      <w:pPr>
        <w:pStyle w:val="StyleCodeDisplayLeft05"/>
      </w:pPr>
      <w:r>
        <w:t xml:space="preserve">  }</w:t>
      </w:r>
    </w:p>
    <w:p w:rsidR="00A85788" w:rsidRDefault="00A85788" w:rsidP="00A85788">
      <w:pPr>
        <w:ind w:left="720"/>
      </w:pPr>
      <w:r>
        <w:t>For post-conditions on such methods, we can do slightly better than on pre-conditions in the case that the caller actually holds the lock.</w:t>
      </w:r>
      <w:r w:rsidR="001046CD">
        <w:t xml:space="preserve"> Any post-condition on the shared state can be guaranteed to hold if the caller holds the lock protecting the shared state:</w:t>
      </w:r>
    </w:p>
    <w:p w:rsidR="001046CD" w:rsidRDefault="001046CD" w:rsidP="001046CD">
      <w:pPr>
        <w:pStyle w:val="StyleCodeDisplayLeft05"/>
      </w:pPr>
      <w:r>
        <w:t xml:space="preserve">  </w:t>
      </w:r>
      <w:r w:rsidRPr="00E73F06">
        <w:rPr>
          <w:b/>
        </w:rPr>
        <w:t>public void</w:t>
      </w:r>
      <w:r>
        <w:t xml:space="preserve"> Push(</w:t>
      </w:r>
      <w:r w:rsidRPr="00E73F06">
        <w:rPr>
          <w:b/>
        </w:rPr>
        <w:t>object</w:t>
      </w:r>
      <w:r>
        <w:t xml:space="preserve"> data) {</w:t>
      </w:r>
    </w:p>
    <w:p w:rsidR="001046CD" w:rsidRDefault="001046CD" w:rsidP="001046CD">
      <w:pPr>
        <w:pStyle w:val="StyleCodeDisplayLeft05"/>
      </w:pPr>
      <w:r>
        <w:rPr>
          <w:b/>
        </w:rPr>
        <w:t xml:space="preserve">    </w:t>
      </w:r>
      <w:r w:rsidRPr="008A42A1">
        <w:t>C</w:t>
      </w:r>
      <w:r>
        <w:t>ontract.Ensures( !Contract.Old(Monitor.IsHeld(this.SyncRoot)) ||</w:t>
      </w:r>
    </w:p>
    <w:p w:rsidR="001046CD" w:rsidRDefault="001046CD" w:rsidP="001046CD">
      <w:pPr>
        <w:pStyle w:val="StyleCodeDisplayLeft05"/>
      </w:pPr>
      <w:r>
        <w:t xml:space="preserve">                      Count == Contract.Old(Count) + 1 );</w:t>
      </w:r>
    </w:p>
    <w:p w:rsidR="001046CD" w:rsidRDefault="001046CD" w:rsidP="001046CD">
      <w:pPr>
        <w:pStyle w:val="StyleCodeDisplayLeft05"/>
      </w:pPr>
      <w:r>
        <w:t xml:space="preserve">    …</w:t>
      </w:r>
    </w:p>
    <w:p w:rsidR="001046CD" w:rsidRPr="008A42A1" w:rsidRDefault="001046CD" w:rsidP="001046CD">
      <w:pPr>
        <w:pStyle w:val="StyleCodeDisplayLeft05"/>
      </w:pPr>
      <w:r>
        <w:lastRenderedPageBreak/>
        <w:t xml:space="preserve">  }</w:t>
      </w:r>
    </w:p>
    <w:p w:rsidR="001046CD" w:rsidRDefault="001046CD" w:rsidP="00A85788">
      <w:pPr>
        <w:ind w:left="720"/>
      </w:pPr>
      <w:r>
        <w:t>This post-condition is essentially an implication, saying that if the caller holds the lock in the pre-state, then the Count is one larger than the old Count on return.</w:t>
      </w:r>
    </w:p>
    <w:p w:rsidR="00777BD5" w:rsidRPr="00777BD5" w:rsidRDefault="00777BD5" w:rsidP="00777BD5">
      <w:pPr>
        <w:pStyle w:val="ListParagraph"/>
        <w:numPr>
          <w:ilvl w:val="0"/>
          <w:numId w:val="28"/>
        </w:numPr>
        <w:rPr>
          <w:b/>
          <w:i/>
        </w:rPr>
      </w:pPr>
      <w:r w:rsidRPr="00777BD5">
        <w:rPr>
          <w:b/>
          <w:i/>
        </w:rPr>
        <w:t>Methods that perform internal synchronization on non-caller visible locks.</w:t>
      </w:r>
      <w:r w:rsidRPr="00777BD5">
        <w:rPr>
          <w:b/>
          <w:i/>
        </w:rPr>
        <w:br/>
      </w:r>
      <w:r w:rsidR="00852BC4">
        <w:t xml:space="preserve">Such methods cannot be called in contexts where the caller already holds the protecting lock (as it is not caller visible). Thus, methods </w:t>
      </w:r>
      <w:r w:rsidR="00852BC4" w:rsidRPr="00852BC4">
        <w:rPr>
          <w:i/>
        </w:rPr>
        <w:t>cannot</w:t>
      </w:r>
      <w:r w:rsidR="00852BC4">
        <w:t xml:space="preserve"> have pre- or post-conditions involving shared state.</w:t>
      </w:r>
    </w:p>
    <w:p w:rsidR="00E92C15" w:rsidRDefault="00427363" w:rsidP="00427363">
      <w:pPr>
        <w:pStyle w:val="Heading1"/>
      </w:pPr>
      <w:r>
        <w:t>Object Invariants</w:t>
      </w:r>
    </w:p>
    <w:p w:rsidR="00427363" w:rsidRDefault="00427363" w:rsidP="00427363">
      <w:r>
        <w:t>Object invariants are typically written over internal state that may be shared if the object is shared. For externally synchronized methods, object invariants pose no problem, as the invariant is evaluated in the same locking scope as the body of the method.</w:t>
      </w:r>
    </w:p>
    <w:p w:rsidR="00427363" w:rsidRDefault="00427363" w:rsidP="00427363">
      <w:r>
        <w:t>For self-synchronizing methods, these invariant checks should be performed while the lock is still held. Unfortunately, without declarations describing which lock protects the object state, the contract checking instrumentation cannot determine where to insert the object invariant checks to have them be performed reliably. There are three ways to deal with this situation:</w:t>
      </w:r>
    </w:p>
    <w:p w:rsidR="00427363" w:rsidRDefault="00427363" w:rsidP="00427363">
      <w:pPr>
        <w:pStyle w:val="ListParagraph"/>
        <w:numPr>
          <w:ilvl w:val="0"/>
          <w:numId w:val="29"/>
        </w:numPr>
      </w:pPr>
      <w:r>
        <w:t>Programmers avoid using object invariants on classes with self-synchronizing methods</w:t>
      </w:r>
      <w:r w:rsidR="009400C6">
        <w:t>.</w:t>
      </w:r>
    </w:p>
    <w:p w:rsidR="00427363" w:rsidRDefault="00427363" w:rsidP="00427363">
      <w:pPr>
        <w:pStyle w:val="ListParagraph"/>
        <w:numPr>
          <w:ilvl w:val="0"/>
          <w:numId w:val="29"/>
        </w:numPr>
      </w:pPr>
      <w:r>
        <w:t>Programmers annotate self-synchronizing methods with an attribute [</w:t>
      </w:r>
      <w:proofErr w:type="spellStart"/>
      <w:r>
        <w:t>NoObjectInvariant</w:t>
      </w:r>
      <w:proofErr w:type="spellEnd"/>
      <w:r>
        <w:t xml:space="preserve">] that instruct the rewriter to not instrument the object invariant check in such methods. </w:t>
      </w:r>
    </w:p>
    <w:p w:rsidR="00427363" w:rsidRDefault="00427363" w:rsidP="00427363">
      <w:pPr>
        <w:pStyle w:val="ListParagraph"/>
        <w:numPr>
          <w:ilvl w:val="0"/>
          <w:numId w:val="29"/>
        </w:numPr>
      </w:pPr>
      <w:r>
        <w:t>Object invariants on shared state are written as implication on the lock state, e.g.,</w:t>
      </w:r>
    </w:p>
    <w:p w:rsidR="00427363" w:rsidRDefault="00427363" w:rsidP="00427363">
      <w:pPr>
        <w:pStyle w:val="CodeDisplay"/>
        <w:ind w:left="720"/>
      </w:pPr>
      <w:r>
        <w:t xml:space="preserve">  Contract.Invariant( !</w:t>
      </w:r>
      <w:r w:rsidR="009400C6">
        <w:t>Monitor.LockHeld(O</w:t>
      </w:r>
      <w:r>
        <w:t>urLock) || _count &gt;= 0 );</w:t>
      </w:r>
    </w:p>
    <w:p w:rsidR="00427363" w:rsidRPr="00427363" w:rsidRDefault="00DB54CF" w:rsidP="00427363">
      <w:pPr>
        <w:ind w:left="720"/>
      </w:pPr>
      <w:r>
        <w:t xml:space="preserve">This would allow calls in contexts where the caller holds the lock to check the invariant. For non-caller visible locks, it won’t do any good though. In that case, the implementer could call the </w:t>
      </w:r>
      <w:proofErr w:type="spellStart"/>
      <w:r>
        <w:t>ObjectInvariant</w:t>
      </w:r>
      <w:proofErr w:type="spellEnd"/>
      <w:r>
        <w:t xml:space="preserve"> checking routine directly from the implementation at points where the protecting lock is still held.</w:t>
      </w:r>
    </w:p>
    <w:sectPr w:rsidR="00427363" w:rsidRPr="00427363" w:rsidSect="001275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F0092C0"/>
    <w:lvl w:ilvl="0">
      <w:start w:val="1"/>
      <w:numFmt w:val="decimal"/>
      <w:lvlText w:val="%1."/>
      <w:lvlJc w:val="left"/>
      <w:pPr>
        <w:tabs>
          <w:tab w:val="num" w:pos="1800"/>
        </w:tabs>
        <w:ind w:left="1800" w:hanging="360"/>
      </w:pPr>
    </w:lvl>
  </w:abstractNum>
  <w:abstractNum w:abstractNumId="1">
    <w:nsid w:val="FFFFFF7D"/>
    <w:multiLevelType w:val="singleLevel"/>
    <w:tmpl w:val="32400D6E"/>
    <w:lvl w:ilvl="0">
      <w:start w:val="1"/>
      <w:numFmt w:val="decimal"/>
      <w:lvlText w:val="%1."/>
      <w:lvlJc w:val="left"/>
      <w:pPr>
        <w:tabs>
          <w:tab w:val="num" w:pos="1440"/>
        </w:tabs>
        <w:ind w:left="1440" w:hanging="360"/>
      </w:pPr>
    </w:lvl>
  </w:abstractNum>
  <w:abstractNum w:abstractNumId="2">
    <w:nsid w:val="FFFFFF7E"/>
    <w:multiLevelType w:val="singleLevel"/>
    <w:tmpl w:val="9AFEA832"/>
    <w:lvl w:ilvl="0">
      <w:start w:val="1"/>
      <w:numFmt w:val="decimal"/>
      <w:lvlText w:val="%1."/>
      <w:lvlJc w:val="left"/>
      <w:pPr>
        <w:tabs>
          <w:tab w:val="num" w:pos="1080"/>
        </w:tabs>
        <w:ind w:left="1080" w:hanging="360"/>
      </w:pPr>
    </w:lvl>
  </w:abstractNum>
  <w:abstractNum w:abstractNumId="3">
    <w:nsid w:val="FFFFFF7F"/>
    <w:multiLevelType w:val="singleLevel"/>
    <w:tmpl w:val="5F3CDCEA"/>
    <w:lvl w:ilvl="0">
      <w:start w:val="1"/>
      <w:numFmt w:val="decimal"/>
      <w:lvlText w:val="%1."/>
      <w:lvlJc w:val="left"/>
      <w:pPr>
        <w:tabs>
          <w:tab w:val="num" w:pos="720"/>
        </w:tabs>
        <w:ind w:left="720" w:hanging="360"/>
      </w:pPr>
    </w:lvl>
  </w:abstractNum>
  <w:abstractNum w:abstractNumId="4">
    <w:nsid w:val="FFFFFF80"/>
    <w:multiLevelType w:val="singleLevel"/>
    <w:tmpl w:val="DCDA2C7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D3890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A5A20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0D60F6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5BCA272"/>
    <w:lvl w:ilvl="0">
      <w:start w:val="1"/>
      <w:numFmt w:val="decimal"/>
      <w:lvlText w:val="%1."/>
      <w:lvlJc w:val="left"/>
      <w:pPr>
        <w:tabs>
          <w:tab w:val="num" w:pos="360"/>
        </w:tabs>
        <w:ind w:left="360" w:hanging="360"/>
      </w:pPr>
    </w:lvl>
  </w:abstractNum>
  <w:abstractNum w:abstractNumId="9">
    <w:nsid w:val="FFFFFF89"/>
    <w:multiLevelType w:val="singleLevel"/>
    <w:tmpl w:val="4704C17E"/>
    <w:lvl w:ilvl="0">
      <w:start w:val="1"/>
      <w:numFmt w:val="bullet"/>
      <w:lvlText w:val=""/>
      <w:lvlJc w:val="left"/>
      <w:pPr>
        <w:tabs>
          <w:tab w:val="num" w:pos="360"/>
        </w:tabs>
        <w:ind w:left="360" w:hanging="360"/>
      </w:pPr>
      <w:rPr>
        <w:rFonts w:ascii="Symbol" w:hAnsi="Symbol" w:hint="default"/>
      </w:rPr>
    </w:lvl>
  </w:abstractNum>
  <w:abstractNum w:abstractNumId="10">
    <w:nsid w:val="06D260BE"/>
    <w:multiLevelType w:val="multilevel"/>
    <w:tmpl w:val="1A520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D0D4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0F95351"/>
    <w:multiLevelType w:val="hybridMultilevel"/>
    <w:tmpl w:val="02E6AD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5731B3"/>
    <w:multiLevelType w:val="hybridMultilevel"/>
    <w:tmpl w:val="D060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25A88"/>
    <w:multiLevelType w:val="hybridMultilevel"/>
    <w:tmpl w:val="B876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C53F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D1D0CD3"/>
    <w:multiLevelType w:val="hybridMultilevel"/>
    <w:tmpl w:val="4F2A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B06AB"/>
    <w:multiLevelType w:val="multilevel"/>
    <w:tmpl w:val="CF523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B465768"/>
    <w:multiLevelType w:val="multilevel"/>
    <w:tmpl w:val="5C9432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7A2E15"/>
    <w:multiLevelType w:val="hybridMultilevel"/>
    <w:tmpl w:val="21226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2A01C0"/>
    <w:multiLevelType w:val="hybridMultilevel"/>
    <w:tmpl w:val="DF464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8E25ED"/>
    <w:multiLevelType w:val="hybridMultilevel"/>
    <w:tmpl w:val="7E70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F25922"/>
    <w:multiLevelType w:val="hybridMultilevel"/>
    <w:tmpl w:val="C24E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66E33"/>
    <w:multiLevelType w:val="hybridMultilevel"/>
    <w:tmpl w:val="DAF445C2"/>
    <w:lvl w:ilvl="0" w:tplc="DC60CB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61397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C314373"/>
    <w:multiLevelType w:val="hybridMultilevel"/>
    <w:tmpl w:val="911E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0361BF"/>
    <w:multiLevelType w:val="hybridMultilevel"/>
    <w:tmpl w:val="6346D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C03A74"/>
    <w:multiLevelType w:val="hybridMultilevel"/>
    <w:tmpl w:val="05AA9652"/>
    <w:lvl w:ilvl="0" w:tplc="319CADDA">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EA841D6"/>
    <w:multiLevelType w:val="hybridMultilevel"/>
    <w:tmpl w:val="331895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4"/>
  </w:num>
  <w:num w:numId="4">
    <w:abstractNumId w:val="16"/>
  </w:num>
  <w:num w:numId="5">
    <w:abstractNumId w:val="26"/>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7"/>
  </w:num>
  <w:num w:numId="19">
    <w:abstractNumId w:val="10"/>
  </w:num>
  <w:num w:numId="20">
    <w:abstractNumId w:val="18"/>
  </w:num>
  <w:num w:numId="21">
    <w:abstractNumId w:val="17"/>
  </w:num>
  <w:num w:numId="22">
    <w:abstractNumId w:val="15"/>
  </w:num>
  <w:num w:numId="23">
    <w:abstractNumId w:val="24"/>
  </w:num>
  <w:num w:numId="24">
    <w:abstractNumId w:val="21"/>
  </w:num>
  <w:num w:numId="25">
    <w:abstractNumId w:val="25"/>
  </w:num>
  <w:num w:numId="26">
    <w:abstractNumId w:val="19"/>
  </w:num>
  <w:num w:numId="27">
    <w:abstractNumId w:val="12"/>
  </w:num>
  <w:num w:numId="28">
    <w:abstractNumId w:val="28"/>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4"/>
  <w:defaultTabStop w:val="720"/>
  <w:hyphenationZone w:val="425"/>
  <w:noPunctuationKerning/>
  <w:characterSpacingControl w:val="doNotCompress"/>
  <w:compat/>
  <w:rsids>
    <w:rsidRoot w:val="00186640"/>
    <w:rsid w:val="000031D7"/>
    <w:rsid w:val="000328A6"/>
    <w:rsid w:val="000574A7"/>
    <w:rsid w:val="00057A3D"/>
    <w:rsid w:val="00064AB3"/>
    <w:rsid w:val="00064BB8"/>
    <w:rsid w:val="000714AB"/>
    <w:rsid w:val="00072867"/>
    <w:rsid w:val="00081687"/>
    <w:rsid w:val="00085738"/>
    <w:rsid w:val="000863BA"/>
    <w:rsid w:val="00096A60"/>
    <w:rsid w:val="000A25A8"/>
    <w:rsid w:val="000A6F10"/>
    <w:rsid w:val="000A787D"/>
    <w:rsid w:val="000C2ECA"/>
    <w:rsid w:val="001046CD"/>
    <w:rsid w:val="0010621E"/>
    <w:rsid w:val="00107E35"/>
    <w:rsid w:val="001309EB"/>
    <w:rsid w:val="00157BBF"/>
    <w:rsid w:val="00162513"/>
    <w:rsid w:val="00173012"/>
    <w:rsid w:val="00173AE8"/>
    <w:rsid w:val="001757CE"/>
    <w:rsid w:val="0017625A"/>
    <w:rsid w:val="00186640"/>
    <w:rsid w:val="001A45D9"/>
    <w:rsid w:val="001A7DD2"/>
    <w:rsid w:val="001B1276"/>
    <w:rsid w:val="001B7ACA"/>
    <w:rsid w:val="001D57D2"/>
    <w:rsid w:val="001D71CA"/>
    <w:rsid w:val="00221591"/>
    <w:rsid w:val="00245D42"/>
    <w:rsid w:val="00245FD3"/>
    <w:rsid w:val="00255614"/>
    <w:rsid w:val="00283836"/>
    <w:rsid w:val="00283CE6"/>
    <w:rsid w:val="002E5C17"/>
    <w:rsid w:val="00301BB6"/>
    <w:rsid w:val="00312329"/>
    <w:rsid w:val="00321F7F"/>
    <w:rsid w:val="003274DD"/>
    <w:rsid w:val="00350192"/>
    <w:rsid w:val="00351B94"/>
    <w:rsid w:val="00357D5B"/>
    <w:rsid w:val="003A7002"/>
    <w:rsid w:val="003A751B"/>
    <w:rsid w:val="003B2B55"/>
    <w:rsid w:val="003D3780"/>
    <w:rsid w:val="003E6A69"/>
    <w:rsid w:val="003F4898"/>
    <w:rsid w:val="003F55ED"/>
    <w:rsid w:val="004124CA"/>
    <w:rsid w:val="0041354F"/>
    <w:rsid w:val="00426716"/>
    <w:rsid w:val="00427363"/>
    <w:rsid w:val="004550F0"/>
    <w:rsid w:val="00461248"/>
    <w:rsid w:val="004B5811"/>
    <w:rsid w:val="00537EE8"/>
    <w:rsid w:val="0054646A"/>
    <w:rsid w:val="005500B5"/>
    <w:rsid w:val="0055047F"/>
    <w:rsid w:val="00552119"/>
    <w:rsid w:val="0058136A"/>
    <w:rsid w:val="00592FAB"/>
    <w:rsid w:val="005C3394"/>
    <w:rsid w:val="005C414B"/>
    <w:rsid w:val="005C69F8"/>
    <w:rsid w:val="005E55ED"/>
    <w:rsid w:val="0060043F"/>
    <w:rsid w:val="00630A94"/>
    <w:rsid w:val="006361DA"/>
    <w:rsid w:val="00655C70"/>
    <w:rsid w:val="006648F6"/>
    <w:rsid w:val="00696D90"/>
    <w:rsid w:val="006B6D9B"/>
    <w:rsid w:val="006D3FBB"/>
    <w:rsid w:val="006E5ABB"/>
    <w:rsid w:val="0073574F"/>
    <w:rsid w:val="0075042F"/>
    <w:rsid w:val="00750C77"/>
    <w:rsid w:val="00753A40"/>
    <w:rsid w:val="007577F9"/>
    <w:rsid w:val="00774040"/>
    <w:rsid w:val="00777BD5"/>
    <w:rsid w:val="007A15FD"/>
    <w:rsid w:val="007B2A3C"/>
    <w:rsid w:val="007F1F1E"/>
    <w:rsid w:val="00852BC4"/>
    <w:rsid w:val="00876FA6"/>
    <w:rsid w:val="0089427E"/>
    <w:rsid w:val="008971AA"/>
    <w:rsid w:val="008A42A1"/>
    <w:rsid w:val="008B48FC"/>
    <w:rsid w:val="008C1724"/>
    <w:rsid w:val="008C67E6"/>
    <w:rsid w:val="008E156F"/>
    <w:rsid w:val="008F6C14"/>
    <w:rsid w:val="00911B16"/>
    <w:rsid w:val="00925959"/>
    <w:rsid w:val="009400C6"/>
    <w:rsid w:val="00966B66"/>
    <w:rsid w:val="00985CA7"/>
    <w:rsid w:val="009A1AFE"/>
    <w:rsid w:val="009A29E9"/>
    <w:rsid w:val="009D2488"/>
    <w:rsid w:val="00A260E8"/>
    <w:rsid w:val="00A32DC7"/>
    <w:rsid w:val="00A40114"/>
    <w:rsid w:val="00A5363E"/>
    <w:rsid w:val="00A536C7"/>
    <w:rsid w:val="00A85788"/>
    <w:rsid w:val="00A911E6"/>
    <w:rsid w:val="00A97684"/>
    <w:rsid w:val="00AA2A63"/>
    <w:rsid w:val="00AA4BCE"/>
    <w:rsid w:val="00AA6C1D"/>
    <w:rsid w:val="00AB54CB"/>
    <w:rsid w:val="00AD06D1"/>
    <w:rsid w:val="00AD16DA"/>
    <w:rsid w:val="00AD4254"/>
    <w:rsid w:val="00AE1F06"/>
    <w:rsid w:val="00B33B99"/>
    <w:rsid w:val="00BE3E55"/>
    <w:rsid w:val="00BF08EC"/>
    <w:rsid w:val="00C140E0"/>
    <w:rsid w:val="00C22DFC"/>
    <w:rsid w:val="00C34C69"/>
    <w:rsid w:val="00C70466"/>
    <w:rsid w:val="00CA40C4"/>
    <w:rsid w:val="00CA5837"/>
    <w:rsid w:val="00CB18A2"/>
    <w:rsid w:val="00CE234F"/>
    <w:rsid w:val="00CF3FD2"/>
    <w:rsid w:val="00D03F75"/>
    <w:rsid w:val="00D03FD2"/>
    <w:rsid w:val="00D22D33"/>
    <w:rsid w:val="00D40296"/>
    <w:rsid w:val="00D63AA4"/>
    <w:rsid w:val="00D856FE"/>
    <w:rsid w:val="00DA2B84"/>
    <w:rsid w:val="00DA2B98"/>
    <w:rsid w:val="00DB033C"/>
    <w:rsid w:val="00DB54CF"/>
    <w:rsid w:val="00DC01D0"/>
    <w:rsid w:val="00DC255E"/>
    <w:rsid w:val="00DC6126"/>
    <w:rsid w:val="00DE6967"/>
    <w:rsid w:val="00DF1119"/>
    <w:rsid w:val="00DF3A57"/>
    <w:rsid w:val="00DF6327"/>
    <w:rsid w:val="00E02C2E"/>
    <w:rsid w:val="00E030B6"/>
    <w:rsid w:val="00E16177"/>
    <w:rsid w:val="00E47D6D"/>
    <w:rsid w:val="00E56DE8"/>
    <w:rsid w:val="00E7289C"/>
    <w:rsid w:val="00E73F06"/>
    <w:rsid w:val="00E92C15"/>
    <w:rsid w:val="00E9681C"/>
    <w:rsid w:val="00EC54FD"/>
    <w:rsid w:val="00F022A1"/>
    <w:rsid w:val="00F11682"/>
    <w:rsid w:val="00F35029"/>
    <w:rsid w:val="00F40089"/>
    <w:rsid w:val="00F41FEC"/>
    <w:rsid w:val="00F45241"/>
    <w:rsid w:val="00F505AD"/>
    <w:rsid w:val="00F523D7"/>
    <w:rsid w:val="00F84201"/>
    <w:rsid w:val="00FD28DC"/>
    <w:rsid w:val="00FE5CBE"/>
    <w:rsid w:val="00FF3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6640"/>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
    <w:qFormat/>
    <w:rsid w:val="001046CD"/>
    <w:pPr>
      <w:keepNext/>
      <w:keepLines/>
      <w:numPr>
        <w:numId w:val="22"/>
      </w:numPr>
      <w:spacing w:before="24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nhideWhenUsed/>
    <w:qFormat/>
    <w:rsid w:val="00283CE6"/>
    <w:pPr>
      <w:numPr>
        <w:ilvl w:val="1"/>
      </w:numPr>
      <w:spacing w:before="200"/>
      <w:outlineLvl w:val="1"/>
    </w:pPr>
    <w:rPr>
      <w:color w:val="4F81BD" w:themeColor="accent1"/>
      <w:sz w:val="26"/>
      <w:szCs w:val="26"/>
    </w:rPr>
  </w:style>
  <w:style w:type="paragraph" w:styleId="Heading3">
    <w:name w:val="heading 3"/>
    <w:basedOn w:val="Normal"/>
    <w:next w:val="Normal"/>
    <w:link w:val="Heading3Char"/>
    <w:unhideWhenUsed/>
    <w:qFormat/>
    <w:rsid w:val="0017625A"/>
    <w:pPr>
      <w:keepNext/>
      <w:keepLines/>
      <w:numPr>
        <w:ilvl w:val="2"/>
        <w:numId w:val="2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C54FD"/>
    <w:pPr>
      <w:keepNext/>
      <w:keepLines/>
      <w:numPr>
        <w:ilvl w:val="3"/>
        <w:numId w:val="2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83CE6"/>
    <w:pPr>
      <w:keepNext/>
      <w:keepLines/>
      <w:numPr>
        <w:ilvl w:val="4"/>
        <w:numId w:val="2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83CE6"/>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83CE6"/>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83CE6"/>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83CE6"/>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81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81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046C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6716"/>
    <w:pPr>
      <w:ind w:left="720"/>
      <w:contextualSpacing/>
    </w:pPr>
    <w:rPr>
      <w:rFonts w:eastAsia="Times New Roman" w:cs="Times New Roman"/>
      <w:szCs w:val="24"/>
    </w:rPr>
  </w:style>
  <w:style w:type="character" w:customStyle="1" w:styleId="Heading2Char">
    <w:name w:val="Heading 2 Char"/>
    <w:basedOn w:val="DefaultParagraphFont"/>
    <w:link w:val="Heading2"/>
    <w:rsid w:val="00283C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17625A"/>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EC54F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283CE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283CE6"/>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283CE6"/>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283CE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83CE6"/>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17625A"/>
    <w:pPr>
      <w:spacing w:after="120"/>
    </w:pPr>
  </w:style>
  <w:style w:type="character" w:customStyle="1" w:styleId="BodyTextChar">
    <w:name w:val="Body Text Char"/>
    <w:basedOn w:val="DefaultParagraphFont"/>
    <w:link w:val="BodyText"/>
    <w:rsid w:val="0017625A"/>
    <w:rPr>
      <w:sz w:val="24"/>
      <w:szCs w:val="24"/>
    </w:rPr>
  </w:style>
  <w:style w:type="paragraph" w:styleId="BalloonText">
    <w:name w:val="Balloon Text"/>
    <w:basedOn w:val="Normal"/>
    <w:link w:val="BalloonTextChar"/>
    <w:rsid w:val="009D2488"/>
    <w:rPr>
      <w:rFonts w:ascii="Tahoma" w:hAnsi="Tahoma" w:cs="Tahoma"/>
      <w:sz w:val="16"/>
      <w:szCs w:val="16"/>
    </w:rPr>
  </w:style>
  <w:style w:type="character" w:customStyle="1" w:styleId="BalloonTextChar">
    <w:name w:val="Balloon Text Char"/>
    <w:basedOn w:val="DefaultParagraphFont"/>
    <w:link w:val="BalloonText"/>
    <w:rsid w:val="009D2488"/>
    <w:rPr>
      <w:rFonts w:ascii="Tahoma" w:hAnsi="Tahoma" w:cs="Tahoma"/>
      <w:sz w:val="16"/>
      <w:szCs w:val="16"/>
    </w:rPr>
  </w:style>
  <w:style w:type="paragraph" w:customStyle="1" w:styleId="CodeDisplay">
    <w:name w:val="CodeDisplay"/>
    <w:basedOn w:val="Normal"/>
    <w:qFormat/>
    <w:rsid w:val="00A85788"/>
    <w:pPr>
      <w:pBdr>
        <w:top w:val="dashed" w:sz="4" w:space="6" w:color="auto"/>
        <w:bottom w:val="dashed" w:sz="4" w:space="6" w:color="auto"/>
      </w:pBdr>
      <w:shd w:val="pct25" w:color="C6D9F1" w:themeColor="text2" w:themeTint="33" w:fill="auto"/>
      <w:contextualSpacing/>
    </w:pPr>
    <w:rPr>
      <w:rFonts w:ascii="Courier New" w:hAnsi="Courier New" w:cs="Courier New"/>
      <w:noProof/>
      <w:sz w:val="20"/>
    </w:rPr>
  </w:style>
  <w:style w:type="paragraph" w:customStyle="1" w:styleId="StyleCodeDisplayLeft05">
    <w:name w:val="Style CodeDisplay + Left:  0.5&quot;"/>
    <w:basedOn w:val="CodeDisplay"/>
    <w:rsid w:val="00E73F06"/>
    <w:pPr>
      <w:ind w:left="720"/>
    </w:pPr>
    <w:rPr>
      <w:rFonts w:eastAsia="Times New Roman" w:cs="Times New Roman"/>
      <w:szCs w:val="20"/>
    </w:rPr>
  </w:style>
</w:styles>
</file>

<file path=word/webSettings.xml><?xml version="1.0" encoding="utf-8"?>
<w:webSettings xmlns:r="http://schemas.openxmlformats.org/officeDocument/2006/relationships" xmlns:w="http://schemas.openxmlformats.org/wordprocessingml/2006/main">
  <w:divs>
    <w:div w:id="1319453657">
      <w:bodyDiv w:val="1"/>
      <w:marLeft w:val="0"/>
      <w:marRight w:val="0"/>
      <w:marTop w:val="0"/>
      <w:marBottom w:val="0"/>
      <w:divBdr>
        <w:top w:val="none" w:sz="0" w:space="0" w:color="auto"/>
        <w:left w:val="none" w:sz="0" w:space="0" w:color="auto"/>
        <w:bottom w:val="none" w:sz="0" w:space="0" w:color="auto"/>
        <w:right w:val="none" w:sz="0" w:space="0" w:color="auto"/>
      </w:divBdr>
      <w:divsChild>
        <w:div w:id="718673218">
          <w:marLeft w:val="547"/>
          <w:marRight w:val="0"/>
          <w:marTop w:val="154"/>
          <w:marBottom w:val="0"/>
          <w:divBdr>
            <w:top w:val="none" w:sz="0" w:space="0" w:color="auto"/>
            <w:left w:val="none" w:sz="0" w:space="0" w:color="auto"/>
            <w:bottom w:val="none" w:sz="0" w:space="0" w:color="auto"/>
            <w:right w:val="none" w:sz="0" w:space="0" w:color="auto"/>
          </w:divBdr>
        </w:div>
        <w:div w:id="258299529">
          <w:marLeft w:val="547"/>
          <w:marRight w:val="0"/>
          <w:marTop w:val="154"/>
          <w:marBottom w:val="0"/>
          <w:divBdr>
            <w:top w:val="none" w:sz="0" w:space="0" w:color="auto"/>
            <w:left w:val="none" w:sz="0" w:space="0" w:color="auto"/>
            <w:bottom w:val="none" w:sz="0" w:space="0" w:color="auto"/>
            <w:right w:val="none" w:sz="0" w:space="0" w:color="auto"/>
          </w:divBdr>
        </w:div>
        <w:div w:id="1833834014">
          <w:marLeft w:val="547"/>
          <w:marRight w:val="0"/>
          <w:marTop w:val="154"/>
          <w:marBottom w:val="0"/>
          <w:divBdr>
            <w:top w:val="none" w:sz="0" w:space="0" w:color="auto"/>
            <w:left w:val="none" w:sz="0" w:space="0" w:color="auto"/>
            <w:bottom w:val="none" w:sz="0" w:space="0" w:color="auto"/>
            <w:right w:val="none" w:sz="0" w:space="0" w:color="auto"/>
          </w:divBdr>
        </w:div>
        <w:div w:id="382102552">
          <w:marLeft w:val="1166"/>
          <w:marRight w:val="0"/>
          <w:marTop w:val="134"/>
          <w:marBottom w:val="0"/>
          <w:divBdr>
            <w:top w:val="none" w:sz="0" w:space="0" w:color="auto"/>
            <w:left w:val="none" w:sz="0" w:space="0" w:color="auto"/>
            <w:bottom w:val="none" w:sz="0" w:space="0" w:color="auto"/>
            <w:right w:val="none" w:sz="0" w:space="0" w:color="auto"/>
          </w:divBdr>
        </w:div>
        <w:div w:id="1796411063">
          <w:marLeft w:val="1166"/>
          <w:marRight w:val="0"/>
          <w:marTop w:val="134"/>
          <w:marBottom w:val="0"/>
          <w:divBdr>
            <w:top w:val="none" w:sz="0" w:space="0" w:color="auto"/>
            <w:left w:val="none" w:sz="0" w:space="0" w:color="auto"/>
            <w:bottom w:val="none" w:sz="0" w:space="0" w:color="auto"/>
            <w:right w:val="none" w:sz="0" w:space="0" w:color="auto"/>
          </w:divBdr>
        </w:div>
        <w:div w:id="38013332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f\Documents\Shared%20Data\Docs\NumberedSe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AF25C-CC01-4BC4-ACEE-D0F316D73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NumberedSections.dotx</Template>
  <TotalTime>100</TotalTime>
  <Pages>3</Pages>
  <Words>840</Words>
  <Characters>4794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Fahndrich</dc:creator>
  <cp:lastModifiedBy>Manuel Fahndrich</cp:lastModifiedBy>
  <cp:revision>6</cp:revision>
  <cp:lastPrinted>2008-04-23T22:29:00Z</cp:lastPrinted>
  <dcterms:created xsi:type="dcterms:W3CDTF">2008-07-16T15:17:00Z</dcterms:created>
  <dcterms:modified xsi:type="dcterms:W3CDTF">2008-07-16T16:57:00Z</dcterms:modified>
</cp:coreProperties>
</file>