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right"/>
        <w:rPr/>
      </w:pPr>
      <w:r>
        <w:rPr>
          <w:rFonts w:ascii="Gungsuh" w:hAnsi="Gungsuh" w:cs="Gungsuh" w:eastAsia="Gungsuh"/>
          <w:sz w:val="24"/>
          <w:szCs w:val="24"/>
        </w:rPr>
        <w:t>學號：</w:t>
      </w:r>
      <w:r>
        <w:rPr>
          <w:rFonts w:eastAsia="Gungsuh" w:cs="Gungsuh" w:ascii="Gungsuh" w:hAnsi="Gungsuh"/>
          <w:sz w:val="24"/>
          <w:szCs w:val="24"/>
        </w:rPr>
        <w:t>B0</w:t>
      </w:r>
      <w:r>
        <w:rPr>
          <w:rFonts w:eastAsia="Gungsuh" w:cs="Gungsuh" w:ascii="Gungsuh" w:hAnsi="Gungsuh"/>
          <w:sz w:val="24"/>
          <w:szCs w:val="24"/>
        </w:rPr>
        <w:t>3705006</w:t>
      </w:r>
      <w:r>
        <w:rPr>
          <w:rFonts w:eastAsia="Gungsuh" w:cs="Gungsuh" w:ascii="Gungsuh" w:hAnsi="Gungsuh"/>
          <w:sz w:val="24"/>
          <w:szCs w:val="24"/>
        </w:rPr>
        <w:t xml:space="preserve"> </w:t>
      </w:r>
      <w:r>
        <w:rPr>
          <w:rFonts w:ascii="Gungsuh" w:hAnsi="Gungsuh" w:cs="Gungsuh" w:eastAsia="Gungsuh"/>
          <w:sz w:val="24"/>
          <w:szCs w:val="24"/>
        </w:rPr>
        <w:t>系級： 資管三  姓名：侯舜元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1.1.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張照片的平均臉和 </w:t>
      </w:r>
      <w:r>
        <w:rPr>
          <w:rFonts w:eastAsia="Gungsuh" w:cs="Gungsuh" w:ascii="Gungsuh" w:hAnsi="Gungsuh"/>
          <w:sz w:val="24"/>
          <w:szCs w:val="24"/>
        </w:rPr>
        <w:t xml:space="preserve">PCA </w:t>
      </w:r>
      <w:r>
        <w:rPr>
          <w:rFonts w:ascii="Gungsuh" w:hAnsi="Gungsuh" w:cs="Gungsuh" w:eastAsia="Gungsuh"/>
          <w:sz w:val="24"/>
          <w:szCs w:val="24"/>
        </w:rPr>
        <w:t xml:space="preserve">得到的前 </w:t>
      </w:r>
      <w:r>
        <w:rPr>
          <w:rFonts w:eastAsia="Gungsuh" w:cs="Gungsuh" w:ascii="Gungsuh" w:hAnsi="Gungsuh"/>
          <w:sz w:val="24"/>
          <w:szCs w:val="24"/>
        </w:rPr>
        <w:t xml:space="preserve">9 </w:t>
      </w:r>
      <w:r>
        <w:rPr>
          <w:rFonts w:ascii="Gungsuh" w:hAnsi="Gungsuh" w:cs="Gungsuh" w:eastAsia="Gungsuh"/>
          <w:sz w:val="24"/>
          <w:szCs w:val="24"/>
        </w:rPr>
        <w:t xml:space="preserve">個 </w:t>
      </w:r>
      <w:r>
        <w:rPr>
          <w:rFonts w:eastAsia="Gungsuh" w:cs="Gungsuh" w:ascii="Gungsuh" w:hAnsi="Gungsuh"/>
          <w:sz w:val="24"/>
          <w:szCs w:val="24"/>
        </w:rPr>
        <w:t>eigenfaces:</w:t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1370965</wp:posOffset>
            </wp:positionH>
            <wp:positionV relativeFrom="paragraph">
              <wp:posOffset>389890</wp:posOffset>
            </wp:positionV>
            <wp:extent cx="4926965" cy="2814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左圖平均臉，右圖為 </w:t>
      </w:r>
      <w:r>
        <w:rPr>
          <w:rFonts w:eastAsia="Gungsuh" w:cs="Gungsuh" w:ascii="Gungsuh" w:hAnsi="Gungsuh"/>
          <w:sz w:val="24"/>
          <w:szCs w:val="24"/>
        </w:rPr>
        <w:t xml:space="preserve">3x3 </w:t>
      </w:r>
      <w:r>
        <w:rPr>
          <w:rFonts w:ascii="Gungsuh" w:hAnsi="Gungsuh" w:cs="Gungsuh" w:eastAsia="Gungsuh"/>
          <w:sz w:val="24"/>
          <w:szCs w:val="24"/>
        </w:rPr>
        <w:t xml:space="preserve">格狀 </w:t>
      </w:r>
      <w:r>
        <w:rPr>
          <w:rFonts w:eastAsia="Gungsuh" w:cs="Gungsuh" w:ascii="Gungsuh" w:hAnsi="Gungsuh"/>
          <w:sz w:val="24"/>
          <w:szCs w:val="24"/>
        </w:rPr>
        <w:t xml:space="preserve">eigenfaces, </w:t>
      </w:r>
      <w:r>
        <w:rPr>
          <w:rFonts w:ascii="Gungsuh" w:hAnsi="Gungsuh" w:cs="Gungsuh" w:eastAsia="Gungsuh"/>
          <w:sz w:val="24"/>
          <w:szCs w:val="24"/>
        </w:rPr>
        <w:t>順序為 左到右再上到下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/>
          <w:bCs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-914400</wp:posOffset>
            </wp:positionH>
            <wp:positionV relativeFrom="paragraph">
              <wp:posOffset>50165</wp:posOffset>
            </wp:positionV>
            <wp:extent cx="3029585" cy="173101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1.2.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張照片的原始圖片和 </w:t>
      </w:r>
      <w:r>
        <w:rPr>
          <w:rFonts w:eastAsia="Gungsuh" w:cs="Gungsuh" w:ascii="Gungsuh" w:hAnsi="Gungsuh"/>
          <w:sz w:val="24"/>
          <w:szCs w:val="24"/>
        </w:rPr>
        <w:t xml:space="preserve">reconstruct </w:t>
      </w:r>
      <w:r>
        <w:rPr>
          <w:rFonts w:ascii="Gungsuh" w:hAnsi="Gungsuh" w:cs="Gungsuh" w:eastAsia="Gungsuh"/>
          <w:sz w:val="24"/>
          <w:szCs w:val="24"/>
        </w:rPr>
        <w:t xml:space="preserve">圖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用前 </w:t>
      </w:r>
      <w:r>
        <w:rPr>
          <w:rFonts w:eastAsia="Gungsuh" w:cs="Gungsuh" w:ascii="Gungsuh" w:hAnsi="Gungsuh"/>
          <w:sz w:val="24"/>
          <w:szCs w:val="24"/>
        </w:rPr>
        <w:t xml:space="preserve">5 </w:t>
      </w:r>
      <w:r>
        <w:rPr>
          <w:rFonts w:ascii="Gungsuh" w:hAnsi="Gungsuh" w:cs="Gungsuh" w:eastAsia="Gungsuh"/>
          <w:sz w:val="24"/>
          <w:szCs w:val="24"/>
        </w:rPr>
        <w:t xml:space="preserve">個 </w:t>
      </w:r>
      <w:r>
        <w:rPr>
          <w:rFonts w:eastAsia="Gungsuh" w:cs="Gungsuh" w:ascii="Gungsuh" w:hAnsi="Gungsuh"/>
          <w:sz w:val="24"/>
          <w:szCs w:val="24"/>
        </w:rPr>
        <w:t>eigenfaces):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左右各為 </w:t>
      </w:r>
      <w:r>
        <w:rPr>
          <w:rFonts w:eastAsia="Gungsuh" w:cs="Gungsuh" w:ascii="Gungsuh" w:hAnsi="Gungsuh"/>
          <w:sz w:val="24"/>
          <w:szCs w:val="24"/>
        </w:rPr>
        <w:t xml:space="preserve">10x10 </w:t>
      </w:r>
      <w:r>
        <w:rPr>
          <w:rFonts w:ascii="Gungsuh" w:hAnsi="Gungsuh" w:cs="Gungsuh" w:eastAsia="Gungsuh"/>
          <w:sz w:val="24"/>
          <w:szCs w:val="24"/>
        </w:rPr>
        <w:t>格狀的圖</w:t>
      </w:r>
      <w:r>
        <w:rPr>
          <w:rFonts w:eastAsia="Gungsuh" w:cs="Gungsuh" w:ascii="Gungsuh" w:hAnsi="Gungsuh"/>
          <w:sz w:val="24"/>
          <w:szCs w:val="24"/>
        </w:rPr>
        <w:t xml:space="preserve">, </w:t>
      </w:r>
      <w:r>
        <w:rPr>
          <w:rFonts w:ascii="Gungsuh" w:hAnsi="Gungsuh" w:cs="Gungsuh" w:eastAsia="Gungsuh"/>
          <w:sz w:val="24"/>
          <w:szCs w:val="24"/>
        </w:rPr>
        <w:t>順序一樣是左到右再上到下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-1043940</wp:posOffset>
            </wp:positionH>
            <wp:positionV relativeFrom="paragraph">
              <wp:posOffset>102235</wp:posOffset>
            </wp:positionV>
            <wp:extent cx="4189730" cy="26181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2515235</wp:posOffset>
            </wp:positionH>
            <wp:positionV relativeFrom="paragraph">
              <wp:posOffset>102235</wp:posOffset>
            </wp:positionV>
            <wp:extent cx="4062730" cy="25393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1.3.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張照片投影到 </w:t>
      </w:r>
      <w:r>
        <w:rPr>
          <w:rFonts w:eastAsia="Gungsuh" w:cs="Gungsuh" w:ascii="Gungsuh" w:hAnsi="Gungsuh"/>
          <w:sz w:val="24"/>
          <w:szCs w:val="24"/>
        </w:rPr>
        <w:t xml:space="preserve">top k eigenfaces </w:t>
      </w:r>
      <w:r>
        <w:rPr>
          <w:rFonts w:ascii="Gungsuh" w:hAnsi="Gungsuh" w:cs="Gungsuh" w:eastAsia="Gungsuh"/>
          <w:sz w:val="24"/>
          <w:szCs w:val="24"/>
        </w:rPr>
        <w:t xml:space="preserve">時就可以達到 </w:t>
      </w:r>
      <w:r>
        <w:rPr>
          <w:rFonts w:eastAsia="Gungsuh" w:cs="Gungsuh" w:ascii="Gungsuh" w:hAnsi="Gungsuh"/>
          <w:sz w:val="24"/>
          <w:szCs w:val="24"/>
        </w:rPr>
        <w:t xml:space="preserve">&lt; 1% </w:t>
      </w:r>
      <w:r>
        <w:rPr>
          <w:rFonts w:ascii="Gungsuh" w:hAnsi="Gungsuh" w:cs="Gungsuh" w:eastAsia="Gungsuh"/>
          <w:sz w:val="24"/>
          <w:szCs w:val="24"/>
        </w:rPr>
        <w:t xml:space="preserve">的 </w:t>
      </w:r>
      <w:r>
        <w:rPr>
          <w:rFonts w:eastAsia="Gungsuh" w:cs="Gungsuh" w:ascii="Gungsuh" w:hAnsi="Gungsuh"/>
          <w:sz w:val="24"/>
          <w:szCs w:val="24"/>
        </w:rPr>
        <w:t>reconstruction error.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回答 </w:t>
      </w:r>
      <w:r>
        <w:rPr>
          <w:rFonts w:eastAsia="Gungsuh" w:cs="Gungsuh" w:ascii="Gungsuh" w:hAnsi="Gungsuh"/>
          <w:sz w:val="24"/>
          <w:szCs w:val="24"/>
        </w:rPr>
        <w:t xml:space="preserve">k </w:t>
      </w:r>
      <w:r>
        <w:rPr>
          <w:rFonts w:ascii="Gungsuh" w:hAnsi="Gungsuh" w:cs="Gungsuh" w:eastAsia="Gungsuh"/>
          <w:sz w:val="24"/>
          <w:szCs w:val="24"/>
        </w:rPr>
        <w:t>是多少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>資料有做標準化</w:t>
      </w:r>
      <w:r>
        <w:rPr>
          <w:rFonts w:eastAsia="Gungsuh" w:cs="Gungsuh" w:ascii="Gungsuh" w:hAnsi="Gungsuh"/>
          <w:sz w:val="24"/>
          <w:szCs w:val="24"/>
        </w:rPr>
        <w:t>/</w:t>
      </w:r>
      <w:r>
        <w:rPr>
          <w:rFonts w:eastAsia="Gungsuh" w:cs="Gungsuh" w:ascii="Gungsuh" w:hAnsi="Gungsuh"/>
          <w:sz w:val="24"/>
          <w:szCs w:val="24"/>
        </w:rPr>
        <w:t>255)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</w:rPr>
      </w:pPr>
      <w:r>
        <w:rPr>
          <w:sz w:val="16"/>
          <w:szCs w:val="16"/>
        </w:rPr>
      </w:r>
    </w:p>
    <w:tbl>
      <w:tblPr>
        <w:tblW w:w="902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513"/>
        <w:gridCol w:w="4513"/>
      </w:tblGrid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k</w:t>
            </w:r>
          </w:p>
        </w:tc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error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59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0.0103402779206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60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0.0100073230767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  <w:highlight w:val="yellow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highlight w:val="yellow"/>
              </w:rPr>
              <w:t xml:space="preserve">61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  <w:highlight w:val="yellow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highlight w:val="yellow"/>
              </w:rPr>
              <w:t>0.00971618411812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62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0.00941751220113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sz w:val="16"/>
          <w:szCs w:val="16"/>
        </w:rPr>
        <w:t xml:space="preserve">在 </w:t>
      </w:r>
      <w:r>
        <w:rPr>
          <w:rFonts w:eastAsia="Times New Roman" w:cs="Times New Roman" w:ascii="Times New Roman" w:hAnsi="Times New Roman"/>
          <w:sz w:val="16"/>
          <w:szCs w:val="16"/>
        </w:rPr>
        <w:t>k = 61</w:t>
      </w:r>
      <w:r>
        <w:rPr>
          <w:rFonts w:ascii="Times New Roman" w:hAnsi="Times New Roman" w:cs="Times New Roman" w:eastAsia="Times New Roman"/>
          <w:sz w:val="16"/>
          <w:szCs w:val="16"/>
        </w:rPr>
        <w:t>時</w:t>
      </w:r>
      <w:r>
        <w:rPr>
          <w:rFonts w:eastAsia="Times New Roman" w:cs="Times New Roman" w:ascii="Times New Roman" w:hAnsi="Times New Roman"/>
          <w:sz w:val="16"/>
          <w:szCs w:val="16"/>
        </w:rPr>
        <w:t xml:space="preserve">, </w:t>
      </w:r>
      <w:r>
        <w:rPr>
          <w:rFonts w:ascii="Times New Roman" w:hAnsi="Times New Roman" w:cs="Times New Roman" w:eastAsia="Times New Roman"/>
          <w:sz w:val="16"/>
          <w:szCs w:val="16"/>
        </w:rPr>
        <w:t>可以達到</w:t>
      </w:r>
      <w:r>
        <w:rPr>
          <w:rFonts w:eastAsia="Gungsuh" w:cs="Gungsuh" w:ascii="Gungsuh" w:hAnsi="Gungsuh"/>
          <w:sz w:val="16"/>
          <w:szCs w:val="16"/>
        </w:rPr>
        <w:t xml:space="preserve">&lt; 1% </w:t>
      </w:r>
      <w:r>
        <w:rPr>
          <w:rFonts w:ascii="Gungsuh" w:hAnsi="Gungsuh" w:cs="Gungsuh" w:eastAsia="Gungsuh"/>
          <w:sz w:val="16"/>
          <w:szCs w:val="16"/>
        </w:rPr>
        <w:t xml:space="preserve">的 </w:t>
      </w:r>
      <w:r>
        <w:rPr>
          <w:rFonts w:eastAsia="Gungsuh" w:cs="Gungsuh" w:ascii="Gungsuh" w:hAnsi="Gungsuh"/>
          <w:sz w:val="16"/>
          <w:szCs w:val="16"/>
        </w:rPr>
        <w:t>reconstruction error.</w:t>
      </w:r>
    </w:p>
    <w:p>
      <w:pPr>
        <w:pStyle w:val="Normal"/>
        <w:spacing w:before="0" w:after="0"/>
        <w:rPr>
          <w:rFonts w:ascii="Gungsuh" w:hAnsi="Gungsuh" w:eastAsia="Gungsuh" w:cs="Gungsuh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2.1. </w:t>
      </w:r>
      <w:r>
        <w:rPr>
          <w:rFonts w:ascii="Gungsuh" w:hAnsi="Gungsuh" w:cs="Gungsuh" w:eastAsia="Gungsuh"/>
          <w:sz w:val="24"/>
          <w:szCs w:val="24"/>
        </w:rPr>
        <w:t xml:space="preserve">使用 </w:t>
      </w:r>
      <w:r>
        <w:rPr>
          <w:rFonts w:eastAsia="Gungsuh" w:cs="Gungsuh" w:ascii="Gungsuh" w:hAnsi="Gungsuh"/>
          <w:sz w:val="24"/>
          <w:szCs w:val="24"/>
        </w:rPr>
        <w:t xml:space="preserve">word2vec toolkit </w:t>
      </w:r>
      <w:r>
        <w:rPr>
          <w:rFonts w:ascii="Gungsuh" w:hAnsi="Gungsuh" w:cs="Gungsuh" w:eastAsia="Gungsuh"/>
          <w:sz w:val="24"/>
          <w:szCs w:val="24"/>
        </w:rPr>
        <w:t>的各個參數的值與其意義</w:t>
      </w:r>
      <w:r>
        <w:rPr>
          <w:rFonts w:eastAsia="Gungsuh" w:cs="Gungsuh" w:ascii="Gungsuh" w:hAnsi="Gungsuh"/>
          <w:sz w:val="24"/>
          <w:szCs w:val="24"/>
        </w:rPr>
        <w:t>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Gungsuh" w:hAnsi="Gungsuh" w:cs="Gungsuh" w:eastAsia="Gungsuh"/>
          <w:sz w:val="24"/>
          <w:szCs w:val="24"/>
        </w:rPr>
        <w:t>答：</w:t>
      </w:r>
    </w:p>
    <w:tbl>
      <w:tblPr>
        <w:tblW w:w="902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342"/>
        <w:gridCol w:w="6684"/>
      </w:tblGrid>
      <w:tr>
        <w:trPr/>
        <w:tc>
          <w:tcPr>
            <w:tcW w:w="23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size = 100</w:t>
            </w:r>
          </w:p>
        </w:tc>
        <w:tc>
          <w:tcPr>
            <w:tcW w:w="66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word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的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vector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大小設為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100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維。有嘗試用更高維度表示，其投影圖就變得蠻雜亂不集中的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min_count = 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至少要出現大於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次才會取樣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alpha = 0.05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Learning rate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0.05(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預設為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0.025)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，稍稍調高讓分佈集中些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</w:rPr>
              <w:t>hs = 1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用</w:t>
            </w:r>
            <w:r>
              <w:rPr>
                <w:rStyle w:val="Emphasis"/>
                <w:rFonts w:eastAsia="Times New Roman" w:cs="Times New Roman" w:ascii="Times New Roman" w:hAnsi="Times New Roman"/>
                <w:b w:val="false"/>
                <w:i/>
                <w:color w:val="000000"/>
                <w:spacing w:val="0"/>
                <w:sz w:val="16"/>
                <w:szCs w:val="16"/>
              </w:rPr>
              <w:t>Hierarchical Softmax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，可以使得原本要計算</w:t>
            </w:r>
            <w:bookmarkStart w:id="0" w:name="MathJax-Element-56-Frame"/>
            <w:bookmarkStart w:id="1" w:name="MathJax-Span-725"/>
            <w:bookmarkStart w:id="2" w:name="MathJax-Span-726"/>
            <w:bookmarkStart w:id="3" w:name="MathJax-Span-727"/>
            <w:bookmarkStart w:id="4" w:name="MathJax-Span-728"/>
            <w:bookmarkStart w:id="5" w:name="MathJax-Span-729"/>
            <w:bookmarkEnd w:id="0"/>
            <w:bookmarkEnd w:id="1"/>
            <w:bookmarkEnd w:id="2"/>
            <w:bookmarkEnd w:id="3"/>
            <w:bookmarkEnd w:id="4"/>
            <w:bookmarkEnd w:id="5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bookmarkStart w:id="6" w:name="MathJax-Span-730"/>
            <w:bookmarkEnd w:id="6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V</w:t>
            </w:r>
            <w:bookmarkStart w:id="7" w:name="MathJax-Span-731"/>
            <w:bookmarkStart w:id="8" w:name="MathJax-Span-732"/>
            <w:bookmarkStart w:id="9" w:name="MathJax-Span-733"/>
            <w:bookmarkEnd w:id="7"/>
            <w:bookmarkEnd w:id="8"/>
            <w:bookmarkEnd w:id="9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次的訓練，縮減為</w:t>
            </w:r>
            <w:bookmarkStart w:id="10" w:name="MathJax-Element-57-Frame"/>
            <w:bookmarkStart w:id="11" w:name="MathJax-Span-734"/>
            <w:bookmarkStart w:id="12" w:name="MathJax-Span-735"/>
            <w:bookmarkStart w:id="13" w:name="MathJax-Span-736"/>
            <w:bookmarkEnd w:id="10"/>
            <w:bookmarkEnd w:id="11"/>
            <w:bookmarkEnd w:id="12"/>
            <w:bookmarkEnd w:id="13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l</w:t>
            </w:r>
            <w:bookmarkStart w:id="14" w:name="MathJax-Span-737"/>
            <w:bookmarkEnd w:id="14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o</w:t>
            </w:r>
            <w:bookmarkStart w:id="15" w:name="MathJax-Span-738"/>
            <w:bookmarkStart w:id="16" w:name="MathJax-Span-739"/>
            <w:bookmarkEnd w:id="15"/>
            <w:bookmarkEnd w:id="16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g</w:t>
            </w:r>
            <w:bookmarkStart w:id="17" w:name="MathJax-Span-740"/>
            <w:bookmarkStart w:id="18" w:name="MathJax-Span-741"/>
            <w:bookmarkStart w:id="19" w:name="MathJax-Span-742"/>
            <w:bookmarkEnd w:id="17"/>
            <w:bookmarkEnd w:id="18"/>
            <w:bookmarkEnd w:id="19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2</w:t>
            </w:r>
            <w:bookmarkStart w:id="20" w:name="MathJax-Span-743"/>
            <w:bookmarkStart w:id="21" w:name="MathJax-Span-744"/>
            <w:bookmarkStart w:id="22" w:name="MathJax-Span-745"/>
            <w:bookmarkEnd w:id="20"/>
            <w:bookmarkEnd w:id="21"/>
            <w:bookmarkEnd w:id="22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bookmarkStart w:id="23" w:name="MathJax-Span-746"/>
            <w:bookmarkEnd w:id="23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V</w:t>
            </w:r>
            <w:bookmarkStart w:id="24" w:name="MathJax-Span-747"/>
            <w:bookmarkStart w:id="25" w:name="MathJax-Span-748"/>
            <w:bookmarkStart w:id="26" w:name="MathJax-Span-749"/>
            <w:bookmarkEnd w:id="24"/>
            <w:bookmarkEnd w:id="25"/>
            <w:bookmarkEnd w:id="26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次，提升了訓練速度</w:t>
            </w:r>
          </w:p>
          <w:p>
            <w:pPr>
              <w:pStyle w:val="TableContents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</w:rPr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threads = 1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用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個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thread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去執行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window  = 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字跟字之間</w:t>
            </w:r>
            <w:r>
              <w:rPr>
                <w:rFonts w:ascii="Times New Roman" w:hAnsi="Times New Roman" w:cs="Times New Roman" w:eastAsia="Times New Roman"/>
                <w:color w:val="000000"/>
                <w:sz w:val="16"/>
                <w:szCs w:val="16"/>
              </w:rPr>
              <w:t>的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max skip length</w:t>
            </w:r>
            <w:r>
              <w:rPr>
                <w:rFonts w:ascii="Times New Roman" w:hAnsi="Times New Roman" w:cs="Times New Roman" w:eastAsia="Times New Roman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設為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5(</w:t>
            </w:r>
            <w:r>
              <w:rPr>
                <w:rFonts w:ascii="Times New Roman" w:hAnsi="Times New Roman" w:cs="Times New Roman" w:eastAsia="Times New Roman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預設）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verbose = True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Training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時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輸出結果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2.2. </w:t>
      </w:r>
      <w:r>
        <w:rPr>
          <w:rFonts w:ascii="Gungsuh" w:hAnsi="Gungsuh" w:cs="Gungsuh" w:eastAsia="Gungsuh"/>
          <w:sz w:val="24"/>
          <w:szCs w:val="24"/>
        </w:rPr>
        <w:t xml:space="preserve">將 </w:t>
      </w:r>
      <w:r>
        <w:rPr>
          <w:rFonts w:eastAsia="Gungsuh" w:cs="Gungsuh" w:ascii="Gungsuh" w:hAnsi="Gungsuh"/>
          <w:sz w:val="24"/>
          <w:szCs w:val="24"/>
        </w:rPr>
        <w:t xml:space="preserve">word2vec </w:t>
      </w:r>
      <w:r>
        <w:rPr>
          <w:rFonts w:ascii="Gungsuh" w:hAnsi="Gungsuh" w:cs="Gungsuh" w:eastAsia="Gungsuh"/>
          <w:sz w:val="24"/>
          <w:szCs w:val="24"/>
        </w:rPr>
        <w:t xml:space="preserve">的結果投影到 </w:t>
      </w:r>
      <w:r>
        <w:rPr>
          <w:rFonts w:eastAsia="Gungsuh" w:cs="Gungsuh" w:ascii="Gungsuh" w:hAnsi="Gungsuh"/>
          <w:sz w:val="24"/>
          <w:szCs w:val="24"/>
        </w:rPr>
        <w:t xml:space="preserve">2 </w:t>
      </w:r>
      <w:r>
        <w:rPr>
          <w:rFonts w:ascii="Gungsuh" w:hAnsi="Gungsuh" w:cs="Gungsuh" w:eastAsia="Gungsuh"/>
          <w:sz w:val="24"/>
          <w:szCs w:val="24"/>
        </w:rPr>
        <w:t>維的圖</w:t>
      </w:r>
      <w:r>
        <w:rPr>
          <w:rFonts w:eastAsia="Gungsuh" w:cs="Gungsuh" w:ascii="Gungsuh" w:hAnsi="Gungsuh"/>
          <w:sz w:val="24"/>
          <w:szCs w:val="24"/>
        </w:rPr>
        <w:t>: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>圖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-415925</wp:posOffset>
            </wp:positionH>
            <wp:positionV relativeFrom="paragraph">
              <wp:posOffset>3810</wp:posOffset>
            </wp:positionV>
            <wp:extent cx="6125210" cy="400304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703" t="9717" r="8818" b="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2.3. </w:t>
      </w:r>
      <w:r>
        <w:rPr>
          <w:rFonts w:ascii="Gungsuh" w:hAnsi="Gungsuh" w:cs="Gungsuh" w:eastAsia="Gungsuh"/>
          <w:sz w:val="24"/>
          <w:szCs w:val="24"/>
        </w:rPr>
        <w:t>從上題視覺化的圖中觀察到了什麼？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/>
      </w:pPr>
      <w:r>
        <w:rPr>
          <w:rFonts w:ascii="Times New Roman" w:hAnsi="Times New Roman" w:cs="Times New Roman" w:eastAsia="Times New Roman"/>
          <w:sz w:val="24"/>
          <w:szCs w:val="24"/>
        </w:rPr>
        <w:t>可以看到圖上分成幾個</w:t>
      </w:r>
      <w:r>
        <w:rPr>
          <w:rFonts w:eastAsia="Times New Roman" w:cs="Times New Roman" w:ascii="Times New Roman" w:hAnsi="Times New Roman"/>
          <w:sz w:val="24"/>
          <w:szCs w:val="24"/>
        </w:rPr>
        <w:t>cluster</w:t>
      </w:r>
      <w:r>
        <w:rPr>
          <w:rFonts w:ascii="Times New Roman" w:hAnsi="Times New Roman" w:cs="Times New Roman" w:eastAsia="Times New Roman"/>
          <w:sz w:val="24"/>
          <w:szCs w:val="24"/>
        </w:rPr>
        <w:t>。左上方字的群集，都跟哈利波特系列的大主題有關。例如：鳳凰會、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阿茲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卡班、魔法石、混血王子等，都是書名或是幾個重要的主題、元素。而正上方的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，主要是人名的群集。有趣的是，可以看到同一家族的人名的距離比較小，群聚在一起。左中的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是跟人相關的簡單名詞集合。正下方的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詞類比較雜，推測是跟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Hogwarts, Gryffindor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等學校生活中常出現的字彙的群集。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右下方的</w:t>
      </w:r>
      <w:r>
        <w:rPr>
          <w:rFonts w:eastAsia="Times New Roman" w:cs="Times New Roman" w:ascii="Times New Roman" w:hAnsi="Times New Roman"/>
          <w:sz w:val="24"/>
          <w:szCs w:val="24"/>
        </w:rPr>
        <w:t>cluser</w:t>
      </w:r>
      <w:r>
        <w:rPr>
          <w:rFonts w:ascii="Times New Roman" w:hAnsi="Times New Roman" w:cs="Times New Roman" w:eastAsia="Times New Roman"/>
          <w:sz w:val="24"/>
          <w:szCs w:val="24"/>
        </w:rPr>
        <w:t>則是各種動詞和動作。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另外幾點比較有趣的觀察：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(1) </w:t>
      </w:r>
      <w:r>
        <w:rPr>
          <w:rFonts w:ascii="Times New Roman" w:hAnsi="Times New Roman" w:cs="Times New Roman" w:eastAsia="Times New Roman"/>
          <w:sz w:val="24"/>
          <w:szCs w:val="24"/>
        </w:rPr>
        <w:t>明顯同義字的距離會非常近、近乎重疊，例如說</w:t>
      </w:r>
      <w:r>
        <w:rPr>
          <w:rFonts w:eastAsia="Times New Roman" w:cs="Times New Roman" w:ascii="Times New Roman" w:hAnsi="Times New Roman"/>
          <w:sz w:val="24"/>
          <w:szCs w:val="24"/>
        </w:rPr>
        <w:t>(need,want), (knew, thought),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(2) </w:t>
      </w:r>
      <w:r>
        <w:rPr>
          <w:rFonts w:ascii="Times New Roman" w:hAnsi="Times New Roman" w:cs="Times New Roman" w:eastAsia="Times New Roman"/>
          <w:sz w:val="24"/>
          <w:szCs w:val="24"/>
        </w:rPr>
        <w:t>連續相關連動作、或是同類型詞彙距離也會很近，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(open, door),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(Professor, Madam),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(face, mouth, hand, </w:t>
      </w:r>
      <w:r>
        <w:rPr>
          <w:rFonts w:eastAsia="Times New Roman" w:cs="Times New Roman" w:ascii="Times New Roman" w:hAnsi="Times New Roman"/>
          <w:sz w:val="24"/>
          <w:szCs w:val="24"/>
        </w:rPr>
        <w:t>wand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 w:cs="Times New Roman" w:eastAsia="Times New Roman"/>
          <w:sz w:val="24"/>
          <w:szCs w:val="24"/>
        </w:rPr>
        <w:t>魔杖可能也是巫師身體的一部分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(3) </w:t>
      </w:r>
      <w:r>
        <w:rPr>
          <w:rFonts w:ascii="Times New Roman" w:hAnsi="Times New Roman" w:cs="Times New Roman" w:eastAsia="Times New Roman"/>
          <w:sz w:val="24"/>
          <w:szCs w:val="24"/>
        </w:rPr>
        <w:t>魔法部淪陷後”</w:t>
      </w:r>
      <w:r>
        <w:rPr>
          <w:rFonts w:eastAsia="Times New Roman" w:cs="Times New Roman" w:ascii="Times New Roman" w:hAnsi="Times New Roman"/>
          <w:sz w:val="24"/>
          <w:szCs w:val="24"/>
        </w:rPr>
        <w:t>dark’’</w:t>
      </w:r>
      <w:r>
        <w:rPr>
          <w:rFonts w:ascii="Times New Roman" w:hAnsi="Times New Roman" w:cs="Times New Roman" w:eastAsia="Times New Roman"/>
          <w:sz w:val="24"/>
          <w:szCs w:val="24"/>
        </w:rPr>
        <w:t>跟”</w:t>
      </w:r>
      <w:r>
        <w:rPr>
          <w:rFonts w:eastAsia="Times New Roman" w:cs="Times New Roman" w:ascii="Times New Roman" w:hAnsi="Times New Roman"/>
          <w:sz w:val="24"/>
          <w:szCs w:val="24"/>
        </w:rPr>
        <w:t>Ministry”</w:t>
      </w:r>
      <w:r>
        <w:rPr>
          <w:rFonts w:ascii="Times New Roman" w:hAnsi="Times New Roman" w:cs="Times New Roman" w:eastAsia="Times New Roman"/>
          <w:sz w:val="24"/>
          <w:szCs w:val="24"/>
        </w:rPr>
        <w:t>變得非常接近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(4) </w:t>
      </w:r>
      <w:r>
        <w:rPr>
          <w:rFonts w:ascii="Times New Roman" w:hAnsi="Times New Roman" w:cs="Times New Roman" w:eastAsia="Times New Roman"/>
          <w:sz w:val="24"/>
          <w:szCs w:val="24"/>
        </w:rPr>
        <w:t>主角三人組並沒有想像中接近，中間夾雜了石內卜等人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3.1. </w:t>
      </w:r>
      <w:r>
        <w:rPr>
          <w:rFonts w:ascii="Gungsuh" w:hAnsi="Gungsuh" w:cs="Gungsuh" w:eastAsia="Gungsuh"/>
          <w:sz w:val="24"/>
          <w:szCs w:val="24"/>
        </w:rPr>
        <w:t>請詳加解釋你估計原始維度的原理、合理性，這方法的通用性如何？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3.2. </w:t>
      </w:r>
      <w:r>
        <w:rPr>
          <w:rFonts w:ascii="Gungsuh" w:hAnsi="Gungsuh" w:cs="Gungsuh" w:eastAsia="Gungsuh"/>
          <w:sz w:val="24"/>
          <w:szCs w:val="24"/>
        </w:rPr>
        <w:t xml:space="preserve">將你的方法做在 </w:t>
      </w:r>
      <w:r>
        <w:rPr>
          <w:rFonts w:eastAsia="Gungsuh" w:cs="Gungsuh" w:ascii="Gungsuh" w:hAnsi="Gungsuh"/>
          <w:sz w:val="24"/>
          <w:szCs w:val="24"/>
        </w:rPr>
        <w:t xml:space="preserve">hand rotation sequence datatset </w:t>
      </w:r>
      <w:r>
        <w:rPr>
          <w:rFonts w:ascii="Gungsuh" w:hAnsi="Gungsuh" w:cs="Gungsuh" w:eastAsia="Gungsuh"/>
          <w:sz w:val="24"/>
          <w:szCs w:val="24"/>
        </w:rPr>
        <w:t>上得到什麼結果？合理嗎？請討論之。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Gungsuh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keepNext/>
      <w:keepLines w:val="false"/>
      <w:widowControl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Heading1">
    <w:name w:val="Heading 1"/>
    <w:basedOn w:val="Normal1"/>
    <w:next w:val="Normal"/>
    <w:qFormat/>
    <w:pPr>
      <w:keepNext/>
      <w:keepLines/>
      <w:spacing w:lineRule="auto" w:line="240" w:before="400" w:after="120"/>
      <w:contextualSpacing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/>
      <w:keepLines/>
      <w:spacing w:lineRule="auto" w:line="240" w:before="360" w:after="120"/>
      <w:contextualSpacing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/>
      <w:keepLines/>
      <w:spacing w:lineRule="auto" w:line="240" w:before="320" w:after="80"/>
      <w:contextualSpacing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/>
      <w:keepLines/>
      <w:spacing w:lineRule="auto" w:line="240" w:before="280" w:after="80"/>
      <w:contextualSpacing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/>
      <w:keepLines/>
      <w:spacing w:lineRule="auto" w:line="240" w:before="240" w:after="80"/>
      <w:contextualSpacing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/>
      <w:keepLines/>
      <w:spacing w:lineRule="auto" w:line="240" w:before="240" w:after="80"/>
      <w:contextualSpacing/>
    </w:pPr>
    <w:rPr>
      <w:i/>
      <w:color w:val="666666"/>
      <w:sz w:val="22"/>
      <w:szCs w:val="22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Title">
    <w:name w:val="Title"/>
    <w:basedOn w:val="Normal1"/>
    <w:next w:val="Normal"/>
    <w:qFormat/>
    <w:pPr>
      <w:keepNext/>
      <w:keepLines/>
      <w:spacing w:lineRule="auto" w:line="240" w:before="0"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/>
      <w:keepLines/>
      <w:spacing w:lineRule="auto" w:line="240" w:before="0" w:after="320"/>
      <w:contextualSpacing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</TotalTime>
  <Application>LibreOffice/5.1.6.2$Linux_X86_64 LibreOffice_project/10m0$Build-2</Application>
  <Pages>3</Pages>
  <Words>773</Words>
  <Characters>1297</Characters>
  <CharactersWithSpaces>1416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2017-05-14T19:13:08Z</dcterms:modified>
  <cp:revision>6</cp:revision>
  <dc:subject/>
  <dc:title/>
</cp:coreProperties>
</file>