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It’s All a 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I’m a serial helper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Rushing to the aid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Of anyone who ever calls my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even those who don’t;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make them make up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use to avoid my 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if they ask how I’m doing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run like the fucking plague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Spitting out lies like blood because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feels like I was punched in the 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metallic tang of memories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Tastes like lies lived long ago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Pouring out of my liar mouth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blood that will not clot, will not stop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wish it would stop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I’m standing here getting dizzy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Drugs in the dark, personified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White whirlpools of winds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Encroach upon my eyes of lies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Spinning and down she thuds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she I mean 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I’m writing this to sound trippy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It’s all a lie all the time anyways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Anyways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Spinning down I fucking fall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Caught off guard like a hurricane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Yes, I hear you screaming my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all I can say is,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“Are you alright?”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Flipping round and round and upside down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Always putting it back onto you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