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Отчёт по EDA:</w:t>
        <w:br/>
        <w:t>сборка аналитического датасета ФП → Дефолт</w:t>
      </w:r>
    </w:p>
    <w:p>
      <w:pPr>
        <w:jc w:val="center"/>
      </w:pPr>
      <w:r>
        <w:rPr>
          <w:color w:val="000000"/>
          <w:sz w:val="28"/>
        </w:rPr>
        <w:t>Период анализа: 2023–2025</w:t>
      </w:r>
    </w:p>
    <w:p>
      <w:pPr>
        <w:jc w:val="center"/>
      </w:pPr>
      <w:r>
        <w:rPr>
          <w:i/>
          <w:color w:val="000000"/>
          <w:sz w:val="22"/>
        </w:rPr>
        <w:t>Сегменты: МкБ (микро) · МСБ (малый + средний) · ККБ (ДКБ)</w:t>
      </w:r>
    </w:p>
    <w:p>
      <w:r>
        <w:br w:type="page"/>
      </w:r>
    </w:p>
    <w:p>
      <w:pPr>
        <w:pStyle w:val="Heading1"/>
      </w:pPr>
      <w:r>
        <w:rPr>
          <w:color w:val="000000"/>
        </w:rPr>
        <w:t>Оглавление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  <w:sz w:val="20"/>
        </w:rPr>
        <w:t>(Оглавление — нажмите Ctrl+A, затем F9 для обновления)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000000"/>
        </w:rPr>
        <w:t>1. Логика присвоения компании флага «дефолт»</w:t>
      </w:r>
    </w:p>
    <w:p>
      <w:pPr>
        <w:pStyle w:val="Heading2"/>
      </w:pPr>
      <w:r>
        <w:rPr>
          <w:color w:val="000000"/>
        </w:rPr>
        <w:t>1.1. Определение дефолтной компании</w:t>
      </w:r>
    </w:p>
    <w:p>
      <w:r>
        <w:rPr>
          <w:color w:val="000000"/>
        </w:rPr>
        <w:t>Компания считается дефолтной, если её ИНН присутствует в выгрузке дефолтов (defaults). Всем таким компаниям присваивается default_flag = 1.</w:t>
      </w:r>
    </w:p>
    <w:p>
      <w:pPr>
        <w:pStyle w:val="Heading2"/>
      </w:pPr>
      <w:r>
        <w:rPr>
          <w:color w:val="000000"/>
        </w:rPr>
        <w:t>1.2. Классификация тяжести дефолта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17"/>
        <w:gridCol w:w="2268"/>
        <w:gridCol w:w="5670"/>
      </w:tblGrid>
      <w:tr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Приоритет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Тяжесть</w:t>
            </w:r>
          </w:p>
        </w:tc>
        <w:tc>
          <w:tcPr>
            <w:tcW w:w="567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Условие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Тяжёлый</w:t>
            </w:r>
          </w:p>
        </w:tc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unlimited_default = 1 (бессрочный)</w:t>
            </w:r>
          </w:p>
        </w:tc>
      </w:tr>
      <w:tr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Тяжёлый</w:t>
            </w:r>
          </w:p>
        </w:tc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writeoff или liquidation заполнены (списание/ликвидация)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Вышел из дефолта</w:t>
            </w:r>
          </w:p>
        </w:tc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finish_date заполнена</w:t>
            </w:r>
          </w:p>
        </w:tc>
      </w:tr>
      <w:tr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Надзор</w:t>
            </w:r>
          </w:p>
        </w:tc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cure_date заполнена, finish_date пуста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Активный</w:t>
            </w:r>
          </w:p>
        </w:tc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ни одно условие не выполнено</w:t>
            </w:r>
          </w:p>
        </w:tc>
      </w:tr>
    </w:tbl>
    <w:p/>
    <w:p>
      <w:pPr>
        <w:pStyle w:val="Heading2"/>
      </w:pPr>
      <w:r>
        <w:rPr>
          <w:color w:val="000000"/>
        </w:rPr>
        <w:t>1.3. Определение дат начала и окончания</w:t>
      </w:r>
    </w:p>
    <w:p>
      <w:r>
        <w:rPr>
          <w:color w:val="000000"/>
        </w:rPr>
        <w:t>Дата начала дефолта — start_date из выгрузки. Дата окончания (end_date) определяется по приоритету: writeoff → liquidation → finish_date → cure_date. Если ни одна не заполнена — дефолт считается открытым (активным).</w:t>
      </w:r>
    </w:p>
    <w:p>
      <w:pPr>
        <w:pStyle w:val="Heading2"/>
      </w:pPr>
      <w:r>
        <w:rPr>
          <w:color w:val="000000"/>
        </w:rPr>
        <w:t>1.4. Базовая выборка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9"/>
        <w:gridCol w:w="2835"/>
      </w:tblGrid>
      <w:tr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2835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Всего уникальных компаний (ИНН)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9 914</w:t>
            </w:r>
          </w:p>
        </w:tc>
      </w:tr>
      <w:tr>
        <w:tc>
          <w:tcPr>
            <w:tcW w:w="3969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Дефолтных компаний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128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Default rate (общий)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1,29%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1984"/>
        <w:gridCol w:w="1701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Компаний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Дефолтных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DR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6 539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1,33%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2 265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1,19%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1 110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1,26%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Выборка включает 9 914 уникальных компаний (по ИНН), 128 из которых дефолтные (DR = 1,29%). Наибольший DR — в сегменте МкБ (1,33%), наименьший — в МСБ (1,19%). Все три сегмента имеют близкие DR, что позволяет проводить сравнительный анализ.</w:t>
      </w:r>
    </w:p>
    <w:p>
      <w:pPr>
        <w:pStyle w:val="Heading1"/>
      </w:pPr>
      <w:r>
        <w:rPr>
          <w:color w:val="000000"/>
        </w:rPr>
        <w:t>2. Распределение ФП: дефолтные vs недефолтные (общие)</w:t>
      </w:r>
    </w:p>
    <w:p>
      <w:r>
        <w:rPr>
          <w:color w:val="000000"/>
        </w:rPr>
        <w:t>Построены абсолютная и нормализованная гистограммы числа уникальных ФП на компанию, отдельно для дефолтных и недефолтных.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1984"/>
        <w:gridCol w:w="1984"/>
        <w:gridCol w:w="1984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Среднее ФП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Медиана ФП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Макс ФП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Дефолтные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7,7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Недефолтные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</w:t>
            </w:r>
          </w:p>
        </w:tc>
      </w:tr>
    </w:tbl>
    <w:p/>
    <w:p>
      <w:r>
        <w:rPr>
          <w:color w:val="000000"/>
        </w:rPr>
        <w:t>Дефолтные компании в среднем имеют 7,7 ФП (медиана 7), недефолтные — 4,5 ФП (медиана 4). Разница в медианах (3 ФП) статистически устойчива и видна на нормализованном графике: распределение дефолтных смещено вправо.</w:t>
      </w:r>
    </w:p>
    <w:p>
      <w:r>
        <w:rPr>
          <w:color w:val="000000"/>
        </w:rPr>
        <w:t>На нормализованном графике при большом числе ФП (10+) доля дефолтных компаний существенно превышает долю недефолтных, что подчёркивает кумулятивный эффект факторов проблемности. Компании с 0 ФП практически отсутствуют среди дефолтных.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Количество ФП является значимым индикатором: дефолтные компании имеют систематически больше факторов проблемности (в среднем +3,2 ФП). Данный признак может использоваться как самостоятельный предиктор.</w:t>
      </w:r>
    </w:p>
    <w:p>
      <w:pPr>
        <w:pStyle w:val="Heading1"/>
      </w:pPr>
      <w:r>
        <w:rPr>
          <w:color w:val="000000"/>
        </w:rPr>
        <w:t>3. Распределение ФП по сегментам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907"/>
        <w:gridCol w:w="567"/>
        <w:gridCol w:w="680"/>
        <w:gridCol w:w="850"/>
        <w:gridCol w:w="850"/>
        <w:gridCol w:w="850"/>
        <w:gridCol w:w="850"/>
        <w:gridCol w:w="793"/>
        <w:gridCol w:w="793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Компаний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Деф.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DR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Ср.ФП (д.)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Ср.ФП (н.)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Мед.ФП (д.)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Мед.ФП (н.)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 (д.)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 (н.)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6 539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87</w:t>
            </w:r>
          </w:p>
        </w:tc>
        <w:tc>
          <w:tcPr>
            <w:tcW w:w="68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1,33%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9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w="79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2 265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w="68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1,19%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9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w="79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1 110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68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1,26%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8,4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3,8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9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79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</w:tr>
    </w:tbl>
    <w:p/>
    <w:p>
      <w:pPr>
        <w:pStyle w:val="Heading2"/>
      </w:pPr>
      <w:r>
        <w:rPr>
          <w:color w:val="000000"/>
        </w:rPr>
        <w:t>3.1. МкБ (микробизнес)</w:t>
      </w:r>
    </w:p>
    <w:p>
      <w:r>
        <w:rPr>
          <w:color w:val="000000"/>
        </w:rPr>
        <w:t>Самый многочисленный сегмент (6 539 компаний, 66% выборки). Дефолтные компании имеют в среднем 6,7 ФП (медиана 6) — ниже, чем в других сегментах. Разрыв между медианами (деф. vs недеф.) = 3 ФП — наименьший среди сегментов.</w:t>
      </w:r>
    </w:p>
    <w:p>
      <w:pPr>
        <w:pStyle w:val="Heading2"/>
      </w:pPr>
      <w:r>
        <w:rPr>
          <w:color w:val="000000"/>
        </w:rPr>
        <w:t>3.2. МСБ (малый и средний бизнес)</w:t>
      </w:r>
    </w:p>
    <w:p>
      <w:r>
        <w:rPr>
          <w:color w:val="000000"/>
        </w:rPr>
        <w:t>2 265 компаний, DR = 1,19% — наименьший среди сегментов. Дефолтные компании МСБ в среднем имеют 10,4 ФП (медиана 11) — наибольший показатель среди всех сегментов. Разрыв медиан = 6 ФП — наибольший среди сегментов, что делает число ФП наиболее сильным разделительным признаком именно для МСБ.</w:t>
      </w:r>
    </w:p>
    <w:p>
      <w:pPr>
        <w:pStyle w:val="Heading2"/>
      </w:pPr>
      <w:r>
        <w:rPr>
          <w:color w:val="000000"/>
        </w:rPr>
        <w:t>3.3. ККБ (крупный корпоративный бизнес)</w:t>
      </w:r>
    </w:p>
    <w:p>
      <w:r>
        <w:rPr>
          <w:color w:val="000000"/>
        </w:rPr>
        <w:t>Самый малочисленный сегмент (1 110 компаний, 14 дефолтных). Дефолтные: среднее 8,4 ФП, медиана 9. Максимум ФП у дефолтных (17) превышает максимум у недефолтных (15) — обратная ситуация по сравнению с другими сегментами. Среднее ФП у недефолтных (3,8) — наименьшее среди сегментов.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Во всех сегментах дефолтные компании имеют больше ФП, но характер различий неодинаков. В МСБ разрыв медиан (6 ФП) наибольший, в МкБ — наименьший (3 ФП). Это подтверждает необходимость сегментного подхода к моделированию.</w:t>
      </w:r>
    </w:p>
    <w:p>
      <w:pPr>
        <w:pStyle w:val="Heading1"/>
      </w:pPr>
      <w:r>
        <w:rPr>
          <w:color w:val="000000"/>
        </w:rPr>
        <w:t>4. Динамика закрытия дефолтов (любая дата начала)</w:t>
      </w:r>
    </w:p>
    <w:p>
      <w:r>
        <w:rPr>
          <w:color w:val="000000"/>
        </w:rPr>
        <w:t>Отбираются все компании из выгрузки дефолтов с end_date в 2023–2025 (start_date может быть любой, включая период до 2023).</w:t>
      </w:r>
    </w:p>
    <w:p>
      <w:r>
        <w:rPr>
          <w:color w:val="000000"/>
        </w:rPr>
        <w:t>Всего компаний с закрытым дефолтом (end_date в 2023–2025): 1 546.</w:t>
      </w:r>
    </w:p>
    <w:p>
      <w:pPr>
        <w:pStyle w:val="Heading2"/>
      </w:pPr>
      <w:r>
        <w:rPr>
          <w:color w:val="000000"/>
        </w:rPr>
        <w:t>4.1. Квартальная динамика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35"/>
        <w:gridCol w:w="2835"/>
      </w:tblGrid>
      <w:tr>
        <w:tc>
          <w:tcPr>
            <w:tcW w:w="2835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Квартал</w:t>
            </w:r>
          </w:p>
        </w:tc>
        <w:tc>
          <w:tcPr>
            <w:tcW w:w="2835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Компаний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2023 Q1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155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2023 Q2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163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2023 Q3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148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2023 Q4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187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 Q1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117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 Q2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170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 Q3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121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 Q4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 Q1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90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 Q2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91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 Q3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70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 Q4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120</w:t>
            </w:r>
          </w:p>
        </w:tc>
      </w:tr>
    </w:tbl>
    <w:p/>
    <w:p>
      <w:r>
        <w:rPr>
          <w:color w:val="000000"/>
        </w:rPr>
        <w:t>Наблюдаются выраженные пики закрытия в июне и декабре каждого года (июнь 2023 — 101, декабрь 2023 — 111, июнь 2024 — 92). Цикличность может указывать на плановые «волны» завершения дефолтных процедур в конце полугодий.</w:t>
      </w:r>
    </w:p>
    <w:p>
      <w:r>
        <w:rPr>
          <w:color w:val="000000"/>
        </w:rPr>
        <w:t>Общий тренд — постепенное уменьшение объёма закрытий: 2023 (в среднем ~163/кв.) → 2024 (~134/кв.) → 2025 (~93/кв.). Это объясняется сокращением пула «исторических» дефолтов.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1 546 дефолтов закрыто за 2023–2025. Динамика неравномерна с пиками в конце полугодий. Объём закрытий снижается год к году из-за сокращения «исторических» дефолтов.</w:t>
      </w:r>
    </w:p>
    <w:p>
      <w:pPr>
        <w:pStyle w:val="Heading1"/>
      </w:pPr>
      <w:r>
        <w:rPr>
          <w:color w:val="000000"/>
        </w:rPr>
        <w:t>5. Динамика закрытия дефолтов (дата начала в периоде)</w:t>
      </w:r>
    </w:p>
    <w:p>
      <w:r>
        <w:rPr>
          <w:color w:val="000000"/>
        </w:rPr>
        <w:t>Отбираются только компании, у которых и start_date, и end_date попадают в 2023–2025 — «быстрые» дефолты, целиком уместившиеся в анализируемый период.</w:t>
      </w:r>
    </w:p>
    <w:p>
      <w:r>
        <w:rPr>
          <w:color w:val="000000"/>
        </w:rPr>
        <w:t>Всего: ~162 компании (vs 1 546 в предыдущем разделе).</w:t>
      </w:r>
    </w:p>
    <w:p>
      <w:pPr>
        <w:pStyle w:val="Heading2"/>
      </w:pPr>
      <w:r>
        <w:rPr>
          <w:color w:val="000000"/>
        </w:rPr>
        <w:t>5.1. Квартальная динамика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35"/>
        <w:gridCol w:w="2835"/>
      </w:tblGrid>
      <w:tr>
        <w:tc>
          <w:tcPr>
            <w:tcW w:w="2835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Квартал</w:t>
            </w:r>
          </w:p>
        </w:tc>
        <w:tc>
          <w:tcPr>
            <w:tcW w:w="2835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Компаний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2023 Q2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2023 Q3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2023 Q4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 Q1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 Q2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 Q3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 Q4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 Q1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 Q2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 Q3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 Q4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</w:tr>
    </w:tbl>
    <w:p/>
    <w:p>
      <w:r>
        <w:rPr>
          <w:color w:val="000000"/>
        </w:rPr>
        <w:t>Устойчивый рост от Q2 2023 (1 компания) до Q4 2025 (50 компаний). Резкий скачок в Q4 2025 (50 компаний vs 19 в Q3) указывает на ускорение процедуры завершения новых дефолтов.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Число «быстрых» дефолтов (обе даты в периоде) растёт к концу 2025 года, что означает: новые дефолты, начатые позже, быстрее проходят процедуру завершения. Q4 2025 — максимум (50 компаний).</w:t>
      </w:r>
    </w:p>
    <w:p>
      <w:pPr>
        <w:pStyle w:val="Heading1"/>
      </w:pPr>
      <w:r>
        <w:rPr>
          <w:color w:val="000000"/>
        </w:rPr>
        <w:t>6. Среднее время в дефолте по тяжести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1417"/>
        <w:gridCol w:w="1701"/>
        <w:gridCol w:w="1701"/>
        <w:gridCol w:w="1701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Тяжесть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Записей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Среднее (дни)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Медиана (дни)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Среднее (~лет)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Тяжёлый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5 148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2 028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1 936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~5,6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Надзор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75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1 590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519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~4,4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Вышел из дефолта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16 119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935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642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~2,6</w:t>
            </w:r>
          </w:p>
        </w:tc>
      </w:tr>
    </w:tbl>
    <w:p/>
    <w:p>
      <w:r>
        <w:rPr>
          <w:color w:val="000000"/>
        </w:rPr>
        <w:t>Тяжёлый дефолт длится в среднем 5,6 лет — более чем в два раза дольше, чем у компаний, вышедших из дефолта (2,6 года). Среднее и медиана близки (2 028 vs 1 936 дней), что говорит о равномерном распределении.</w:t>
      </w:r>
    </w:p>
    <w:p>
      <w:r>
        <w:rPr>
          <w:color w:val="000000"/>
        </w:rPr>
        <w:t>Надзор — малочисленная группа (75 записей). Среднее значительно превышает медиану (1 590 vs 519 дней), что указывает на несколько экстремально долгих случаев. Типичная компания на надзоре ~1,4 года.</w:t>
      </w:r>
    </w:p>
    <w:p>
      <w:r>
        <w:rPr>
          <w:color w:val="000000"/>
        </w:rPr>
        <w:t>Вышел из дефолта — самая многочисленная группа (16 119 записей), среднее 935 дней (~2,6 года), медиана 642 дня (~1,8 года).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Тяжесть дефолта напрямую коррелирует с длительностью: тяжёлые дефолты длятся в 2–3 раза дольше, чем завершённые. Медиана — более надёжная мера, особенно для группы «надзор».</w:t>
      </w:r>
    </w:p>
    <w:p>
      <w:pPr>
        <w:pStyle w:val="Heading1"/>
      </w:pPr>
      <w:r>
        <w:rPr>
          <w:color w:val="000000"/>
        </w:rPr>
        <w:t>7. Тепловые карты корреляций между ФП по сегментам</w:t>
      </w:r>
    </w:p>
    <w:p>
      <w:r>
        <w:rPr>
          <w:color w:val="000000"/>
        </w:rPr>
        <w:t>Для анализа взаимосвязей между ФП использована корреляция Phi (эквивалент Пирсона для бинарных признаков). Карты построены для ТОП-30 наиболее частых ФП в каждом сегменте.</w:t>
      </w:r>
    </w:p>
    <w:p>
      <w:r>
        <w:rPr>
          <w:color w:val="000000"/>
        </w:rPr>
        <w:t>Порог |r| &gt; 0,3 принят для выделения существенных корреляций. Положительная корреляция — ФП встречаются вместе, отрицательная — исключают друг друга.</w:t>
      </w:r>
    </w:p>
    <w:p>
      <w:pPr>
        <w:pStyle w:val="Heading2"/>
      </w:pPr>
      <w:r>
        <w:rPr>
          <w:color w:val="000000"/>
        </w:rPr>
        <w:t>7.1. МкБ (6 539 компаний, 87 дефолтных)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1984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ФП_1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ФП_2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Корреляция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26.1.2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0,460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16.4У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16.5У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0,363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28.2У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28.1У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0,332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16.1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15.1.1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0,325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16.2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0,325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26.1.1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16.1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0,323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16.4У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15.1У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0,320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28.2У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26У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0,304</w:t>
            </w:r>
          </w:p>
        </w:tc>
      </w:tr>
    </w:tbl>
    <w:p/>
    <w:p>
      <w:r>
        <w:rPr>
          <w:color w:val="000000"/>
        </w:rPr>
        <w:t>Доминируют кластеры 26.x (операционные риски) и 16.x (финансовая устойчивость). Факторы с суффиксом «У» (условные) формируют обособленный блок высокой корреляции.</w:t>
      </w:r>
    </w:p>
    <w:p>
      <w:pPr>
        <w:pStyle w:val="Heading2"/>
      </w:pPr>
      <w:r>
        <w:rPr>
          <w:color w:val="000000"/>
        </w:rPr>
        <w:t>7.2. МСБ (2 265 компаний, 27 дефолтных)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1984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ФП_1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ФП_2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Корреляция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37.2.1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0,409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26.1.1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26.1.2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0,383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26.2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26.1.2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0,319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28.9.1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28.9.2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0,307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26.2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0,306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28.9.3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28.9.2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0,300</w:t>
            </w:r>
          </w:p>
        </w:tc>
      </w:tr>
    </w:tbl>
    <w:p/>
    <w:p>
      <w:r>
        <w:rPr>
          <w:color w:val="000000"/>
        </w:rPr>
        <w:t>Наиболее сильная пара — 16.1 и 37.2.1 (r = 0,409), специфичная для МСБ. Кластер 26.x присутствует и здесь, подтверждая его универсальность. Кластер 28.9.x (залоговое обеспечение) — специфичен для МСБ.</w:t>
      </w:r>
    </w:p>
    <w:p>
      <w:pPr>
        <w:pStyle w:val="Heading2"/>
      </w:pPr>
      <w:r>
        <w:rPr>
          <w:color w:val="000000"/>
        </w:rPr>
        <w:t>7.3. ККБ (1 110 компаний, 14 дефолтных)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1984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ФП_1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ФП_2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Корреляция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29.13.1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29.13.3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0,509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29.1.1.1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29.1.1.2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0,470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29.1.1.1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0,423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53.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26.1.1.1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0,415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57.1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57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0,374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29.1.1.2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0,322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29.13.3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29.13.2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0,301</w:t>
            </w:r>
          </w:p>
        </w:tc>
      </w:tr>
    </w:tbl>
    <w:p/>
    <w:p>
      <w:r>
        <w:rPr>
          <w:color w:val="000000"/>
        </w:rPr>
        <w:t>ККБ демонстрирует наиболее сильные корреляции (до 0,509). Доминирует кластер 29.x (ковенанты) — логично для крупного бизнеса, где ковенантные обязательства детализированы. Набор ТОП-ФП существенно отличается от МкБ и МСБ.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Корреляции между ФП умеренные (|r| &lt; 0,5, исключение — ККБ). Каждый сегмент имеет специфичный набор коррелированных пар: 26.x и 16.x в МкБ, 28.9.x в МСБ, 29.x в ККБ. Критических проблем мультиколлинеарности не обнаружено — факторы могут использоваться совместно в модели.</w:t>
      </w:r>
    </w:p>
    <w:p>
      <w:pPr>
        <w:pStyle w:val="Heading1"/>
      </w:pPr>
      <w:r>
        <w:rPr>
          <w:color w:val="000000"/>
        </w:rPr>
        <w:t>8. Кросс-таблица «ФП × Дефолт» по сегментам</w:t>
      </w:r>
    </w:p>
    <w:p>
      <w:r>
        <w:rPr>
          <w:color w:val="000000"/>
        </w:rPr>
        <w:t>Для каждого ФП рассчитаны: частота встречаемости, доля дефолтов среди носителей, Lift — отношение доли дефолтов с ФП к базовой DR сегмента. Lift &gt; 1 — ФП повышает риск, Lift &lt; 1 — снижает.</w:t>
      </w:r>
    </w:p>
    <w:p>
      <w:pPr>
        <w:pStyle w:val="Heading2"/>
      </w:pPr>
      <w:r>
        <w:rPr>
          <w:color w:val="000000"/>
        </w:rPr>
        <w:t>8.1. МкБ: base DR = 1,33%, компаний = 6 539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247"/>
        <w:gridCol w:w="1020"/>
        <w:gridCol w:w="1134"/>
        <w:gridCol w:w="850"/>
        <w:gridCol w:w="1304"/>
        <w:gridCol w:w="1134"/>
      </w:tblGrid>
      <w:tr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ФП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Комп.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от всех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Деф.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Доля деф.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Lift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0,35%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47,83%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35,95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52.0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0,26%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29,41%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22,11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143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2,19%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24,48%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18,40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22.2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0,63%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24,39%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18,33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1,15%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16,00%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12,03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82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1,25%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13,41%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10,08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14.3.2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0,93%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11,48%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8,63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0,41%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11,11%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8,35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14.3.1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277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4,24%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6,14%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4,61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6,50%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5,88%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4,42</w:t>
            </w:r>
          </w:p>
        </w:tc>
      </w:tr>
    </w:tbl>
    <w:p/>
    <w:p>
      <w:r>
        <w:rPr>
          <w:color w:val="000000"/>
        </w:rPr>
        <w:t>ФП 15.1.2 (Lift = 35,95) — наиболее «опасный» в МкБ: из 23 компаний 11 (47,83%) дефолтные. ФП 13 (Lift = 18,40) сочетает высокий Lift с заметной распространённостью (143 компании) — наиболее надёжный предиктор в сегменте.</w:t>
      </w:r>
    </w:p>
    <w:p>
      <w:pPr>
        <w:pStyle w:val="Heading2"/>
      </w:pPr>
      <w:r>
        <w:rPr>
          <w:color w:val="000000"/>
        </w:rPr>
        <w:t>8.2. МСБ: base DR = 1,19%, компаний = 2 265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247"/>
        <w:gridCol w:w="1020"/>
        <w:gridCol w:w="1134"/>
        <w:gridCol w:w="850"/>
        <w:gridCol w:w="1304"/>
        <w:gridCol w:w="1134"/>
      </w:tblGrid>
      <w:tr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ФП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Комп.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от всех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Деф.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Доля деф.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Lift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0,49%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54,55%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45,76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1,28%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17,24%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14,46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95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4,19%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16,84%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14,13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13.1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1,85%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11,90%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9,99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14.3.2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1,68%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10,53%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8,83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10,20%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7,36%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6,17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28.9.1.1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2,12%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6,25%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5,24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159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7,02%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5,66%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4,75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14.3.1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154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6,80%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5,19%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4,36</w:t>
            </w:r>
          </w:p>
        </w:tc>
      </w:tr>
    </w:tbl>
    <w:p/>
    <w:p>
      <w:r>
        <w:rPr>
          <w:color w:val="000000"/>
        </w:rPr>
        <w:t>ФП 15.1.3 (Lift = 45,76) — абсолютный лидер по Lift среди всех сегментов. Из 11 компаний 6 (54,55%) дефолтные. ФП 13 (Lift = 14,13) снова в ТОП-3, подтверждая универсальную значимость.</w:t>
      </w:r>
    </w:p>
    <w:p>
      <w:pPr>
        <w:pStyle w:val="Heading2"/>
      </w:pPr>
      <w:r>
        <w:rPr>
          <w:color w:val="000000"/>
        </w:rPr>
        <w:t>8.3. ККБ: base DR = 1,26%, компаний = 1 110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247"/>
        <w:gridCol w:w="1020"/>
        <w:gridCol w:w="1134"/>
        <w:gridCol w:w="850"/>
        <w:gridCol w:w="1304"/>
        <w:gridCol w:w="1134"/>
      </w:tblGrid>
      <w:tr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ФП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Комп.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от всех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Деф.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Доля деф.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Lift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0,36%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100,00%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79,29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37.2.2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0,27%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100,00%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79,29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14.1.1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0,45%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80,00%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63,43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50.1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0,63%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57,14%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45,31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3,60%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7,50%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5,95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11,26%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7,20%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5,71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29.2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6,76%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6,67%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5,29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108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9,73%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5,56%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4,41</w:t>
            </w:r>
          </w:p>
        </w:tc>
      </w:tr>
      <w:tr>
        <w:tc>
          <w:tcPr>
            <w:tcW w:w="124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29.1.1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5,14%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5,26%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4,17</w:t>
            </w:r>
          </w:p>
        </w:tc>
      </w:tr>
      <w:tr>
        <w:tc>
          <w:tcPr>
            <w:tcW w:w="124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2.2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26,22%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3,44%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2,72</w:t>
            </w:r>
          </w:p>
        </w:tc>
      </w:tr>
    </w:tbl>
    <w:p/>
    <w:p>
      <w:r>
        <w:rPr>
          <w:color w:val="000000"/>
        </w:rPr>
        <w:t>ФП 16.3 и 37.2.2 — 100% дефолтность (Lift = 79,29), но выборки крайне малы (4 и 3 компании). ФП 13 (Lift = 5,71) вновь в числе лидеров. Набор топ-ФП в ККБ отличается: доминируют 16.x, 29.x, 37.x.</w:t>
      </w:r>
    </w:p>
    <w:p>
      <w:pPr>
        <w:pStyle w:val="Heading2"/>
      </w:pPr>
      <w:r>
        <w:rPr>
          <w:color w:val="000000"/>
        </w:rPr>
        <w:t>8.4. Межсегментные закономерности</w:t>
      </w:r>
    </w:p>
    <w:p>
      <w:r>
        <w:rPr>
          <w:color w:val="000000"/>
        </w:rPr>
        <w:t>ФП 13 стабильно входит в ТОП-3 по Lift во всех сегментах (18,40 / 14,13 / 5,71), что делает его универсальным маркером риска. Группа 15.x характерна для МкБ и МСБ, но практически не проявляется в ККБ. Группа 29.x специфична для ККБ.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Наиболее значимые предикторы: 15.1.2 (Lift 35,95) в МкБ, 15.1.3 (Lift 45,76) в МСБ, 16.3 (Lift 79,29) в ККБ. ФП 13 — универсальный маркер во всех сегментах. Факторы с малым числом компаний (&lt; 10) требуют осторожной интерпретации.</w:t>
      </w:r>
    </w:p>
    <w:p>
      <w:pPr>
        <w:pStyle w:val="Heading1"/>
      </w:pPr>
      <w:r>
        <w:rPr>
          <w:color w:val="000000"/>
        </w:rPr>
        <w:t>9. Топ комбинаций ФП по сегментам</w:t>
      </w:r>
    </w:p>
    <w:p>
      <w:r>
        <w:rPr>
          <w:color w:val="000000"/>
        </w:rPr>
        <w:t>Для каждого сегмента рассмотрены пары и тройки ФП (среди ТОП-30 по частоте), одновременно присутствующие у не менее 5 компаний. Для каждой комбинации рассчитан Default rate и Lift.</w:t>
      </w:r>
    </w:p>
    <w:p>
      <w:pPr>
        <w:pStyle w:val="Heading2"/>
      </w:pPr>
      <w:r>
        <w:rPr>
          <w:color w:val="000000"/>
        </w:rPr>
        <w:t>9.1. МкБ: пар = 284, троек =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18"/>
        <w:gridCol w:w="680"/>
        <w:gridCol w:w="737"/>
        <w:gridCol w:w="737"/>
        <w:gridCol w:w="850"/>
        <w:gridCol w:w="963"/>
      </w:tblGrid>
      <w:tr>
        <w:tc>
          <w:tcPr>
            <w:tcW w:w="311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Комбинация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Разм.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Комп.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Деф.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DR</w:t>
            </w:r>
          </w:p>
        </w:tc>
        <w:tc>
          <w:tcPr>
            <w:tcW w:w="96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Lift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+ 15.1.2 + 15.2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100,0%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75,16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+ 14.3.1 + 14.3.2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100,0%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75,16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+ 14.3.2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100,0%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75,16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14.3.1 + 15.1.2 + 15.2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100,0%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75,16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+ 14.3.2 + 15.1.1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100,0%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75,16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14.3.1 + 15.1.2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87,5%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65,77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14.3.1 + 15.1.1 + 15.1.2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85,7%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64,42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+ 14.3.1 + 15.2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83,3%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62,63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+ 15.1.1 + 15.2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81,8%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61,50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15.1.2 + 29.2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81,8%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61,50</w:t>
            </w:r>
          </w:p>
        </w:tc>
      </w:tr>
    </w:tbl>
    <w:p/>
    <w:p>
      <w:r>
        <w:rPr>
          <w:color w:val="000000"/>
        </w:rPr>
        <w:t>5 комбинаций дают 100% дефолтность (Lift = 75,16). Все включают ФП 13 и/или пару 14.3.x + 15.x. ФП 13 участвует в 7 из 10 топ-комбинаций.</w:t>
      </w:r>
    </w:p>
    <w:p>
      <w:pPr>
        <w:pStyle w:val="Heading2"/>
      </w:pPr>
      <w:r>
        <w:rPr>
          <w:color w:val="000000"/>
        </w:rPr>
        <w:t>9.2. МСБ: пар = 271, троек =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18"/>
        <w:gridCol w:w="680"/>
        <w:gridCol w:w="737"/>
        <w:gridCol w:w="737"/>
        <w:gridCol w:w="850"/>
        <w:gridCol w:w="963"/>
      </w:tblGrid>
      <w:tr>
        <w:tc>
          <w:tcPr>
            <w:tcW w:w="311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Комбинация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Разм.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Комп.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Деф.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DR</w:t>
            </w:r>
          </w:p>
        </w:tc>
        <w:tc>
          <w:tcPr>
            <w:tcW w:w="96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Lift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+ 15.1.3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83,3%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69,91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15.1.3 + 28.9.3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83,3%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69,91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15.1.3 + 24.4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83,3%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69,91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+ 15.1.2 + 15.1.3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83,3%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69,91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15.1.3 + 53.1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80,0%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67,11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+ 14.3.1 + 15.1.2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80,0%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67,11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+ 15.1.3 + 29.2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80,0%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67,11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+ 15.1.2 + 15.2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80,0%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67,11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15.1.2 + 15.1.3 + 15.2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80,0%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67,11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15.1.3 + 26.1.2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80,0%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67,11</w:t>
            </w:r>
          </w:p>
        </w:tc>
      </w:tr>
    </w:tbl>
    <w:p/>
    <w:p>
      <w:r>
        <w:rPr>
          <w:color w:val="000000"/>
        </w:rPr>
        <w:t>ФП 15.1.3 доминирует в комбинациях МСБ (8 из 10). Сочетание 13 + 15.1.3 (83,3%, Lift = 69,91) — наиболее «опасная» пара. Комбинации МСБ не достигают 100%, но Lift выше из-за более низкой базовой DR (1,19%).</w:t>
      </w:r>
    </w:p>
    <w:p>
      <w:pPr>
        <w:pStyle w:val="Heading2"/>
      </w:pPr>
      <w:r>
        <w:rPr>
          <w:color w:val="000000"/>
        </w:rPr>
        <w:t>9.3. ККБ: пар = 94, троек = 168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18"/>
        <w:gridCol w:w="680"/>
        <w:gridCol w:w="737"/>
        <w:gridCol w:w="737"/>
        <w:gridCol w:w="850"/>
        <w:gridCol w:w="963"/>
      </w:tblGrid>
      <w:tr>
        <w:tc>
          <w:tcPr>
            <w:tcW w:w="311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Комбинация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Разм.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Комп.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Деф.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DR</w:t>
            </w:r>
          </w:p>
        </w:tc>
        <w:tc>
          <w:tcPr>
            <w:tcW w:w="96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Lift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+ 16.1 + 2.2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57,1%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45,31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 + 13 + 16.1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55,6%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44,05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2.2 + 29.1.1 + 53.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42,9%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33,98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+ 16.1 + 2.1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41,7%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33,04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 + 22.1 + 34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40,0%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31,71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+ 26.1.1 + 34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40,0%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31,71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2.2 + 29.1.1.1 + 29.2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40,0%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31,71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29.1.1 + 29.13.1 + 29.2.1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40,0%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31,71</w:t>
            </w:r>
          </w:p>
        </w:tc>
      </w:tr>
      <w:tr>
        <w:tc>
          <w:tcPr>
            <w:tcW w:w="311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26.1.1 + 29.1.1.2 + 29.2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40,0%</w:t>
            </w:r>
          </w:p>
        </w:tc>
        <w:tc>
          <w:tcPr>
            <w:tcW w:w="96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31,71</w:t>
            </w:r>
          </w:p>
        </w:tc>
      </w:tr>
      <w:tr>
        <w:tc>
          <w:tcPr>
            <w:tcW w:w="311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14.3.1 + 2.2 + 22.1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40,0%</w:t>
            </w:r>
          </w:p>
        </w:tc>
        <w:tc>
          <w:tcPr>
            <w:tcW w:w="96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31,71</w:t>
            </w:r>
          </w:p>
        </w:tc>
      </w:tr>
    </w:tbl>
    <w:p/>
    <w:p>
      <w:r>
        <w:rPr>
          <w:color w:val="000000"/>
        </w:rPr>
        <w:t>Максимальная DR комбинаций в ККБ (57,1%) ниже, чем в МкБ и МСБ — из-за малого числа дефолтных компаний (14). ФП 13 + 16.1 — ядро топ-комбинаций (4 из 10). Группа 29.x активно участвует в комбинациях — характерно для крупного бизнеса.</w:t>
      </w:r>
    </w:p>
    <w:p>
      <w:pPr>
        <w:pStyle w:val="Heading2"/>
      </w:pPr>
      <w:r>
        <w:rPr>
          <w:color w:val="000000"/>
        </w:rPr>
        <w:t>9.4. Межсегментные закономерности</w:t>
      </w:r>
    </w:p>
    <w:p>
      <w:r>
        <w:rPr>
          <w:color w:val="000000"/>
        </w:rPr>
        <w:t>ФП 13 присутствует в топ-комбинациях всех сегментов — «ядерный» предиктор дефолта. Специфичные «партнёры» различаются: 14.3.x + 15.x в МкБ, 15.1.3 в МСБ, 16.1 + 2.x в ККБ.</w:t>
      </w:r>
    </w:p>
    <w:p>
      <w:r>
        <w:rPr>
          <w:color w:val="000000"/>
        </w:rPr>
        <w:t>Концентрация дефолтов снижается с уменьшением числа дефолтов в сегменте: МкБ (100%) &gt; МСБ (83%) &gt; ККБ (57%).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Комбинации ФП многократно усиливают предсказательную силу: в МкБ пять комбинаций дают 100% дефолтность, в МСБ — до 83%, в ККБ — до 57%. ФП 13 — ключевой компонент «опасных» комбинаций во всех сегментах. Большое число троек в ККБ (168) при малом числе пар (94) указывает на сложную структуру взаимодействия ФП.</w:t>
      </w:r>
    </w:p>
    <w:p>
      <w:pPr>
        <w:pStyle w:val="Heading1"/>
      </w:pPr>
      <w:r>
        <w:rPr>
          <w:color w:val="000000"/>
        </w:rPr>
        <w:t>Итоговый вывод</w:t>
      </w:r>
    </w:p>
    <w:p>
      <w:r>
        <w:rPr>
          <w:color w:val="000000"/>
        </w:rPr>
        <w:t>Разведочный анализ данных подтвердил ключевые гипотезы:</w:t>
      </w:r>
    </w:p>
    <w:p>
      <w:r>
        <w:rPr>
          <w:color w:val="000000"/>
        </w:rPr>
        <w:t>1. Количество ФП положительно связано с вероятностью дефолта: дефолтные компании имеют в среднем 7,7 ФП (медиана 7) vs 4,5 ФП (медиана 4) у недефолтных.</w:t>
      </w:r>
    </w:p>
    <w:p>
      <w:r>
        <w:rPr>
          <w:color w:val="000000"/>
        </w:rPr>
        <w:t>2. Отдельные ФП имеют Lift значительно выше 1 (до 79,29 в ККБ, до 45,76 в МСБ, до 35,95 в МкБ).</w:t>
      </w:r>
    </w:p>
    <w:p>
      <w:r>
        <w:rPr>
          <w:color w:val="000000"/>
        </w:rPr>
        <w:t>3. Комбинации из 2–3 ФП демонстрируют кумулятивный эффект — в МкБ достигая 100% дефолтности (Lift = 75,16).</w:t>
      </w:r>
    </w:p>
    <w:p>
      <w:r>
        <w:rPr>
          <w:color w:val="000000"/>
        </w:rPr>
        <w:t>4. Паттерны различаются по сегментам: группы 15.x доминируют в МкБ/МСБ, группа 29.x — в ККБ. Это подтверждает необходимость сегментного подхода.</w:t>
      </w:r>
    </w:p>
    <w:p>
      <w:r>
        <w:rPr>
          <w:color w:val="000000"/>
        </w:rPr>
        <w:t>5. ФП 13 — универсальный маркер риска: входит в ТОП-3 по Lift во всех сегментах и является ядром «опасных» комбинаций.</w:t>
      </w:r>
    </w:p>
    <w:p>
      <w:r>
        <w:rPr>
          <w:color w:val="000000"/>
        </w:rPr>
        <w:t>Полные данные содержатся в Excel-приложении «приложение_build_dataset.xlsx».</w:t>
      </w:r>
    </w:p>
    <w:p>
      <w:pPr>
        <w:jc w:val="center"/>
      </w:pPr>
      <w:r>
        <w:rPr>
          <w:i/>
          <w:color w:val="808080"/>
          <w:sz w:val="18"/>
        </w:rPr>
        <w:br/>
        <w:t>Отчёт подготовлен на основании разведочного анализа данных (EDA),</w:t>
        <w:br/>
        <w:t>проведённого в рамках проекта ДМУКП.</w:t>
        <w:br/>
        <w:t>Данные: выгрузка CRM (9 914 уникальных компаний), выгрузка дефолтов, справочник ФП.</w:t>
        <w:br/>
        <w:t>Период анализа: 2023–2025.</w:t>
      </w:r>
    </w:p>
    <w:sectPr w:rsidR="00FC693F" w:rsidRPr="0006063C" w:rsidSect="00034616">
      <w:pgSz w:w="12240" w:h="15840"/>
      <w:pgMar w:top="567" w:right="567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