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/>
          <w:sz w:val="32"/>
        </w:rPr>
        <w:t>Аналитическая записка</w:t>
      </w:r>
    </w:p>
    <w:p>
      <w:pPr>
        <w:spacing w:after="40" w:before="0" w:line="276" w:lineRule="auto"/>
        <w:jc w:val="center"/>
      </w:pPr>
      <w:r>
        <w:rPr>
          <w:rFonts w:ascii="Times New Roman" w:hAnsi="Times New Roman" w:eastAsia="Times New Roman"/>
          <w:b/>
          <w:sz w:val="28"/>
        </w:rPr>
        <w:t>Сверка дашборда эквайринга и отчёта коллег</w:t>
      </w:r>
    </w:p>
    <w:p>
      <w:pPr>
        <w:spacing w:after="240" w:before="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Январь–июль 2026</w:t>
      </w:r>
    </w:p>
    <w:p>
      <w:pPr>
        <w:spacing w:after="120" w:before="280" w:line="276" w:lineRule="auto"/>
      </w:pPr>
      <w:r>
        <w:rPr>
          <w:rFonts w:ascii="Times New Roman" w:hAnsi="Times New Roman" w:eastAsia="Times New Roman"/>
          <w:b/>
          <w:sz w:val="28"/>
        </w:rPr>
        <w:t>1. Что сравниваем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Колонка «ДБ» — витрина final_script_2_1, та, что ляжет в основу дашборда. Колонка «Портал» — месячные Excel-отчёты эквайринга. Разница везде считается как дашборд минус отчёт. Месяцы только с января по июль 2026.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В компактной таблице оборот показан в миллиардах рублей, остальные деньги — в миллионах, процент эквайринга — в процентах. Клиенты, приток, отток, точки и терминалы — в штуках.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Строка «Фин. результат» в этой записке собрана по правилу дашборда из трёх строк той же таблицы: ЧОД минус АУР минус амортизация, с округлением до 0,01 млн руб. Так финрезультат устроен в сборке, и по нему ниже разобраны май и июнь.</w:t>
      </w:r>
    </w:p>
    <w:p>
      <w:pPr>
        <w:spacing w:after="120" w:before="280" w:line="276" w:lineRule="auto"/>
      </w:pPr>
      <w:r>
        <w:rPr>
          <w:rFonts w:ascii="Times New Roman" w:hAnsi="Times New Roman" w:eastAsia="Times New Roman"/>
          <w:b/>
          <w:sz w:val="28"/>
        </w:rPr>
        <w:t>2. Сводная таблица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Пустая ячейка на стороне дашборда в строках «Активные, отчёт» и «Неактивные, отчёт» оставлена специально. Это определение коллеги: договор с хотя бы одной транзакцией. Сравнение этого определения с дашбордом стоит двумя строками ниже.</w:t>
      </w:r>
    </w:p>
    <w:p>
      <w:pPr>
        <w:sectPr>
          <w:footerReference w:type="default" r:id="rId9"/>
          <w:pgSz w:w="11906" w:h="16838"/>
          <w:pgMar w:top="1020" w:right="1020" w:bottom="1020" w:left="1134" w:header="720" w:footer="720" w:gutter="0"/>
          <w:cols w:space="720"/>
          <w:docGrid w:linePitch="360"/>
        </w:sectPr>
      </w:pPr>
    </w:p>
    <w:p>
      <w:pPr>
        <w:spacing w:after="80" w:before="0" w:line="276" w:lineRule="auto"/>
      </w:pPr>
      <w:r>
        <w:rPr>
          <w:rFonts w:ascii="Times New Roman" w:hAnsi="Times New Roman" w:eastAsia="Times New Roman"/>
          <w:b/>
          <w:sz w:val="24"/>
        </w:rPr>
        <w:t>Таблица 1. Сверка, компактный вид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</w:tblGrid>
      <w:tr>
        <w:tc>
          <w:tcPr>
            <w:tcW w:type="dxa" w:w="3515"/>
            <w:vMerge w:val="restart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1F4E79" w:val="clear"/>
            <w:vAlign w:val="center"/>
          </w:tcPr>
          <w:p>
            <w:pPr>
              <w:spacing w:before="0" w:after="0"/>
              <w:jc w:val="left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6"/>
              </w:rPr>
              <w:t>Показатель</w:t>
            </w:r>
          </w:p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  <w:tc>
          <w:tcPr>
            <w:tcW w:type="dxa" w:w="879"/>
            <w:gridSpan w:val="3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1F4E79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6"/>
              </w:rPr>
              <w:t>01.26</w:t>
            </w:r>
          </w:p>
        </w:tc>
        <w:tc>
          <w:tcPr>
            <w:tcW w:type="dxa" w:w="879"/>
            <w:gridSpan w:val="3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1F4E79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6"/>
              </w:rPr>
              <w:t>02.26</w:t>
            </w:r>
          </w:p>
        </w:tc>
        <w:tc>
          <w:tcPr>
            <w:tcW w:type="dxa" w:w="879"/>
            <w:gridSpan w:val="3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1F4E79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6"/>
              </w:rPr>
              <w:t>03.26</w:t>
            </w:r>
          </w:p>
        </w:tc>
        <w:tc>
          <w:tcPr>
            <w:tcW w:type="dxa" w:w="879"/>
            <w:gridSpan w:val="3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1F4E79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6"/>
              </w:rPr>
              <w:t>04.26</w:t>
            </w:r>
          </w:p>
        </w:tc>
        <w:tc>
          <w:tcPr>
            <w:tcW w:type="dxa" w:w="879"/>
            <w:gridSpan w:val="3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1F4E79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6"/>
              </w:rPr>
              <w:t>05.26</w:t>
            </w:r>
          </w:p>
        </w:tc>
        <w:tc>
          <w:tcPr>
            <w:tcW w:type="dxa" w:w="879"/>
            <w:gridSpan w:val="3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1F4E79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6"/>
              </w:rPr>
              <w:t>06.26</w:t>
            </w:r>
          </w:p>
        </w:tc>
        <w:tc>
          <w:tcPr>
            <w:tcW w:type="dxa" w:w="879"/>
            <w:gridSpan w:val="3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1F4E79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6"/>
              </w:rPr>
              <w:t>07.26</w:t>
            </w:r>
          </w:p>
        </w:tc>
      </w:tr>
      <w:tr>
        <w:tc>
          <w:tcPr>
            <w:tcW w:type="dxa" w:w="1020"/>
            <w:vMerge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1F4E79" w:val="clear"/>
            <w:vAlign w:val="center"/>
          </w:tcPr>
          <w:p/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ДБ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Портал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Δ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ДБ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Портал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Δ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ДБ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Портал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Δ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ДБ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Портал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Δ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ДБ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Портал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Δ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ДБ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Портал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Δ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ДБ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Портал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Δ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Всего клиентов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6 011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6 014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6 126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6 129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6 304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6 308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6 406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6 410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6 464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6 468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6 675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6 685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6 775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6 789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−14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Активные, отчёт (≥1 транзакция)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4 294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4 418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4 496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4 625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4 653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4 773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4 833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Активные, дашборд (active_terms)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4 294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4 294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4 417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4 418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4 495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4 496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4 624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4 625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4 651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4 653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4 770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4 773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4 829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4 833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−4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Активные, final_df методом коллеги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4 294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4 294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4 417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4 418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4 495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4 496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4 624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4 625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4 651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4 653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4 770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4 773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4 829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4 833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−4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Неактивные, отчёт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1 720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1 711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1 812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1 785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1 815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1 912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1 956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Неактивные, дашборд (active_terms)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1 717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1 720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1 709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1 711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1 809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1 812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1 782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1 785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1 813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1 815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1 905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1 912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1 946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1 956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−10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Неактивные, final_df методом коллеги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1 717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1 720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1 709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1 711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1 809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1 812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1 782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1 785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1 813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1 815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1 905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1 912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1 946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1 956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−10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Приток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199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278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278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349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349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334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335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339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339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382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387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283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287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−4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Отток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207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207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242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242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288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288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308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330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217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218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217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230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354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368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−14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Кол-во ТТ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8 769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8 770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8 878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8 874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9 052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9 054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9 137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9 427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−290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9 477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9 479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9 648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9 643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9 774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9 767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7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Кол-во терминалов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10 196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10 197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10 146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10 157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10 146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10 134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10 218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10 180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10 026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10 028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10 298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10 309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10 526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10 550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−24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Сумма транзакций, млрд руб.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4,48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4,48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4,61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4,61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5,01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5,01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5,16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5,16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5,50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5,50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5,70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5,70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5,94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5,94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−0,02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ЧОД, млн руб.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19,67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16,89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2,78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19,83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16,80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3,03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20,58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17,15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3,43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20,56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18,37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2,19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20,20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18,33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1,87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20,36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18,74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1,62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21,06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19,48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1,58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Фин. результат, млн руб.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3,39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−0,55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3,94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3,40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−3,25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6,65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4,14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−0,79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4,93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4,06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2,10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1,96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3,79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1,12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2,67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3,37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1,06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2,31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3,74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2,28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АУР, млн руб.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14,84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16,89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−2,05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14,96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19,56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−4,60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14,94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17,44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−2,50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14,97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15,98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−1,01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15,00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16,09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−1,09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15,41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16,42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−1,01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15,65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16,62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−0,97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Амортизация, млн руб.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0,55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0,89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0,49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0,98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1,50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0,50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1,53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0,29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1,24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1,12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0,29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1,58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1,26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0,32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1,67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0,27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IRF, млн руб.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−55,03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−55,19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0,16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−55,21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−55,46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0,25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−60,06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−60,20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0,14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−62,23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−62,53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0,30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−68,80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−68,83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−70,68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−71,00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0,32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−73,08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−73,85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0,77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Комиссия в месяц, млн руб.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6,16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3,54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2,62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6,42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3,71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2,71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6,35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3,98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2,37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6,04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4,02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2,02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6,01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4,31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1,70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5,39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4,05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1,34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5,75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4,44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1,31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Комиссия, % эквайринга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1,53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1,53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1,50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1,50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1,50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1,50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</w:tr>
    </w:tbl>
    <w:p>
      <w:pPr>
        <w:spacing w:after="160" w:before="120" w:line="276" w:lineRule="auto"/>
      </w:pPr>
      <w:r>
        <w:rPr>
          <w:rFonts w:ascii="Times New Roman" w:hAnsi="Times New Roman" w:eastAsia="Times New Roman"/>
          <w:b w:val="0"/>
          <w:sz w:val="20"/>
        </w:rPr>
        <w:t>Единицы: клиенты, поток, точки и терминалы — штуки; сумма транзакций — млрд руб.; ЧОД, финрезультат, АУР, амортизация, IRF и комиссия в месяц — млн руб.; процент эквайринга — проценты.</w:t>
      </w:r>
    </w:p>
    <w:p>
      <w:pPr>
        <w:sectPr>
          <w:pgSz w:w="23811" w:h="16838" w:orient="landscape"/>
          <w:pgMar w:top="794" w:right="680" w:bottom="794" w:left="680" w:header="720" w:footer="720" w:gutter="0"/>
          <w:cols w:space="720"/>
          <w:docGrid w:linePitch="360"/>
        </w:sectPr>
      </w:pPr>
    </w:p>
    <w:p>
      <w:pPr>
        <w:spacing w:after="120" w:before="280" w:line="276" w:lineRule="auto"/>
      </w:pPr>
      <w:r>
        <w:rPr>
          <w:rFonts w:ascii="Times New Roman" w:hAnsi="Times New Roman" w:eastAsia="Times New Roman"/>
          <w:b/>
          <w:sz w:val="28"/>
        </w:rPr>
        <w:t>3. Где сверка уже сошлась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Оборот совпадает все семь месяцев. В июле на компактном листе остаётся −0,02 млрд руб., это около 20 тыс. руб. при обороте 5,94 млрд.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Процент эквайринга совпадает каждый месяц, разница 0,00. Считается он как сумма комиссии с операций, делённая на сумму операций, а не как среднее процента по договорам.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IRF отличается на 0,03–0,77 млн руб. при уровне 55–74 млн. Для ЧОД это сотые и десятые, не основной разрыв.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Активные клиенты. На дашборде активный договор — тот, у кого в месяце есть активный терминал (active_terms больше нуля). Если посчитать на тех же данных методом коллеги, то есть по числу транзакций больше нуля, январь–июль дают то же самое число. От отчёта оба способа отстают на 0 договоров в январе и на 4 в июле. Весь минус по строке «Всего клиентов» (−3 в январе и феврале, −4 в марте–мае, −10 в июне, −14 в июле) сидит в неактивных.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Приток и отток февраля сошлись: 278 и 242 с обеих сторон. Даты отчёта за февраль записаны как день.месяц.год; при чтении наоборот день попадал в номер месяца, и февральские договоры уезжали в другие месяцы. Январский и мартовский отток тоже совпали, мартовский и майский приток тоже.</w:t>
      </w:r>
    </w:p>
    <w:p>
      <w:pPr>
        <w:spacing w:after="120" w:before="280" w:line="276" w:lineRule="auto"/>
      </w:pPr>
      <w:r>
        <w:rPr>
          <w:rFonts w:ascii="Times New Roman" w:hAnsi="Times New Roman" w:eastAsia="Times New Roman"/>
          <w:b/>
          <w:sz w:val="28"/>
        </w:rPr>
        <w:t>4. Почему расходятся ЧОД и финансовый результат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На дашборде ЧОД равен сумме трёх величин: комиссия с операций, комиссия в месяц и IRF. IRF входит со знаком минус. Финансовый результат равен ЧОД минус АУР минус амортизация.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Комиссия с операций в мае и июне с отчётом совпала: совпали и оборот, и процент эквайринга. Месячная комиссия на дашборде выше, и это правило дашборда, а не потерянные операции. Она берётся из аренды MPOS в озере и садится на договор. В отчёте это колонка «Комиссия (₽ в месяц)».</w:t>
      </w:r>
    </w:p>
    <w:p>
      <w:pPr>
        <w:spacing w:after="80" w:before="160" w:line="276" w:lineRule="auto"/>
      </w:pPr>
      <w:r>
        <w:rPr>
          <w:rFonts w:ascii="Times New Roman" w:hAnsi="Times New Roman" w:eastAsia="Times New Roman"/>
          <w:b/>
          <w:sz w:val="24"/>
        </w:rPr>
        <w:t>Май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Оборот 5,50 млрд руб. с обеих сторон, процент эквайринга 1,50 и 1,50. IRF −68,80 против −68,83 млн, дашборд выше на 0,03. Комиссия в месяц 6,01 против 4,31 млн, дашборд выше на 1,70. ЧОД получается 20,20 против 18,33, дашборд выше на 1,87. Из 1,87 млн на месячную комиссию приходится 1,70, на IRF — 0,03, остаток — округление комиссии с операций в компактном виде.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Финрезультат мая раскладывается так. Дашборд: 20,20 − 15,00 − 1,41 = 3,79 млн. Отчёт: 18,33 − 16,09 − 1,12 = 1,12 млн. Разница 2,67 млн складывается из трёх вкладов: ЧОД даёт +1,87, более низкий АУР даёт ещё +1,09, более высокая амортизация забирает 0,29.</w:t>
      </w:r>
    </w:p>
    <w:p>
      <w:pPr>
        <w:spacing w:after="80" w:before="160" w:line="276" w:lineRule="auto"/>
      </w:pPr>
      <w:r>
        <w:rPr>
          <w:rFonts w:ascii="Times New Roman" w:hAnsi="Times New Roman" w:eastAsia="Times New Roman"/>
          <w:b/>
          <w:sz w:val="24"/>
        </w:rPr>
        <w:t>Июнь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Оборот 5,70 млрд руб., процент 1,50 и 1,50. IRF −70,68 против −71,00, дашборд выше на 0,32. Комиссия в месяц 5,39 против 4,05, выше на 1,34. ЧОД 20,36 против 18,74, выше на 1,62. Сумма 1,34 и 0,32 равна 1,66; на листе 1,62, разница в округлении.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Финрезультат июня. Дашборд: 20,36 − 15,41 − 1,58 = 3,37 млн. Отчёт: 18,74 − 16,42 − 1,26 = 1,06 млн. Разница 2,31 млн: ЧОД +1,62, АУР +1,01 к финрезультату, потому что АУР дашборда ниже, амортизация −0,32.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Та же тройка действует и в остальные месяцы. Месячная комиссия выше на 1,3–2,7 млн и тянет ЧОД вверх. АУР дашборда ниже и добавляет к финрезультату. Амортизация дашборда выше и часть этого плюса забирает. Крупнее всего финрезультат расходится в феврале, там самый большой разрыв АУР.</w:t>
      </w:r>
    </w:p>
    <w:p>
      <w:pPr>
        <w:spacing w:after="120" w:before="280" w:line="276" w:lineRule="auto"/>
      </w:pPr>
      <w:r>
        <w:rPr>
          <w:rFonts w:ascii="Times New Roman" w:hAnsi="Times New Roman" w:eastAsia="Times New Roman"/>
          <w:b/>
          <w:sz w:val="28"/>
        </w:rPr>
        <w:t>5. АУР и точки без терминала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Ставка одна и там, и там: 1 926 руб. на точку в месяц. На дашборде в эту ставку входят только точки, на которых в месяце установлен хотя бы один терминал. Оборот для этого не нужен. Точки без терминала в АУР дашборда не входят. В сборке это поле retl_with_term_cnt, умноженное на 1 926.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Проверка отчёта считается так. Число точек, заложенных в АУР отчёта, равно АУР отчёта, делённому на 1 926. Если это число совпало со строкой «Кол-во ТТ» отчёта, отчёт начислил АУР на все точки, включая точки без терминала. Лишние точки — разность: все точки отчёта минус точки с терминалом на дашборде. В рублях тот же список равен (АУР отчёта − АУР дашборда) / 1 926.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Январь эту проверку проходит точно. В отчёте 8 770 точек. 8 770 × 1 926 = 16 890 020 руб., на листе 16,89 млн. Дашборд: 14,84 млн / 1 926 = 7 705 точек с терминалом. Лишние точки без терминала: 8 770 − 7 705 = 1 065. Разрыв АУР 2,05 млн / 1 926 даёт те же 1 065 точек.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Тот же счёт стоит повторить по каждому месяцу. Частное АУР отчёта / 1 926 сравнивается с «Кол-во ТТ» отчёта. В январе числа совпали. В марте 17,44 млн / 1 926 даёт 9 055 точек при 9 054 в отчёте: это то же правило с округлением до 0,01 млн. В феврале, апреле, мае, июне и июле частное и число точек уже не совпадают, поэтому весь рублёвый разрыв этих месяцев нельзя читать как список точек без терминала. Деление разрыва на 1 926 там показывает только, скольким точкам по ставке 1 926 равен рублёвый разрыв.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Апрель отдельно и по самим точкам: 9 137 на дашборде против 9 427 в отчёте, минус 290. В соседних месяцах точки расходятся на единицы. Пока списки точек апреля не сведены, разрыв АУР апреля не стоит целиком относить на точки без терминала.</w:t>
      </w:r>
    </w:p>
    <w:p>
      <w:pPr>
        <w:spacing w:after="120" w:before="280" w:line="276" w:lineRule="auto"/>
      </w:pPr>
      <w:r>
        <w:rPr>
          <w:rFonts w:ascii="Times New Roman" w:hAnsi="Times New Roman" w:eastAsia="Times New Roman"/>
          <w:b/>
          <w:sz w:val="28"/>
        </w:rPr>
        <w:t>6. Амортизация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Амортизация на дашборде — модель озера. Терминал списывается как цена модели, делённая на 48, и только 48 месяцев с даты поставки. Поверх этого амортизация обнуляется у брендов Tactilion, VeriFone, Ingenico и IRAS и у моделей Pax s80, s90 и D210. В отчёте это собственная колонка «Амортизация». После обнуления брендов дашборд всё ещё выше отчёта: в мае на 0,29 млн (1,41 против 1,12), в июне на 0,32 млн (1,58 против 1,26). К колонке отчёта эту модель не подгоняем.</w:t>
      </w:r>
    </w:p>
    <w:p>
      <w:pPr>
        <w:spacing w:after="120" w:before="280" w:line="276" w:lineRule="auto"/>
      </w:pPr>
      <w:r>
        <w:rPr>
          <w:rFonts w:ascii="Times New Roman" w:hAnsi="Times New Roman" w:eastAsia="Times New Roman"/>
          <w:b/>
          <w:sz w:val="28"/>
        </w:rPr>
        <w:t>7. Клиенты, приток и отток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После февраля крупный остаток — отток. Апрель: дашборд 308, отчёт 330, минус 22. Июнь: 217 против 230, минус 13. Июль: 354 против 368, минус 14. По списку договоров это в основном договоры, которые закрыты в отчёте этого месяца и отсутствуют в снимке final_df.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У части июльских договоров дата закрытия и в отчёте, и в последней строке final_df равна 1 июля 2026. В снимке они есть с января по июнь и пропадают в июле. Договор с такой датой в июль входит: условие договора — дата закрытия пустая или не раньше первого числа. Из снимка их убирает терминал типа P: в собранной витрине он должен действовать строго позже первого числа месяца. Закрытие терминала ровно 1 июля этому условию не удовлетворяет, и договор не попадает в июльский отток дашборда. Отчёт считает день закрытия июлем.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Приток после февраля меньше: апрель −1, июнь −5, июль −4. Это единицы договоров, которые есть только в одной из двух таблиц, и пара договоров, у которых месяц открытия в final_df на месяц раньше, чем в отчёте.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Терминалы расходятся на десятки штук. В июле минус 24 при стоке около 10,5 тыс. Торговые точки, кроме апреля, лежат в пределах от −2 до +7.</w:t>
      </w:r>
    </w:p>
    <w:p>
      <w:pPr>
        <w:spacing w:after="120" w:before="280" w:line="276" w:lineRule="auto"/>
      </w:pPr>
      <w:r>
        <w:rPr>
          <w:rFonts w:ascii="Times New Roman" w:hAnsi="Times New Roman" w:eastAsia="Times New Roman"/>
          <w:b/>
          <w:sz w:val="28"/>
        </w:rPr>
        <w:t>8. Итог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Оборот, процент эквайринга и активные клиенты у дашборда и отчёта уже совпадают. IRF отличается на доли миллиона. Февральский приток и отток сошлись.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ЧОД выше из-за месячной комиссии. Это расчёт дашборда по аренде MPOS, его к колонке отчёта не приводим. Финансовый результат выше ещё и потому, что АУР дашборда меньше, и ниже потому, что амортизация дашборда больше. На мае это +1,87, +1,09 и −0,29 млн, итог +2,67. На июне +1,62, +1,01 и −0,32, итог +2,31.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АУР дашборда — точки с установленным терминалом по 1 926 руб. В январе отчёт начисляет те же 1 926 руб. на все 8 770 точек, и 1 065 из них — точки без терминала. Амортизация — модель озера с обнулением названных брендов, не колонка отчёта. Оба правила выбраны и к отчёту не подгоняются.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Оставшийся отток апреля, июня и июля — договоры отчёта, которых нет в месячном снимке final_df. Для закрытия ровно первого числа причина в условии на терминал типа P в уже собранной витрине.</w:t>
      </w:r>
    </w:p>
    <w:sectPr w:rsidR="00FC693F" w:rsidRPr="0006063C" w:rsidSect="00034616">
      <w:pgSz w:w="11906" w:h="16838"/>
      <w:pgMar w:top="1020" w:right="102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20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