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0000"/>
          <w:sz w:val="40"/>
        </w:rPr>
        <w:t>Отчёт по EDA:</w:t>
        <w:br/>
        <w:t>логика определения дефолтности по ФП/СФП</w:t>
      </w:r>
    </w:p>
    <w:p>
      <w:pPr>
        <w:jc w:val="center"/>
      </w:pPr>
      <w:r>
        <w:rPr>
          <w:color w:val="000000"/>
          <w:sz w:val="28"/>
        </w:rPr>
        <w:t>Период анализа: 2023–2025</w:t>
      </w:r>
    </w:p>
    <w:p>
      <w:pPr>
        <w:jc w:val="center"/>
      </w:pPr>
      <w:r>
        <w:rPr>
          <w:i/>
          <w:color w:val="000000"/>
          <w:sz w:val="22"/>
        </w:rPr>
        <w:t>Сегменты: МкБ (микро) · МСБ (малый + средний) · ККБ (ДКБ)</w:t>
      </w:r>
    </w:p>
    <w:p>
      <w:r>
        <w:br w:type="page"/>
      </w:r>
    </w:p>
    <w:p>
      <w:pPr>
        <w:pStyle w:val="Heading1"/>
      </w:pPr>
      <w:r>
        <w:rPr>
          <w:color w:val="000000"/>
        </w:rPr>
        <w:t>Оглавление</w:t>
      </w:r>
    </w:p>
    <w:p>
      <w:r>
        <w:fldChar w:fldCharType="begin"/>
      </w:r>
      <w:r>
        <w:instrText xml:space="preserve"> TOC \o "1-2" \h \z \u </w:instrText>
      </w:r>
      <w:r>
        <w:fldChar w:fldCharType="separate"/>
      </w:r>
      <w:r>
        <w:rPr>
          <w:i/>
          <w:color w:val="808080"/>
          <w:sz w:val="20"/>
        </w:rPr>
        <w:t>(Оглавление — нажмите Ctrl+A, затем F9 для обновления)</w:t>
      </w:r>
      <w:r>
        <w:fldChar w:fldCharType="end"/>
      </w:r>
    </w:p>
    <w:p>
      <w:r>
        <w:br w:type="page"/>
      </w:r>
    </w:p>
    <w:p>
      <w:pPr>
        <w:pStyle w:val="Heading1"/>
      </w:pPr>
      <w:r>
        <w:rPr>
          <w:color w:val="000000"/>
        </w:rPr>
        <w:t>1. Загрузка и подготовка данных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835"/>
        <w:gridCol w:w="1701"/>
        <w:gridCol w:w="5953"/>
      </w:tblGrid>
      <w:tr>
        <w:tc>
          <w:tcPr>
            <w:tcW w:w="2835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Этап</w:t>
            </w:r>
          </w:p>
        </w:tc>
        <w:tc>
          <w:tcPr>
            <w:tcW w:w="1701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Записей</w:t>
            </w:r>
          </w:p>
        </w:tc>
        <w:tc>
          <w:tcPr>
            <w:tcW w:w="5953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Комментарий</w:t>
            </w:r>
          </w:p>
        </w:tc>
      </w:tr>
      <w:tr>
        <w:tc>
          <w:tcPr>
            <w:tcW w:w="2835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Загружено из CRM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1 586 608</w:t>
            </w:r>
          </w:p>
        </w:tc>
        <w:tc>
          <w:tcPr>
            <w:tcW w:w="595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Все записи crm_last_version.csv</w:t>
            </w:r>
          </w:p>
        </w:tc>
      </w:tr>
      <w:tr>
        <w:tc>
          <w:tcPr>
            <w:tcW w:w="2835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Фильтр по источникам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1 354 106</w:t>
            </w:r>
          </w:p>
        </w:tc>
        <w:tc>
          <w:tcPr>
            <w:tcW w:w="595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Источники: Н2.0, Справочник CRM-системы, CRM-система</w:t>
            </w:r>
          </w:p>
        </w:tc>
      </w:tr>
      <w:tr>
        <w:tc>
          <w:tcPr>
            <w:tcW w:w="2835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После дедупликации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106 160</w:t>
            </w:r>
          </w:p>
        </w:tc>
        <w:tc>
          <w:tcPr>
            <w:tcW w:w="595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Ключ: ИНН + номер ФП + тип + дата идентификации</w:t>
            </w:r>
          </w:p>
        </w:tc>
      </w:tr>
      <w:tr>
        <w:tc>
          <w:tcPr>
            <w:tcW w:w="2835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Удалено дубликатов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1 144 085</w:t>
            </w:r>
          </w:p>
        </w:tc>
        <w:tc>
          <w:tcPr>
            <w:tcW w:w="595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Множественные версии одних и тех же событий</w:t>
            </w:r>
          </w:p>
        </w:tc>
      </w:tr>
      <w:tr>
        <w:tc>
          <w:tcPr>
            <w:tcW w:w="2835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Уникальных ИНН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9 919</w:t>
            </w:r>
          </w:p>
        </w:tc>
        <w:tc>
          <w:tcPr>
            <w:tcW w:w="595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Компании с хотя бы одним ФП/СФП</w:t>
            </w:r>
          </w:p>
        </w:tc>
      </w:tr>
    </w:tbl>
    <w:p/>
    <w:p>
      <w:r>
        <w:rPr>
          <w:color w:val="000000"/>
        </w:rPr>
        <w:t>Исходный файл CRM содержит 1 586 608 записей. После фильтрации по релевантным источникам данных (Н2.0, Справочник CRM-системы, CRM-система) остаётся 1 354 106 записей. Дедупликация по составному ключу (ИНН + номер фактора + тип + дата идентификации) сокращает объём до 106 160 уникальных записей. Высокий процент удалённых дубликатов (свыше 90%) является ожидаемым: в сыром CRM-выгрузке хранятся множественные версии и обновления одних и тех же событий. В итоге анализ охватывает 9 919 уникальных ИНН.</w:t>
      </w:r>
    </w:p>
    <w:p>
      <w:pPr>
        <w:pStyle w:val="Heading1"/>
      </w:pPr>
      <w:r>
        <w:rPr>
          <w:color w:val="000000"/>
        </w:rPr>
        <w:t>2. Проверка наличия определяющих факторов</w:t>
      </w:r>
    </w:p>
    <w:p>
      <w:r>
        <w:rPr>
          <w:color w:val="000000"/>
        </w:rPr>
        <w:t>Для каждого сегмента определён набор ФП и СФП, наличие хотя бы одного из которых означает дефолт компании. Ниже проверяется, присутствуют ли эти факторы в данных.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417"/>
        <w:gridCol w:w="850"/>
        <w:gridCol w:w="1701"/>
        <w:gridCol w:w="1417"/>
        <w:gridCol w:w="1417"/>
      </w:tblGrid>
      <w:tr>
        <w:tc>
          <w:tcPr>
            <w:tcW w:w="141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Сегмент</w:t>
            </w:r>
          </w:p>
        </w:tc>
        <w:tc>
          <w:tcPr>
            <w:tcW w:w="85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Тип</w:t>
            </w:r>
          </w:p>
        </w:tc>
        <w:tc>
          <w:tcPr>
            <w:tcW w:w="1701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Фактор</w:t>
            </w:r>
          </w:p>
        </w:tc>
        <w:tc>
          <w:tcPr>
            <w:tcW w:w="141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Найден?</w:t>
            </w:r>
          </w:p>
        </w:tc>
        <w:tc>
          <w:tcPr>
            <w:tcW w:w="141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Записей</w:t>
            </w:r>
          </w:p>
        </w:tc>
      </w:tr>
      <w:tr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МкБ</w:t>
            </w:r>
          </w:p>
        </w:tc>
        <w:tc>
          <w:tcPr>
            <w:tcW w:w="85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FP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13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Да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208</w:t>
            </w:r>
          </w:p>
        </w:tc>
      </w:tr>
      <w:tr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МкБ</w:t>
            </w:r>
          </w:p>
        </w:tc>
        <w:tc>
          <w:tcPr>
            <w:tcW w:w="85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FP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15.1.2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Да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56</w:t>
            </w:r>
          </w:p>
        </w:tc>
      </w:tr>
      <w:tr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МкБ</w:t>
            </w:r>
          </w:p>
        </w:tc>
        <w:tc>
          <w:tcPr>
            <w:tcW w:w="85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SFP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15.2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Да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98</w:t>
            </w:r>
          </w:p>
        </w:tc>
      </w:tr>
      <w:tr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МкБ</w:t>
            </w:r>
          </w:p>
        </w:tc>
        <w:tc>
          <w:tcPr>
            <w:tcW w:w="85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SFP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15.2.1У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Да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</w:t>
            </w:r>
          </w:p>
        </w:tc>
      </w:tr>
      <w:tr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МкБ</w:t>
            </w:r>
          </w:p>
        </w:tc>
        <w:tc>
          <w:tcPr>
            <w:tcW w:w="85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SFP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15.2У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Да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58</w:t>
            </w:r>
          </w:p>
        </w:tc>
      </w:tr>
      <w:tr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МСБ</w:t>
            </w:r>
          </w:p>
        </w:tc>
        <w:tc>
          <w:tcPr>
            <w:tcW w:w="85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FP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13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Да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162</w:t>
            </w:r>
          </w:p>
        </w:tc>
      </w:tr>
      <w:tr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МСБ</w:t>
            </w:r>
          </w:p>
        </w:tc>
        <w:tc>
          <w:tcPr>
            <w:tcW w:w="85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FP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15.1.3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Да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34</w:t>
            </w:r>
          </w:p>
        </w:tc>
      </w:tr>
      <w:tr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МСБ</w:t>
            </w:r>
          </w:p>
        </w:tc>
        <w:tc>
          <w:tcPr>
            <w:tcW w:w="85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SFP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15.2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Да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49</w:t>
            </w:r>
          </w:p>
        </w:tc>
      </w:tr>
      <w:tr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МСБ</w:t>
            </w:r>
          </w:p>
        </w:tc>
        <w:tc>
          <w:tcPr>
            <w:tcW w:w="85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SFP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15.2.1.1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Да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</w:t>
            </w:r>
          </w:p>
        </w:tc>
      </w:tr>
      <w:tr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ККБ</w:t>
            </w:r>
          </w:p>
        </w:tc>
        <w:tc>
          <w:tcPr>
            <w:tcW w:w="85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FP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13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Да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256</w:t>
            </w:r>
          </w:p>
        </w:tc>
      </w:tr>
      <w:tr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ККБ</w:t>
            </w:r>
          </w:p>
        </w:tc>
        <w:tc>
          <w:tcPr>
            <w:tcW w:w="85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FP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13.1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Да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60</w:t>
            </w:r>
          </w:p>
        </w:tc>
      </w:tr>
      <w:tr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ККБ</w:t>
            </w:r>
          </w:p>
        </w:tc>
        <w:tc>
          <w:tcPr>
            <w:tcW w:w="85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FP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15.1.3.1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</w:tr>
      <w:tr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ККБ</w:t>
            </w:r>
          </w:p>
        </w:tc>
        <w:tc>
          <w:tcPr>
            <w:tcW w:w="85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SFP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15.2.1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Да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3</w:t>
            </w:r>
          </w:p>
        </w:tc>
      </w:tr>
      <w:tr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ККБ</w:t>
            </w:r>
          </w:p>
        </w:tc>
        <w:tc>
          <w:tcPr>
            <w:tcW w:w="85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SFP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15.2.1.1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</w:tr>
      <w:tr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ККБ</w:t>
            </w:r>
          </w:p>
        </w:tc>
        <w:tc>
          <w:tcPr>
            <w:tcW w:w="85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SFP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15.2.1.2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</w:tr>
      <w:tr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ККБ</w:t>
            </w:r>
          </w:p>
        </w:tc>
        <w:tc>
          <w:tcPr>
            <w:tcW w:w="85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SFP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15.2.2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</w:tr>
    </w:tbl>
    <w:p/>
    <w:p>
      <w:r>
        <w:rPr>
          <w:color w:val="000000"/>
        </w:rPr>
        <w:t>Все определяющие факторы для сегментов МкБ и МСБ присутствуют в данных. Однако в сегменте ККБ обнаружены 4 отсутствующих фактора:</w:t>
      </w:r>
    </w:p>
    <w:p>
      <w:r>
        <w:rPr>
          <w:color w:val="000000"/>
        </w:rPr>
        <w:t xml:space="preserve">    • ККБ FP 15.1.3.1 — не найден в данных;</w:t>
      </w:r>
    </w:p>
    <w:p>
      <w:r>
        <w:rPr>
          <w:color w:val="000000"/>
        </w:rPr>
        <w:t xml:space="preserve">    • ККБ SFP 15.2.1.1 — не найден в данных;</w:t>
      </w:r>
    </w:p>
    <w:p>
      <w:r>
        <w:rPr>
          <w:color w:val="000000"/>
        </w:rPr>
        <w:t xml:space="preserve">    • ККБ SFP 15.2.1.2 — не найден в данных;</w:t>
      </w:r>
    </w:p>
    <w:p>
      <w:r>
        <w:rPr>
          <w:color w:val="000000"/>
        </w:rPr>
        <w:t xml:space="preserve">    • ККБ SFP 15.2.2 — не найден в данных.</w:t>
      </w:r>
    </w:p>
    <w:p>
      <w:r>
        <w:rPr>
          <w:color w:val="000000"/>
        </w:rPr>
        <w:t>Таким образом, дефолты в ККБ фактически определяются только тремя факторами: 13 и 13.1 (FP), а также 15.2.1 (SFP). Отсутствие четырёх из семи заявленных определяющих факторов может влиять на полноту идентификации дефолтов в сегменте ККБ.</w:t>
      </w:r>
    </w:p>
    <w:p>
      <w:pPr>
        <w:pStyle w:val="Heading1"/>
      </w:pPr>
      <w:r>
        <w:rPr>
          <w:color w:val="000000"/>
        </w:rPr>
        <w:t>3. Определение дефолта</w:t>
      </w:r>
    </w:p>
    <w:p>
      <w:r>
        <w:rPr>
          <w:color w:val="000000"/>
        </w:rPr>
        <w:t>Компания считается дефолтной, если в её истории ФП/СФП присутствует хотя бы один определяющий фактор из набора, специфичного для её сегмента. Датой дефолта считается дата первого появления такого определяющего фактора.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984"/>
        <w:gridCol w:w="2268"/>
        <w:gridCol w:w="1984"/>
        <w:gridCol w:w="1984"/>
      </w:tblGrid>
      <w:tr>
        <w:tc>
          <w:tcPr>
            <w:tcW w:w="198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Сегмент</w:t>
            </w:r>
          </w:p>
        </w:tc>
        <w:tc>
          <w:tcPr>
            <w:tcW w:w="2268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Всего компаний</w:t>
            </w:r>
          </w:p>
        </w:tc>
        <w:tc>
          <w:tcPr>
            <w:tcW w:w="198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Дефолтных</w:t>
            </w:r>
          </w:p>
        </w:tc>
        <w:tc>
          <w:tcPr>
            <w:tcW w:w="198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Вер. дефолта</w:t>
            </w:r>
          </w:p>
        </w:tc>
      </w:tr>
      <w:tr>
        <w:tc>
          <w:tcPr>
            <w:tcW w:w="198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МкБ</w:t>
            </w:r>
          </w:p>
        </w:tc>
        <w:tc>
          <w:tcPr>
            <w:tcW w:w="2268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6 541</w:t>
            </w:r>
          </w:p>
        </w:tc>
        <w:tc>
          <w:tcPr>
            <w:tcW w:w="198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260</w:t>
            </w:r>
          </w:p>
        </w:tc>
        <w:tc>
          <w:tcPr>
            <w:tcW w:w="198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3,97%</w:t>
            </w:r>
          </w:p>
        </w:tc>
      </w:tr>
      <w:tr>
        <w:tc>
          <w:tcPr>
            <w:tcW w:w="198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МСБ</w:t>
            </w:r>
          </w:p>
        </w:tc>
        <w:tc>
          <w:tcPr>
            <w:tcW w:w="2268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2 267</w:t>
            </w:r>
          </w:p>
        </w:tc>
        <w:tc>
          <w:tcPr>
            <w:tcW w:w="198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122</w:t>
            </w:r>
          </w:p>
        </w:tc>
        <w:tc>
          <w:tcPr>
            <w:tcW w:w="198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5,38%</w:t>
            </w:r>
          </w:p>
        </w:tc>
      </w:tr>
      <w:tr>
        <w:tc>
          <w:tcPr>
            <w:tcW w:w="198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ККБ</w:t>
            </w:r>
          </w:p>
        </w:tc>
        <w:tc>
          <w:tcPr>
            <w:tcW w:w="2268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1 111</w:t>
            </w:r>
          </w:p>
        </w:tc>
        <w:tc>
          <w:tcPr>
            <w:tcW w:w="198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157</w:t>
            </w:r>
          </w:p>
        </w:tc>
        <w:tc>
          <w:tcPr>
            <w:tcW w:w="198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14,13%</w:t>
            </w:r>
          </w:p>
        </w:tc>
      </w:tr>
      <w:tr>
        <w:tc>
          <w:tcPr>
            <w:tcW w:w="198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ИТОГО</w:t>
            </w:r>
          </w:p>
        </w:tc>
        <w:tc>
          <w:tcPr>
            <w:tcW w:w="2268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9 919</w:t>
            </w:r>
          </w:p>
        </w:tc>
        <w:tc>
          <w:tcPr>
            <w:tcW w:w="198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539</w:t>
            </w:r>
          </w:p>
        </w:tc>
        <w:tc>
          <w:tcPr>
            <w:tcW w:w="198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5,43%</w:t>
            </w:r>
          </w:p>
        </w:tc>
      </w:tr>
    </w:tbl>
    <w:p/>
    <w:p>
      <w:r>
        <w:rPr>
          <w:color w:val="000000"/>
        </w:rPr>
        <w:t>Наибольшая вероятность дефолта наблюдается в сегменте ККБ (14,13%), несмотря на то, что в этом сегменте наименьшее количество компаний. В МкБ вероятность дефолта составляет 3,97%, в МСБ — 5,38%. Общая вероятность дефолта по всей выборке — 5,43%.</w:t>
      </w:r>
    </w:p>
    <w:p>
      <w:pPr>
        <w:pStyle w:val="Heading2"/>
      </w:pPr>
      <w:r>
        <w:rPr>
          <w:color w:val="000000"/>
        </w:rPr>
        <w:t>Первый определяющий фактор</w:t>
      </w:r>
    </w:p>
    <w:p>
      <w:r>
        <w:rPr>
          <w:color w:val="000000"/>
        </w:rPr>
        <w:t>Для каждой дефолтной компании определён фактор, который первым вызвал присвоение статуса дефолта.</w:t>
      </w:r>
    </w:p>
    <w:p>
      <w:r>
        <w:rPr>
          <w:color w:val="000000"/>
        </w:rPr>
        <w:t>МкБ: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701"/>
        <w:gridCol w:w="1134"/>
        <w:gridCol w:w="1701"/>
        <w:gridCol w:w="1417"/>
      </w:tblGrid>
      <w:tr>
        <w:tc>
          <w:tcPr>
            <w:tcW w:w="1701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Фактор</w:t>
            </w:r>
          </w:p>
        </w:tc>
        <w:tc>
          <w:tcPr>
            <w:tcW w:w="113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Тип</w:t>
            </w:r>
          </w:p>
        </w:tc>
        <w:tc>
          <w:tcPr>
            <w:tcW w:w="1701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Количество</w:t>
            </w:r>
          </w:p>
        </w:tc>
        <w:tc>
          <w:tcPr>
            <w:tcW w:w="141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Доля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13</w:t>
            </w:r>
          </w:p>
        </w:tc>
        <w:tc>
          <w:tcPr>
            <w:tcW w:w="113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141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54,2%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15.2</w:t>
            </w:r>
          </w:p>
        </w:tc>
        <w:tc>
          <w:tcPr>
            <w:tcW w:w="113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СФП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66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25,4%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15.2У</w:t>
            </w:r>
          </w:p>
        </w:tc>
        <w:tc>
          <w:tcPr>
            <w:tcW w:w="113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СФП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42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16,2%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15.1.2</w:t>
            </w:r>
          </w:p>
        </w:tc>
        <w:tc>
          <w:tcPr>
            <w:tcW w:w="113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9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3,5%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15.2.1У</w:t>
            </w:r>
          </w:p>
        </w:tc>
        <w:tc>
          <w:tcPr>
            <w:tcW w:w="113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СФП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0,8%</w:t>
            </w:r>
          </w:p>
        </w:tc>
      </w:tr>
    </w:tbl>
    <w:p/>
    <w:p>
      <w:r>
        <w:rPr>
          <w:color w:val="000000"/>
        </w:rPr>
        <w:t>МСБ: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701"/>
        <w:gridCol w:w="1134"/>
        <w:gridCol w:w="1701"/>
        <w:gridCol w:w="1417"/>
      </w:tblGrid>
      <w:tr>
        <w:tc>
          <w:tcPr>
            <w:tcW w:w="1701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Фактор</w:t>
            </w:r>
          </w:p>
        </w:tc>
        <w:tc>
          <w:tcPr>
            <w:tcW w:w="113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Тип</w:t>
            </w:r>
          </w:p>
        </w:tc>
        <w:tc>
          <w:tcPr>
            <w:tcW w:w="1701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Количество</w:t>
            </w:r>
          </w:p>
        </w:tc>
        <w:tc>
          <w:tcPr>
            <w:tcW w:w="141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Доля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13</w:t>
            </w:r>
          </w:p>
        </w:tc>
        <w:tc>
          <w:tcPr>
            <w:tcW w:w="113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94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77,0%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15.2</w:t>
            </w:r>
          </w:p>
        </w:tc>
        <w:tc>
          <w:tcPr>
            <w:tcW w:w="113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СФП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22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18,0%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15.1.3</w:t>
            </w:r>
          </w:p>
        </w:tc>
        <w:tc>
          <w:tcPr>
            <w:tcW w:w="113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5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4,1%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15.2.1.1</w:t>
            </w:r>
          </w:p>
        </w:tc>
        <w:tc>
          <w:tcPr>
            <w:tcW w:w="113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СФП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0,8%</w:t>
            </w:r>
          </w:p>
        </w:tc>
      </w:tr>
    </w:tbl>
    <w:p/>
    <w:p>
      <w:r>
        <w:rPr>
          <w:color w:val="000000"/>
        </w:rPr>
        <w:t>ККБ: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701"/>
        <w:gridCol w:w="1134"/>
        <w:gridCol w:w="1701"/>
        <w:gridCol w:w="1417"/>
      </w:tblGrid>
      <w:tr>
        <w:tc>
          <w:tcPr>
            <w:tcW w:w="1701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Фактор</w:t>
            </w:r>
          </w:p>
        </w:tc>
        <w:tc>
          <w:tcPr>
            <w:tcW w:w="113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Тип</w:t>
            </w:r>
          </w:p>
        </w:tc>
        <w:tc>
          <w:tcPr>
            <w:tcW w:w="1701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Количество</w:t>
            </w:r>
          </w:p>
        </w:tc>
        <w:tc>
          <w:tcPr>
            <w:tcW w:w="141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Доля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13</w:t>
            </w:r>
          </w:p>
        </w:tc>
        <w:tc>
          <w:tcPr>
            <w:tcW w:w="113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116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73,9%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13.1</w:t>
            </w:r>
          </w:p>
        </w:tc>
        <w:tc>
          <w:tcPr>
            <w:tcW w:w="113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39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24,8%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15.2.1</w:t>
            </w:r>
          </w:p>
        </w:tc>
        <w:tc>
          <w:tcPr>
            <w:tcW w:w="113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СФП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1,3%</w:t>
            </w:r>
          </w:p>
        </w:tc>
      </w:tr>
    </w:tbl>
    <w:p/>
    <w:p>
      <w:r>
        <w:rPr>
          <w:color w:val="000000"/>
        </w:rPr>
        <w:t>Фактор 13 (ФП) является доминирующим определяющим фактором во всех трёх сегментах, вызывая от 54% до 77% всех дефолтов. В МкБ значительную роль также играют СФП-факторы 15.2 и 15.2У, которые суммарно определяют 41,6% дефолтов. В ККБ дефолты почти исключительно вызваны ФП-факторами (98,7%), что связано с отсутствием в данных большинства заявленных СФП-факторов для этого сегмента.</w:t>
      </w:r>
    </w:p>
    <w:p>
      <w:pPr>
        <w:pStyle w:val="Heading1"/>
      </w:pPr>
      <w:r>
        <w:rPr>
          <w:color w:val="000000"/>
        </w:rPr>
        <w:t>3.1. Минимальное окно наблюдений</w:t>
      </w:r>
    </w:p>
    <w:p>
      <w:r>
        <w:rPr>
          <w:color w:val="000000"/>
        </w:rPr>
        <w:t>Для корректного построения предикторного датасета необходимо, чтобы до момента дефолта прошло достаточно времени для накопления наблюдаемых ФП-предикторов. Если дефолт произошёл в самом начале анализируемого периода, то у компании не было достаточной истории ФП — включение таких случаев исказит анализ. Ниже оценивается влияние различных окон наблюдения на потерю дефолтов.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417"/>
        <w:gridCol w:w="2268"/>
        <w:gridCol w:w="2268"/>
        <w:gridCol w:w="2268"/>
        <w:gridCol w:w="2268"/>
      </w:tblGrid>
      <w:tr>
        <w:tc>
          <w:tcPr>
            <w:tcW w:w="141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Окно</w:t>
            </w:r>
          </w:p>
        </w:tc>
        <w:tc>
          <w:tcPr>
            <w:tcW w:w="2268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МкБ</w:t>
            </w:r>
          </w:p>
        </w:tc>
        <w:tc>
          <w:tcPr>
            <w:tcW w:w="2268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МСБ</w:t>
            </w:r>
          </w:p>
        </w:tc>
        <w:tc>
          <w:tcPr>
            <w:tcW w:w="2268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ККБ</w:t>
            </w:r>
          </w:p>
        </w:tc>
        <w:tc>
          <w:tcPr>
            <w:tcW w:w="2268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ИТОГО</w:t>
            </w:r>
          </w:p>
        </w:tc>
      </w:tr>
      <w:tr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Без огр.</w:t>
            </w:r>
          </w:p>
        </w:tc>
        <w:tc>
          <w:tcPr>
            <w:tcW w:w="2268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260/260 (−0%)</w:t>
            </w:r>
          </w:p>
        </w:tc>
        <w:tc>
          <w:tcPr>
            <w:tcW w:w="2268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122/122 (−0%)</w:t>
            </w:r>
          </w:p>
        </w:tc>
        <w:tc>
          <w:tcPr>
            <w:tcW w:w="2268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157/157 (−0%)</w:t>
            </w:r>
          </w:p>
        </w:tc>
        <w:tc>
          <w:tcPr>
            <w:tcW w:w="2268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539/539 (−0%)</w:t>
            </w:r>
          </w:p>
        </w:tc>
      </w:tr>
      <w:tr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≥3 мес.</w:t>
            </w:r>
          </w:p>
        </w:tc>
        <w:tc>
          <w:tcPr>
            <w:tcW w:w="2268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241/260 (−7%)</w:t>
            </w:r>
          </w:p>
        </w:tc>
        <w:tc>
          <w:tcPr>
            <w:tcW w:w="2268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118/122 (−3%)</w:t>
            </w:r>
          </w:p>
        </w:tc>
        <w:tc>
          <w:tcPr>
            <w:tcW w:w="2268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141/157 (−10%)</w:t>
            </w:r>
          </w:p>
        </w:tc>
        <w:tc>
          <w:tcPr>
            <w:tcW w:w="2268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500/539 (−7%)</w:t>
            </w:r>
          </w:p>
        </w:tc>
      </w:tr>
      <w:tr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≥6 мес.</w:t>
            </w:r>
          </w:p>
        </w:tc>
        <w:tc>
          <w:tcPr>
            <w:tcW w:w="2268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233/260 (−10%)</w:t>
            </w:r>
          </w:p>
        </w:tc>
        <w:tc>
          <w:tcPr>
            <w:tcW w:w="2268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115/122 (−6%)</w:t>
            </w:r>
          </w:p>
        </w:tc>
        <w:tc>
          <w:tcPr>
            <w:tcW w:w="2268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134/157 (−15%)</w:t>
            </w:r>
          </w:p>
        </w:tc>
        <w:tc>
          <w:tcPr>
            <w:tcW w:w="2268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482/539 (−11%)</w:t>
            </w:r>
          </w:p>
        </w:tc>
      </w:tr>
      <w:tr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≥12 мес.</w:t>
            </w:r>
          </w:p>
        </w:tc>
        <w:tc>
          <w:tcPr>
            <w:tcW w:w="2268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203/260 (−22%)</w:t>
            </w:r>
          </w:p>
        </w:tc>
        <w:tc>
          <w:tcPr>
            <w:tcW w:w="2268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103/122 (−16%)</w:t>
            </w:r>
          </w:p>
        </w:tc>
        <w:tc>
          <w:tcPr>
            <w:tcW w:w="2268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122/157 (−22%)</w:t>
            </w:r>
          </w:p>
        </w:tc>
        <w:tc>
          <w:tcPr>
            <w:tcW w:w="2268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428/539 (−21%)</w:t>
            </w:r>
          </w:p>
        </w:tc>
      </w:tr>
    </w:tbl>
    <w:p/>
    <w:p>
      <w:r>
        <w:rPr>
          <w:color w:val="000000"/>
        </w:rPr>
        <w:t>Выбрано окно 3 месяца. После применения фильтра исключено 39 ранних дефолтов. Итого: 9 880 компаний, 500 дефолтных, вероятность дефолта 5,06%.</w:t>
      </w:r>
    </w:p>
    <w:p>
      <w:r>
        <w:rPr>
          <w:color w:val="000000"/>
        </w:rPr>
        <w:t>Трёхмесячный интервал выбран как компромисс: потеря дефолтов составляет всего 7% (39 из 539), при этом обеспечивается минимум 3 месяца наблюдаемой истории ФП для каждой дефолтной компании. Окно в 6 месяцев уже приводит к потере 11% дефолтов, а 12 месяцев — к потере 21%, что чрезмерно агрессивно. Сегмент ККБ теряет наибольшую долю (−10% при 3 месяцах), что заслуживает внимания с учётом и без того небольшого размера выборки в этом сегменте.</w:t>
      </w:r>
    </w:p>
    <w:p>
      <w:pPr>
        <w:pStyle w:val="Heading1"/>
      </w:pPr>
      <w:r>
        <w:rPr>
          <w:color w:val="000000"/>
        </w:rPr>
        <w:t>4. Временной фильтр (anti-data-leakage)</w:t>
      </w:r>
    </w:p>
    <w:p>
      <w:r>
        <w:rPr>
          <w:color w:val="000000"/>
        </w:rPr>
        <w:t>Для предотвращения «утечки данных из будущего» из датасета исключаются все записи ФП, дата которых наступает после даты дефолта компании. Для недефолтных компаний в качестве референсной даты используется конец анализируемого периода (31.12.2025).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3969"/>
        <w:gridCol w:w="2835"/>
      </w:tblGrid>
      <w:tr>
        <w:tc>
          <w:tcPr>
            <w:tcW w:w="3969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Показатель</w:t>
            </w:r>
          </w:p>
        </w:tc>
        <w:tc>
          <w:tcPr>
            <w:tcW w:w="2835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Значение</w:t>
            </w:r>
          </w:p>
        </w:tc>
      </w:tr>
      <w:tr>
        <w:tc>
          <w:tcPr>
            <w:tcW w:w="3969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До фильтра</w:t>
            </w:r>
          </w:p>
        </w:tc>
        <w:tc>
          <w:tcPr>
            <w:tcW w:w="2835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105 113</w:t>
            </w:r>
          </w:p>
        </w:tc>
      </w:tr>
      <w:tr>
        <w:tc>
          <w:tcPr>
            <w:tcW w:w="3969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После фильтра</w:t>
            </w:r>
          </w:p>
        </w:tc>
        <w:tc>
          <w:tcPr>
            <w:tcW w:w="2835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99 653</w:t>
            </w:r>
          </w:p>
        </w:tc>
      </w:tr>
      <w:tr>
        <w:tc>
          <w:tcPr>
            <w:tcW w:w="3969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Отсечено</w:t>
            </w:r>
          </w:p>
        </w:tc>
        <w:tc>
          <w:tcPr>
            <w:tcW w:w="2835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5 460</w:t>
            </w:r>
          </w:p>
        </w:tc>
      </w:tr>
      <w:tr>
        <w:tc>
          <w:tcPr>
            <w:tcW w:w="3969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Исключено определяющих факторов</w:t>
            </w:r>
          </w:p>
        </w:tc>
        <w:tc>
          <w:tcPr>
            <w:tcW w:w="2835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</w:tr>
      <w:tr>
        <w:tc>
          <w:tcPr>
            <w:tcW w:w="3969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Предикторов в датасете</w:t>
            </w:r>
          </w:p>
        </w:tc>
        <w:tc>
          <w:tcPr>
            <w:tcW w:w="2835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99 653</w:t>
            </w:r>
          </w:p>
        </w:tc>
      </w:tr>
    </w:tbl>
    <w:p/>
    <w:p>
      <w:r>
        <w:rPr>
          <w:color w:val="000000"/>
        </w:rPr>
        <w:t>Временной фильтр отсекает лишь 5 460 записей (5,2% от общего объёма). Это свидетельствует о том, что подавляющее большинство ФП-записей приходится на период ДО дефолта. Малая доля отсечённых записей подтверждает корректность выбранного подхода — анализ ФП, предшествующих дефолту, захватывает практически весь предиктивный сигнал. Нулевое значение исключённых определяющих факторов ожидаемо: временной фильтр (дата &lt; дата дефолта) автоматически удаляет сам определяющий фактор, поскольку дата дефолта совпадает с датой его появления.</w:t>
      </w:r>
    </w:p>
    <w:p>
      <w:pPr>
        <w:pStyle w:val="Heading1"/>
      </w:pPr>
      <w:r>
        <w:rPr>
          <w:color w:val="000000"/>
        </w:rPr>
        <w:t>4.1. Потеря записей при временном фильтре</w:t>
      </w:r>
    </w:p>
    <w:p>
      <w:r>
        <w:rPr>
          <w:color w:val="000000"/>
        </w:rPr>
        <w:t>Для дефолтных компаний оценивается, какая доля ФП-записей приходится на период до дефолта и после него.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417"/>
        <w:gridCol w:w="1701"/>
        <w:gridCol w:w="1701"/>
        <w:gridCol w:w="1984"/>
        <w:gridCol w:w="1984"/>
      </w:tblGrid>
      <w:tr>
        <w:tc>
          <w:tcPr>
            <w:tcW w:w="141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Сегмент</w:t>
            </w:r>
          </w:p>
        </w:tc>
        <w:tc>
          <w:tcPr>
            <w:tcW w:w="1701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Всего ФП</w:t>
            </w:r>
          </w:p>
        </w:tc>
        <w:tc>
          <w:tcPr>
            <w:tcW w:w="1701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До дефолта</w:t>
            </w:r>
          </w:p>
        </w:tc>
        <w:tc>
          <w:tcPr>
            <w:tcW w:w="198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После дефолта</w:t>
            </w:r>
          </w:p>
        </w:tc>
        <w:tc>
          <w:tcPr>
            <w:tcW w:w="198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% отсечённых</w:t>
            </w:r>
          </w:p>
        </w:tc>
      </w:tr>
      <w:tr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МкБ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4 763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2 270</w:t>
            </w:r>
          </w:p>
        </w:tc>
        <w:tc>
          <w:tcPr>
            <w:tcW w:w="198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2 493</w:t>
            </w:r>
          </w:p>
        </w:tc>
        <w:tc>
          <w:tcPr>
            <w:tcW w:w="198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52,3%</w:t>
            </w:r>
          </w:p>
        </w:tc>
      </w:tr>
      <w:tr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МСБ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3 313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1 613</w:t>
            </w:r>
          </w:p>
        </w:tc>
        <w:tc>
          <w:tcPr>
            <w:tcW w:w="198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1 700</w:t>
            </w:r>
          </w:p>
        </w:tc>
        <w:tc>
          <w:tcPr>
            <w:tcW w:w="198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51,3%</w:t>
            </w:r>
          </w:p>
        </w:tc>
      </w:tr>
      <w:tr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ККБ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3 303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2 037</w:t>
            </w:r>
          </w:p>
        </w:tc>
        <w:tc>
          <w:tcPr>
            <w:tcW w:w="198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1 266</w:t>
            </w:r>
          </w:p>
        </w:tc>
        <w:tc>
          <w:tcPr>
            <w:tcW w:w="198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38,3%</w:t>
            </w:r>
          </w:p>
        </w:tc>
      </w:tr>
      <w:tr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ИТОГО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11 379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5 920</w:t>
            </w:r>
          </w:p>
        </w:tc>
        <w:tc>
          <w:tcPr>
            <w:tcW w:w="198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5 459</w:t>
            </w:r>
          </w:p>
        </w:tc>
        <w:tc>
          <w:tcPr>
            <w:tcW w:w="198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48,0%</w:t>
            </w:r>
          </w:p>
        </w:tc>
      </w:tr>
    </w:tbl>
    <w:p/>
    <w:p>
      <w:r>
        <w:rPr>
          <w:color w:val="000000"/>
        </w:rPr>
        <w:t>Среднее количество ФП на дефолтную компанию: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268"/>
        <w:gridCol w:w="2268"/>
        <w:gridCol w:w="2268"/>
      </w:tblGrid>
      <w:tr>
        <w:tc>
          <w:tcPr>
            <w:tcW w:w="2268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Сегмент</w:t>
            </w:r>
          </w:p>
        </w:tc>
        <w:tc>
          <w:tcPr>
            <w:tcW w:w="2268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До дефолта</w:t>
            </w:r>
          </w:p>
        </w:tc>
        <w:tc>
          <w:tcPr>
            <w:tcW w:w="2268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После дефолта</w:t>
            </w:r>
          </w:p>
        </w:tc>
      </w:tr>
      <w:tr>
        <w:tc>
          <w:tcPr>
            <w:tcW w:w="2268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МкБ</w:t>
            </w:r>
          </w:p>
        </w:tc>
        <w:tc>
          <w:tcPr>
            <w:tcW w:w="2268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9,4</w:t>
            </w:r>
          </w:p>
        </w:tc>
        <w:tc>
          <w:tcPr>
            <w:tcW w:w="2268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10,3</w:t>
            </w:r>
          </w:p>
        </w:tc>
      </w:tr>
      <w:tr>
        <w:tc>
          <w:tcPr>
            <w:tcW w:w="2268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МСБ</w:t>
            </w:r>
          </w:p>
        </w:tc>
        <w:tc>
          <w:tcPr>
            <w:tcW w:w="2268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13,7</w:t>
            </w:r>
          </w:p>
        </w:tc>
        <w:tc>
          <w:tcPr>
            <w:tcW w:w="2268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14,4</w:t>
            </w:r>
          </w:p>
        </w:tc>
      </w:tr>
      <w:tr>
        <w:tc>
          <w:tcPr>
            <w:tcW w:w="2268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ККБ</w:t>
            </w:r>
          </w:p>
        </w:tc>
        <w:tc>
          <w:tcPr>
            <w:tcW w:w="2268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14,4</w:t>
            </w:r>
          </w:p>
        </w:tc>
        <w:tc>
          <w:tcPr>
            <w:tcW w:w="2268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9,0</w:t>
            </w:r>
          </w:p>
        </w:tc>
      </w:tr>
    </w:tbl>
    <w:p/>
    <w:p>
      <w:r>
        <w:rPr>
          <w:color w:val="000000"/>
        </w:rPr>
        <w:t>Всего для дефолтных компаний зафиксировано 11 379 ФП-записей, из которых примерно половина (48%) приходится на период после дефолта. В ККБ доля отсечённых записей ниже (38,3%), что означает: в этом сегменте бо́льшая часть ФП регистрируется до наступления дефолта — компании ККБ накапливают больше предупреждающих сигналов перед дефолтом.</w:t>
      </w:r>
    </w:p>
    <w:p>
      <w:pPr>
        <w:pStyle w:val="Heading1"/>
      </w:pPr>
      <w:r>
        <w:rPr>
          <w:color w:val="000000"/>
        </w:rPr>
        <w:t>5. Pivot-датасет</w:t>
      </w:r>
    </w:p>
    <w:p>
      <w:r>
        <w:rPr>
          <w:color w:val="000000"/>
        </w:rPr>
        <w:t>На основе отфильтрованных ФП-предикторов формируется wide-формат датасета: строки — компании, столбцы — бинарные признаки наличия каждого уникального ФП.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835"/>
        <w:gridCol w:w="5670"/>
      </w:tblGrid>
      <w:tr>
        <w:tc>
          <w:tcPr>
            <w:tcW w:w="2835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Показатель</w:t>
            </w:r>
          </w:p>
        </w:tc>
        <w:tc>
          <w:tcPr>
            <w:tcW w:w="567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Значение</w:t>
            </w:r>
          </w:p>
        </w:tc>
      </w:tr>
      <w:tr>
        <w:tc>
          <w:tcPr>
            <w:tcW w:w="2835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Размер датасета</w:t>
            </w:r>
          </w:p>
        </w:tc>
        <w:tc>
          <w:tcPr>
            <w:tcW w:w="567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9 836 компаний × 272 ФП</w:t>
            </w:r>
          </w:p>
        </w:tc>
      </w:tr>
      <w:tr>
        <w:tc>
          <w:tcPr>
            <w:tcW w:w="2835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Дефолтных компаний</w:t>
            </w:r>
          </w:p>
        </w:tc>
        <w:tc>
          <w:tcPr>
            <w:tcW w:w="567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456</w:t>
            </w:r>
          </w:p>
        </w:tc>
      </w:tr>
      <w:tr>
        <w:tc>
          <w:tcPr>
            <w:tcW w:w="2835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Вероятность дефолта</w:t>
            </w:r>
          </w:p>
        </w:tc>
        <w:tc>
          <w:tcPr>
            <w:tcW w:w="567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4,64%</w:t>
            </w:r>
          </w:p>
        </w:tc>
      </w:tr>
      <w:tr>
        <w:tc>
          <w:tcPr>
            <w:tcW w:w="2835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МкБ</w:t>
            </w:r>
          </w:p>
        </w:tc>
        <w:tc>
          <w:tcPr>
            <w:tcW w:w="567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6 500 комп., 219 деф. (3,37%)</w:t>
            </w:r>
          </w:p>
        </w:tc>
      </w:tr>
      <w:tr>
        <w:tc>
          <w:tcPr>
            <w:tcW w:w="2835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МСБ</w:t>
            </w:r>
          </w:p>
        </w:tc>
        <w:tc>
          <w:tcPr>
            <w:tcW w:w="567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2 253 комп., 108 деф. (4,79%)</w:t>
            </w:r>
          </w:p>
        </w:tc>
      </w:tr>
      <w:tr>
        <w:tc>
          <w:tcPr>
            <w:tcW w:w="2835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ККБ</w:t>
            </w:r>
          </w:p>
        </w:tc>
        <w:tc>
          <w:tcPr>
            <w:tcW w:w="567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1 083 комп., 129 деф. (11,91%)</w:t>
            </w:r>
          </w:p>
        </w:tc>
      </w:tr>
    </w:tbl>
    <w:p/>
    <w:p>
      <w:pPr>
        <w:pStyle w:val="Heading2"/>
      </w:pPr>
      <w:r>
        <w:rPr>
          <w:color w:val="000000"/>
        </w:rPr>
        <w:t>«Внезапные» дефолты</w:t>
      </w:r>
    </w:p>
    <w:p>
      <w:r>
        <w:rPr>
          <w:color w:val="000000"/>
        </w:rPr>
        <w:t>«Внезапные» дефолты — это компании, которые дефолтнули, но до даты дефолта у них не было ни одного ФП-предиктора. Единственным зафиксированным событием оказался сам определяющий фактор, вызвавший дефолт. Для таких компаний предсказание дефолта по предшествующим ФП принципиально невозможно.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3402"/>
        <w:gridCol w:w="3402"/>
      </w:tblGrid>
      <w:tr>
        <w:tc>
          <w:tcPr>
            <w:tcW w:w="3402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Показатель</w:t>
            </w:r>
          </w:p>
        </w:tc>
        <w:tc>
          <w:tcPr>
            <w:tcW w:w="3402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Значение</w:t>
            </w:r>
          </w:p>
        </w:tc>
      </w:tr>
      <w:tr>
        <w:tc>
          <w:tcPr>
            <w:tcW w:w="3402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Всего «внезапных» дефолтов</w:t>
            </w:r>
          </w:p>
        </w:tc>
        <w:tc>
          <w:tcPr>
            <w:tcW w:w="3402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44 из 500 (8,8%)</w:t>
            </w:r>
          </w:p>
        </w:tc>
      </w:tr>
      <w:tr>
        <w:tc>
          <w:tcPr>
            <w:tcW w:w="3402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МкБ</w:t>
            </w:r>
          </w:p>
        </w:tc>
        <w:tc>
          <w:tcPr>
            <w:tcW w:w="3402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22 из 241</w:t>
            </w:r>
          </w:p>
        </w:tc>
      </w:tr>
      <w:tr>
        <w:tc>
          <w:tcPr>
            <w:tcW w:w="3402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МСБ</w:t>
            </w:r>
          </w:p>
        </w:tc>
        <w:tc>
          <w:tcPr>
            <w:tcW w:w="3402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10 из 118</w:t>
            </w:r>
          </w:p>
        </w:tc>
      </w:tr>
      <w:tr>
        <w:tc>
          <w:tcPr>
            <w:tcW w:w="3402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ККБ</w:t>
            </w:r>
          </w:p>
        </w:tc>
        <w:tc>
          <w:tcPr>
            <w:tcW w:w="3402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12 из 141</w:t>
            </w:r>
          </w:p>
        </w:tc>
      </w:tr>
    </w:tbl>
    <w:p/>
    <w:p>
      <w:r>
        <w:rPr>
          <w:color w:val="000000"/>
        </w:rPr>
        <w:t>Из 500 дефолтных компаний 44 (8,8%) являются «внезапными» — у них не было наблюдаемых ФП-предикторов до момента дефолта. Эти компании не попадают в pivot-датасет и не участвуют в дальнейшем анализе предикторов. Оставшиеся 456 дефолтных компаний имеют наблюдаемую историю ФП и формируют основу для анализа факторов-предикторов.</w:t>
      </w:r>
    </w:p>
    <w:p>
      <w:pPr>
        <w:pStyle w:val="Heading1"/>
      </w:pPr>
      <w:r>
        <w:rPr>
          <w:color w:val="000000"/>
        </w:rPr>
        <w:t>6. Распределение числа ФП-предикторов</w:t>
      </w:r>
    </w:p>
    <w:p>
      <w:r>
        <w:rPr>
          <w:color w:val="000000"/>
        </w:rPr>
        <w:t>Для каждого сегмента построены гистограммы распределения количества уникальных ФП-предикторов у дефолтных и недефолтных компаний (плотность).</w:t>
      </w:r>
    </w:p>
    <w:p>
      <w:r>
        <w:rPr>
          <w:color w:val="000000"/>
        </w:rPr>
        <w:t>Во всех сегментах прослеживается устойчивая тенденция: дефолтные компании имеют бо́льшее количество уникальных ФП-предикторов по сравнению с недефолтными. Распределения пересекаются, но гистограммы дефолтных компаний смещены вправо.</w:t>
      </w:r>
    </w:p>
    <w:p>
      <w:r>
        <w:rPr>
          <w:color w:val="000000"/>
        </w:rPr>
        <w:t>В МкБ недефолтные компании сконцентрированы в диапазоне 1–3 ФП, тогда как дефолтные имеют более широкое распределение, простирающееся до 8–10 ФП. В МСБ наблюдается аналогичная картина: дефолтные компании демонстрируют тяжёлый правый хвост, достигающий 14–16 ФП. В ККБ обе группы имеют широкие распределения, однако дефолтные компании заметно смещены в сторону бо́льших значений.</w:t>
      </w:r>
    </w:p>
    <w:p>
      <w:r>
        <w:rPr>
          <w:color w:val="000000"/>
        </w:rPr>
        <w:t>Данный анализ подтверждает гипотезу о том, что накопление ФП-предикторов связано с повышенной вероятностью дефолта.</w:t>
      </w:r>
    </w:p>
    <w:p>
      <w:pPr>
        <w:pStyle w:val="Heading1"/>
      </w:pPr>
      <w:r>
        <w:rPr>
          <w:color w:val="000000"/>
        </w:rPr>
        <w:t>7. Динамика дефолтов по месяцам и кварталам</w:t>
      </w:r>
    </w:p>
    <w:p>
      <w:r>
        <w:rPr>
          <w:color w:val="000000"/>
        </w:rPr>
        <w:t>Построены два графика: помесячная динамика дефолтов (линейный график) и поквартальная динамика (столбчатая диаграмма с группировкой по сегментам). Ниже приведена детальная таблица помесячных значений.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701"/>
        <w:gridCol w:w="1417"/>
        <w:gridCol w:w="1417"/>
        <w:gridCol w:w="1417"/>
        <w:gridCol w:w="1417"/>
      </w:tblGrid>
      <w:tr>
        <w:tc>
          <w:tcPr>
            <w:tcW w:w="1701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Месяц</w:t>
            </w:r>
          </w:p>
        </w:tc>
        <w:tc>
          <w:tcPr>
            <w:tcW w:w="141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МкБ</w:t>
            </w:r>
          </w:p>
        </w:tc>
        <w:tc>
          <w:tcPr>
            <w:tcW w:w="141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МСБ</w:t>
            </w:r>
          </w:p>
        </w:tc>
        <w:tc>
          <w:tcPr>
            <w:tcW w:w="141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ККБ</w:t>
            </w:r>
          </w:p>
        </w:tc>
        <w:tc>
          <w:tcPr>
            <w:tcW w:w="141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Итого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2023-04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4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3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7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2023-05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2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4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2023-06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2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2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3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7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2023-07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2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5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7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2023-08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5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5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2023-09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9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3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4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16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2023-10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5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7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2023-11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4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4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8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2023-12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5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4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2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11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2024-01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2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2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2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6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2024-02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2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2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4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2024-03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2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2024-04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2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2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5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2024-05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2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3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2024-06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2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2024-07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2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4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2024-08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24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14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39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2024-09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5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5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21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2024-10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6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6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5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17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2024-11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40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14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5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59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2024-12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39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8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4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51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2025-01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27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7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45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2025-02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6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2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9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2025-03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2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2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16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20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2025-04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2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2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3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7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2025-05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2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15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17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2025-06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3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20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24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2025-07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3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2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9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14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2025-08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3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4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2025-09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9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5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4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18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2025-10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12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4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6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22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2025-11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5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4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9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2025-12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9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8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9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26</w:t>
            </w:r>
          </w:p>
        </w:tc>
      </w:tr>
    </w:tbl>
    <w:p/>
    <w:p>
      <w:r>
        <w:rPr>
          <w:color w:val="000000"/>
        </w:rPr>
        <w:t>Динамика дефолтов крайне неравномерна. Резкий всплеск наблюдается в IV квартале 2024 года: в ноябре зафиксировано 59 дефолтов (из них 40 в МкБ), в декабре — 51. В I квартале 2025 года активность смещается: в январе 45 дефолтов с заметным вкладом ККБ (11). В мае–июне 2025 года сегмент ККБ демонстрирует нехарактерно высокое число дефолтов (15 и 20 соответственно). Кластеризация дефолтов в отдельных периодах может свидетельствовать о влиянии внешних макроэкономических факторов или о пакетном присвоении статуса проблемности.</w:t>
      </w:r>
    </w:p>
    <w:p>
      <w:pPr>
        <w:pStyle w:val="Heading1"/>
      </w:pPr>
      <w:r>
        <w:rPr>
          <w:color w:val="000000"/>
        </w:rPr>
        <w:t>8. Корреляции ФП (phi-коэффициент)</w:t>
      </w:r>
    </w:p>
    <w:p>
      <w:r>
        <w:rPr>
          <w:color w:val="000000"/>
        </w:rPr>
        <w:t>Для каждого сегмента построена корреляционная матрица (heatmap) между бинарными признаками наличия ФП у компании. Используется phi-коэффициент — аналог коэффициента Пирсона для бинарных переменных. Он показывает, насколько часто два фактора проблемности встречаются совместно у одной и той же компании.</w:t>
      </w:r>
    </w:p>
    <w:p>
      <w:r>
        <w:rPr>
          <w:color w:val="000000"/>
        </w:rPr>
        <w:t>Значения phi-коэффициента находятся в диапазоне от −1 до +1. Положительная корреляция означает, что факторы имеют тенденцию появляться вместе, возможно, будучи вызванными одной и той же корневой причиной. Отрицательная корреляция указывает на взаимоисключающий характер факторов. Порог |r| &gt; 0,3 принят в качестве ориентира для выделения существенных корреляций.</w:t>
      </w:r>
    </w:p>
    <w:p>
      <w:r>
        <w:rPr>
          <w:color w:val="000000"/>
        </w:rPr>
        <w:t>МкБ (6 500 компаний) — 7 пар с |r| &gt; 0,3: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268"/>
        <w:gridCol w:w="2268"/>
        <w:gridCol w:w="1701"/>
      </w:tblGrid>
      <w:tr>
        <w:tc>
          <w:tcPr>
            <w:tcW w:w="2268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ФП_1</w:t>
            </w:r>
          </w:p>
        </w:tc>
        <w:tc>
          <w:tcPr>
            <w:tcW w:w="2268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ФП_2</w:t>
            </w:r>
          </w:p>
        </w:tc>
        <w:tc>
          <w:tcPr>
            <w:tcW w:w="1701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r</w:t>
            </w:r>
          </w:p>
        </w:tc>
      </w:tr>
      <w:tr>
        <w:tc>
          <w:tcPr>
            <w:tcW w:w="2268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26.1.1</w:t>
            </w:r>
          </w:p>
        </w:tc>
        <w:tc>
          <w:tcPr>
            <w:tcW w:w="2268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26.1.2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0,452</w:t>
            </w:r>
          </w:p>
        </w:tc>
      </w:tr>
      <w:tr>
        <w:tc>
          <w:tcPr>
            <w:tcW w:w="2268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16.4У</w:t>
            </w:r>
          </w:p>
        </w:tc>
        <w:tc>
          <w:tcPr>
            <w:tcW w:w="2268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16.5У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0,365</w:t>
            </w:r>
          </w:p>
        </w:tc>
      </w:tr>
      <w:tr>
        <w:tc>
          <w:tcPr>
            <w:tcW w:w="2268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28.2У</w:t>
            </w:r>
          </w:p>
        </w:tc>
        <w:tc>
          <w:tcPr>
            <w:tcW w:w="2268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28.1У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0,331</w:t>
            </w:r>
          </w:p>
        </w:tc>
      </w:tr>
      <w:tr>
        <w:tc>
          <w:tcPr>
            <w:tcW w:w="2268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16.1</w:t>
            </w:r>
          </w:p>
        </w:tc>
        <w:tc>
          <w:tcPr>
            <w:tcW w:w="2268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16.2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0,318</w:t>
            </w:r>
          </w:p>
        </w:tc>
      </w:tr>
      <w:tr>
        <w:tc>
          <w:tcPr>
            <w:tcW w:w="2268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26.1.1</w:t>
            </w:r>
          </w:p>
        </w:tc>
        <w:tc>
          <w:tcPr>
            <w:tcW w:w="2268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16.1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0,312</w:t>
            </w:r>
          </w:p>
        </w:tc>
      </w:tr>
      <w:tr>
        <w:tc>
          <w:tcPr>
            <w:tcW w:w="2268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16.4У</w:t>
            </w:r>
          </w:p>
        </w:tc>
        <w:tc>
          <w:tcPr>
            <w:tcW w:w="2268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15.1У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0,305</w:t>
            </w:r>
          </w:p>
        </w:tc>
      </w:tr>
      <w:tr>
        <w:tc>
          <w:tcPr>
            <w:tcW w:w="2268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28.2У</w:t>
            </w:r>
          </w:p>
        </w:tc>
        <w:tc>
          <w:tcPr>
            <w:tcW w:w="2268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26У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0,303</w:t>
            </w:r>
          </w:p>
        </w:tc>
      </w:tr>
    </w:tbl>
    <w:p/>
    <w:p>
      <w:r>
        <w:rPr>
          <w:color w:val="000000"/>
        </w:rPr>
        <w:t>МСБ (2 253 компании) — 6 пар с |r| &gt; 0,3: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268"/>
        <w:gridCol w:w="2268"/>
        <w:gridCol w:w="1701"/>
      </w:tblGrid>
      <w:tr>
        <w:tc>
          <w:tcPr>
            <w:tcW w:w="2268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ФП_1</w:t>
            </w:r>
          </w:p>
        </w:tc>
        <w:tc>
          <w:tcPr>
            <w:tcW w:w="2268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ФП_2</w:t>
            </w:r>
          </w:p>
        </w:tc>
        <w:tc>
          <w:tcPr>
            <w:tcW w:w="1701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r</w:t>
            </w:r>
          </w:p>
        </w:tc>
      </w:tr>
      <w:tr>
        <w:tc>
          <w:tcPr>
            <w:tcW w:w="2268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16.1</w:t>
            </w:r>
          </w:p>
        </w:tc>
        <w:tc>
          <w:tcPr>
            <w:tcW w:w="2268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37.2.1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0,417</w:t>
            </w:r>
          </w:p>
        </w:tc>
      </w:tr>
      <w:tr>
        <w:tc>
          <w:tcPr>
            <w:tcW w:w="2268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26.1.1</w:t>
            </w:r>
          </w:p>
        </w:tc>
        <w:tc>
          <w:tcPr>
            <w:tcW w:w="2268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26.1.2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0,375</w:t>
            </w:r>
          </w:p>
        </w:tc>
      </w:tr>
      <w:tr>
        <w:tc>
          <w:tcPr>
            <w:tcW w:w="2268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29.13.1</w:t>
            </w:r>
          </w:p>
        </w:tc>
        <w:tc>
          <w:tcPr>
            <w:tcW w:w="2268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29132.II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0,334</w:t>
            </w:r>
          </w:p>
        </w:tc>
      </w:tr>
      <w:tr>
        <w:tc>
          <w:tcPr>
            <w:tcW w:w="2268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26.2</w:t>
            </w:r>
          </w:p>
        </w:tc>
        <w:tc>
          <w:tcPr>
            <w:tcW w:w="2268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26.1.2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0,312</w:t>
            </w:r>
          </w:p>
        </w:tc>
      </w:tr>
      <w:tr>
        <w:tc>
          <w:tcPr>
            <w:tcW w:w="2268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28.9.1</w:t>
            </w:r>
          </w:p>
        </w:tc>
        <w:tc>
          <w:tcPr>
            <w:tcW w:w="2268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28.9.2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0,310</w:t>
            </w:r>
          </w:p>
        </w:tc>
      </w:tr>
      <w:tr>
        <w:tc>
          <w:tcPr>
            <w:tcW w:w="2268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28.2У</w:t>
            </w:r>
          </w:p>
        </w:tc>
        <w:tc>
          <w:tcPr>
            <w:tcW w:w="2268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26У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0,301</w:t>
            </w:r>
          </w:p>
        </w:tc>
      </w:tr>
    </w:tbl>
    <w:p/>
    <w:p>
      <w:r>
        <w:rPr>
          <w:color w:val="000000"/>
        </w:rPr>
        <w:t>ККБ (1 083 компании) — 7 пар с |r| &gt; 0,3: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268"/>
        <w:gridCol w:w="2268"/>
        <w:gridCol w:w="1701"/>
      </w:tblGrid>
      <w:tr>
        <w:tc>
          <w:tcPr>
            <w:tcW w:w="2268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ФП_1</w:t>
            </w:r>
          </w:p>
        </w:tc>
        <w:tc>
          <w:tcPr>
            <w:tcW w:w="2268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ФП_2</w:t>
            </w:r>
          </w:p>
        </w:tc>
        <w:tc>
          <w:tcPr>
            <w:tcW w:w="1701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r</w:t>
            </w:r>
          </w:p>
        </w:tc>
      </w:tr>
      <w:tr>
        <w:tc>
          <w:tcPr>
            <w:tcW w:w="2268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29.13.1</w:t>
            </w:r>
          </w:p>
        </w:tc>
        <w:tc>
          <w:tcPr>
            <w:tcW w:w="2268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29.13.3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0,512</w:t>
            </w:r>
          </w:p>
        </w:tc>
      </w:tr>
      <w:tr>
        <w:tc>
          <w:tcPr>
            <w:tcW w:w="2268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53.</w:t>
            </w:r>
          </w:p>
        </w:tc>
        <w:tc>
          <w:tcPr>
            <w:tcW w:w="2268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26.1.1.1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0,428</w:t>
            </w:r>
          </w:p>
        </w:tc>
      </w:tr>
      <w:tr>
        <w:tc>
          <w:tcPr>
            <w:tcW w:w="2268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29.1.1.1</w:t>
            </w:r>
          </w:p>
        </w:tc>
        <w:tc>
          <w:tcPr>
            <w:tcW w:w="2268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29.1.1.2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0,401</w:t>
            </w:r>
          </w:p>
        </w:tc>
      </w:tr>
      <w:tr>
        <w:tc>
          <w:tcPr>
            <w:tcW w:w="2268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42.1.1.1</w:t>
            </w:r>
          </w:p>
        </w:tc>
        <w:tc>
          <w:tcPr>
            <w:tcW w:w="2268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39.1.1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0,390</w:t>
            </w:r>
          </w:p>
        </w:tc>
      </w:tr>
      <w:tr>
        <w:tc>
          <w:tcPr>
            <w:tcW w:w="2268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29.1.1</w:t>
            </w:r>
          </w:p>
        </w:tc>
        <w:tc>
          <w:tcPr>
            <w:tcW w:w="2268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29.1.1.1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0,355</w:t>
            </w:r>
          </w:p>
        </w:tc>
      </w:tr>
      <w:tr>
        <w:tc>
          <w:tcPr>
            <w:tcW w:w="2268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29.1.1</w:t>
            </w:r>
          </w:p>
        </w:tc>
        <w:tc>
          <w:tcPr>
            <w:tcW w:w="2268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42.1.1.1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0,323</w:t>
            </w:r>
          </w:p>
        </w:tc>
      </w:tr>
      <w:tr>
        <w:tc>
          <w:tcPr>
            <w:tcW w:w="2268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29.1.1</w:t>
            </w:r>
          </w:p>
        </w:tc>
        <w:tc>
          <w:tcPr>
            <w:tcW w:w="2268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29.1.1.2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0,313</w:t>
            </w:r>
          </w:p>
        </w:tc>
      </w:tr>
    </w:tbl>
    <w:p/>
    <w:p>
      <w:r>
        <w:rPr>
          <w:color w:val="000000"/>
        </w:rPr>
        <w:t>Большинство коррелированных пар представляют собой подварианты одного семейства факторов (например, 26.1.1/26.1.2, 29.13.1/29.13.3, 28.9.1/28.9.2). Это ожидаемо: родственные факторы отражают связанные бизнес-условия и часто срабатывают одновременно. Наиболее сильная единичная корреляция — 0,512 для пары 29.13.1/29.13.3 в ККБ. В целом уровень корреляций умеренный — серьёзных проблем мультиколлинеарности не выявлено.</w:t>
      </w:r>
    </w:p>
    <w:p>
      <w:pPr>
        <w:pStyle w:val="Heading1"/>
      </w:pPr>
      <w:r>
        <w:rPr>
          <w:color w:val="000000"/>
        </w:rPr>
        <w:t>9. Кросс-таблицы и Lift</w:t>
      </w:r>
    </w:p>
    <w:p>
      <w:r>
        <w:rPr>
          <w:color w:val="000000"/>
        </w:rPr>
        <w:t>Для каждого сегмента построена кросс-таблица, оценивающая связь каждого отдельного ФП-предиктора с дефолтом. Столбцы таблицы имеют следующее значение:</w:t>
      </w:r>
    </w:p>
    <w:p>
      <w:r>
        <w:rPr>
          <w:color w:val="000000"/>
        </w:rPr>
        <w:t xml:space="preserve">    • ФП — номер фактора проблемности;</w:t>
        <w:br/>
        <w:t xml:space="preserve">    • Комп. — количество компаний, у которых данный ФП зафиксирован;</w:t>
        <w:br/>
        <w:t xml:space="preserve">    • % — доля таких компаний от общего числа компаний в сегменте;</w:t>
        <w:br/>
        <w:t xml:space="preserve">    • Деф. — количество дефолтных компаний среди них;</w:t>
        <w:br/>
        <w:t xml:space="preserve">    • Вер. деф. % — вероятность дефолта среди компаний с данным ФП;</w:t>
        <w:br/>
        <w:t xml:space="preserve">    • Lift — отношение вероятности дефолта с ФП к базовой вероятности дефолта сегмента.</w:t>
      </w:r>
    </w:p>
    <w:p>
      <w:r>
        <w:rPr>
          <w:color w:val="000000"/>
        </w:rPr>
        <w:t>Lift (подъём) — ключевая метрика данного анализа. Рассчитывается как:</w:t>
        <w:br/>
        <w:br/>
        <w:t xml:space="preserve">    Lift = (Вер. дефолта среди компаний с ФП) / (Базовая вер. дефолта сегмента)</w:t>
        <w:br/>
        <w:br/>
        <w:t>Lift &gt; 1 означает, что наличие данного ФП повышает вероятность дефолта; Lift &gt; 2 — вероятность дефолта более чем удваивается. Для обеспечения статистической надёжности отображаются только факторы, при которых зафиксировано не менее 3 дефолтов.</w:t>
      </w:r>
    </w:p>
    <w:p>
      <w:r>
        <w:rPr>
          <w:color w:val="000000"/>
        </w:rPr>
        <w:t>МкБ (базовая вер. дефолта = 3,37%, 6 500 компаний):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247"/>
        <w:gridCol w:w="1020"/>
        <w:gridCol w:w="1020"/>
        <w:gridCol w:w="850"/>
        <w:gridCol w:w="1417"/>
        <w:gridCol w:w="963"/>
      </w:tblGrid>
      <w:tr>
        <w:tc>
          <w:tcPr>
            <w:tcW w:w="124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ФП</w:t>
            </w:r>
          </w:p>
        </w:tc>
        <w:tc>
          <w:tcPr>
            <w:tcW w:w="102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Комп.</w:t>
            </w:r>
          </w:p>
        </w:tc>
        <w:tc>
          <w:tcPr>
            <w:tcW w:w="102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%</w:t>
            </w:r>
          </w:p>
        </w:tc>
        <w:tc>
          <w:tcPr>
            <w:tcW w:w="85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Деф.</w:t>
            </w:r>
          </w:p>
        </w:tc>
        <w:tc>
          <w:tcPr>
            <w:tcW w:w="141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Вер.деф.%</w:t>
            </w:r>
          </w:p>
        </w:tc>
        <w:tc>
          <w:tcPr>
            <w:tcW w:w="963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Lift</w:t>
            </w:r>
          </w:p>
        </w:tc>
      </w:tr>
      <w:tr>
        <w:tc>
          <w:tcPr>
            <w:tcW w:w="1247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15.1.1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381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5,86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42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11,02</w:t>
            </w:r>
          </w:p>
        </w:tc>
        <w:tc>
          <w:tcPr>
            <w:tcW w:w="963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3,27</w:t>
            </w:r>
          </w:p>
        </w:tc>
      </w:tr>
      <w:tr>
        <w:tc>
          <w:tcPr>
            <w:tcW w:w="1247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15.1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612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9,42</w:t>
            </w:r>
          </w:p>
        </w:tc>
        <w:tc>
          <w:tcPr>
            <w:tcW w:w="85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63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10,29</w:t>
            </w:r>
          </w:p>
        </w:tc>
        <w:tc>
          <w:tcPr>
            <w:tcW w:w="963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3,06</w:t>
            </w:r>
          </w:p>
        </w:tc>
      </w:tr>
      <w:tr>
        <w:tc>
          <w:tcPr>
            <w:tcW w:w="1247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22.2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39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0,60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4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10,26</w:t>
            </w:r>
          </w:p>
        </w:tc>
        <w:tc>
          <w:tcPr>
            <w:tcW w:w="963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3,04</w:t>
            </w:r>
          </w:p>
        </w:tc>
      </w:tr>
      <w:tr>
        <w:tc>
          <w:tcPr>
            <w:tcW w:w="1247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29.9.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33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0,51</w:t>
            </w:r>
          </w:p>
        </w:tc>
        <w:tc>
          <w:tcPr>
            <w:tcW w:w="85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3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9,09</w:t>
            </w:r>
          </w:p>
        </w:tc>
        <w:tc>
          <w:tcPr>
            <w:tcW w:w="963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2,70</w:t>
            </w:r>
          </w:p>
        </w:tc>
      </w:tr>
      <w:tr>
        <w:tc>
          <w:tcPr>
            <w:tcW w:w="1247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14.3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101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1,55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9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8,91</w:t>
            </w:r>
          </w:p>
        </w:tc>
        <w:tc>
          <w:tcPr>
            <w:tcW w:w="963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2,64</w:t>
            </w:r>
          </w:p>
        </w:tc>
      </w:tr>
      <w:tr>
        <w:tc>
          <w:tcPr>
            <w:tcW w:w="1247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37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81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1,25</w:t>
            </w:r>
          </w:p>
        </w:tc>
        <w:tc>
          <w:tcPr>
            <w:tcW w:w="85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7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8,64</w:t>
            </w:r>
          </w:p>
        </w:tc>
        <w:tc>
          <w:tcPr>
            <w:tcW w:w="963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2,56</w:t>
            </w:r>
          </w:p>
        </w:tc>
      </w:tr>
      <w:tr>
        <w:tc>
          <w:tcPr>
            <w:tcW w:w="1247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23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99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1,52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8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8,08</w:t>
            </w:r>
          </w:p>
        </w:tc>
        <w:tc>
          <w:tcPr>
            <w:tcW w:w="963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2,40</w:t>
            </w:r>
          </w:p>
        </w:tc>
      </w:tr>
      <w:tr>
        <w:tc>
          <w:tcPr>
            <w:tcW w:w="1247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16.2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142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2,18</w:t>
            </w:r>
          </w:p>
        </w:tc>
        <w:tc>
          <w:tcPr>
            <w:tcW w:w="85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7,75</w:t>
            </w:r>
          </w:p>
        </w:tc>
        <w:tc>
          <w:tcPr>
            <w:tcW w:w="963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2,30</w:t>
            </w:r>
          </w:p>
        </w:tc>
      </w:tr>
      <w:tr>
        <w:tc>
          <w:tcPr>
            <w:tcW w:w="1247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14.3.1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269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4,14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20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7,43</w:t>
            </w:r>
          </w:p>
        </w:tc>
        <w:tc>
          <w:tcPr>
            <w:tcW w:w="963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2,21</w:t>
            </w:r>
          </w:p>
        </w:tc>
      </w:tr>
      <w:tr>
        <w:tc>
          <w:tcPr>
            <w:tcW w:w="1247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15.1У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308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4,74</w:t>
            </w:r>
          </w:p>
        </w:tc>
        <w:tc>
          <w:tcPr>
            <w:tcW w:w="85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21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6,82</w:t>
            </w:r>
          </w:p>
        </w:tc>
        <w:tc>
          <w:tcPr>
            <w:tcW w:w="963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2,02</w:t>
            </w:r>
          </w:p>
        </w:tc>
      </w:tr>
      <w:tr>
        <w:tc>
          <w:tcPr>
            <w:tcW w:w="1247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14.3.2.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60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0,92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4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6,67</w:t>
            </w:r>
          </w:p>
        </w:tc>
        <w:tc>
          <w:tcPr>
            <w:tcW w:w="963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1,98</w:t>
            </w:r>
          </w:p>
        </w:tc>
      </w:tr>
      <w:tr>
        <w:tc>
          <w:tcPr>
            <w:tcW w:w="1247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14.3У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99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1,52</w:t>
            </w:r>
          </w:p>
        </w:tc>
        <w:tc>
          <w:tcPr>
            <w:tcW w:w="85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6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6,06</w:t>
            </w:r>
          </w:p>
        </w:tc>
        <w:tc>
          <w:tcPr>
            <w:tcW w:w="963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1,80</w:t>
            </w:r>
          </w:p>
        </w:tc>
      </w:tr>
      <w:tr>
        <w:tc>
          <w:tcPr>
            <w:tcW w:w="1247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16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459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7,06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26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5,66</w:t>
            </w:r>
          </w:p>
        </w:tc>
        <w:tc>
          <w:tcPr>
            <w:tcW w:w="963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1,68</w:t>
            </w:r>
          </w:p>
        </w:tc>
      </w:tr>
      <w:tr>
        <w:tc>
          <w:tcPr>
            <w:tcW w:w="1247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28.4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487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7,49</w:t>
            </w:r>
          </w:p>
        </w:tc>
        <w:tc>
          <w:tcPr>
            <w:tcW w:w="85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26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5,34</w:t>
            </w:r>
          </w:p>
        </w:tc>
        <w:tc>
          <w:tcPr>
            <w:tcW w:w="963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1,58</w:t>
            </w:r>
          </w:p>
        </w:tc>
      </w:tr>
      <w:tr>
        <w:tc>
          <w:tcPr>
            <w:tcW w:w="1247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26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1 948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29,97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94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4,83</w:t>
            </w:r>
          </w:p>
        </w:tc>
        <w:tc>
          <w:tcPr>
            <w:tcW w:w="963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1,43</w:t>
            </w:r>
          </w:p>
        </w:tc>
      </w:tr>
      <w:tr>
        <w:tc>
          <w:tcPr>
            <w:tcW w:w="1247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16.1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1 113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17,12</w:t>
            </w:r>
          </w:p>
        </w:tc>
        <w:tc>
          <w:tcPr>
            <w:tcW w:w="85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52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4,67</w:t>
            </w:r>
          </w:p>
        </w:tc>
        <w:tc>
          <w:tcPr>
            <w:tcW w:w="963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1,39</w:t>
            </w:r>
          </w:p>
        </w:tc>
      </w:tr>
      <w:tr>
        <w:tc>
          <w:tcPr>
            <w:tcW w:w="1247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29.1.1.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65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1,00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3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4,62</w:t>
            </w:r>
          </w:p>
        </w:tc>
        <w:tc>
          <w:tcPr>
            <w:tcW w:w="963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1,37</w:t>
            </w:r>
          </w:p>
        </w:tc>
      </w:tr>
      <w:tr>
        <w:tc>
          <w:tcPr>
            <w:tcW w:w="1247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26.2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242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3,72</w:t>
            </w:r>
          </w:p>
        </w:tc>
        <w:tc>
          <w:tcPr>
            <w:tcW w:w="85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4,55</w:t>
            </w:r>
          </w:p>
        </w:tc>
        <w:tc>
          <w:tcPr>
            <w:tcW w:w="963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1,35</w:t>
            </w:r>
          </w:p>
        </w:tc>
      </w:tr>
      <w:tr>
        <w:tc>
          <w:tcPr>
            <w:tcW w:w="1247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22.1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1 458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22,43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58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3,98</w:t>
            </w:r>
          </w:p>
        </w:tc>
        <w:tc>
          <w:tcPr>
            <w:tcW w:w="963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1,18</w:t>
            </w:r>
          </w:p>
        </w:tc>
      </w:tr>
      <w:tr>
        <w:tc>
          <w:tcPr>
            <w:tcW w:w="1247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28.9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2 588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39,82</w:t>
            </w:r>
          </w:p>
        </w:tc>
        <w:tc>
          <w:tcPr>
            <w:tcW w:w="85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102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3,94</w:t>
            </w:r>
          </w:p>
        </w:tc>
        <w:tc>
          <w:tcPr>
            <w:tcW w:w="963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1,17</w:t>
            </w:r>
          </w:p>
        </w:tc>
      </w:tr>
    </w:tbl>
    <w:p/>
    <w:p>
      <w:r>
        <w:rPr>
          <w:color w:val="000000"/>
        </w:rPr>
        <w:t>МСБ (базовая вер. дефолта = 4,79%, 2 253 компании):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417"/>
        <w:gridCol w:w="1020"/>
        <w:gridCol w:w="1020"/>
        <w:gridCol w:w="850"/>
        <w:gridCol w:w="1417"/>
        <w:gridCol w:w="850"/>
      </w:tblGrid>
      <w:tr>
        <w:tc>
          <w:tcPr>
            <w:tcW w:w="141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ФП</w:t>
            </w:r>
          </w:p>
        </w:tc>
        <w:tc>
          <w:tcPr>
            <w:tcW w:w="102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Комп.</w:t>
            </w:r>
          </w:p>
        </w:tc>
        <w:tc>
          <w:tcPr>
            <w:tcW w:w="102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%</w:t>
            </w:r>
          </w:p>
        </w:tc>
        <w:tc>
          <w:tcPr>
            <w:tcW w:w="85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Деф.</w:t>
            </w:r>
          </w:p>
        </w:tc>
        <w:tc>
          <w:tcPr>
            <w:tcW w:w="141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Вер.деф.%</w:t>
            </w:r>
          </w:p>
        </w:tc>
        <w:tc>
          <w:tcPr>
            <w:tcW w:w="85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Lift</w:t>
            </w:r>
          </w:p>
        </w:tc>
      </w:tr>
      <w:tr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13.1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40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1,78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25,00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5,22</w:t>
            </w:r>
          </w:p>
        </w:tc>
      </w:tr>
      <w:tr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29133III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29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1,29</w:t>
            </w:r>
          </w:p>
        </w:tc>
        <w:tc>
          <w:tcPr>
            <w:tcW w:w="85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5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17,24</w:t>
            </w:r>
          </w:p>
        </w:tc>
        <w:tc>
          <w:tcPr>
            <w:tcW w:w="85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3,60</w:t>
            </w:r>
          </w:p>
        </w:tc>
      </w:tr>
      <w:tr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15.1.1.1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57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2,53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9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15,79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3,29</w:t>
            </w:r>
          </w:p>
        </w:tc>
      </w:tr>
      <w:tr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29.1.1.1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26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1,15</w:t>
            </w:r>
          </w:p>
        </w:tc>
        <w:tc>
          <w:tcPr>
            <w:tcW w:w="85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4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15,38</w:t>
            </w:r>
          </w:p>
        </w:tc>
        <w:tc>
          <w:tcPr>
            <w:tcW w:w="85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3,21</w:t>
            </w:r>
          </w:p>
        </w:tc>
      </w:tr>
      <w:tr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16.1.1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54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2,40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8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14,81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3,09</w:t>
            </w:r>
          </w:p>
        </w:tc>
      </w:tr>
      <w:tr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15.1.2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207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9,19</w:t>
            </w:r>
          </w:p>
        </w:tc>
        <w:tc>
          <w:tcPr>
            <w:tcW w:w="85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19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9,18</w:t>
            </w:r>
          </w:p>
        </w:tc>
        <w:tc>
          <w:tcPr>
            <w:tcW w:w="85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1,91</w:t>
            </w:r>
          </w:p>
        </w:tc>
      </w:tr>
      <w:tr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14.3.2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33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1,46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3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9,09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1,90</w:t>
            </w:r>
          </w:p>
        </w:tc>
      </w:tr>
      <w:tr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29.1.1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71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3,15</w:t>
            </w:r>
          </w:p>
        </w:tc>
        <w:tc>
          <w:tcPr>
            <w:tcW w:w="85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6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8,45</w:t>
            </w:r>
          </w:p>
        </w:tc>
        <w:tc>
          <w:tcPr>
            <w:tcW w:w="85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1,76</w:t>
            </w:r>
          </w:p>
        </w:tc>
      </w:tr>
      <w:tr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29132.II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61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2,71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5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8,20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1,71</w:t>
            </w:r>
          </w:p>
        </w:tc>
      </w:tr>
      <w:tr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28.9.1.1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49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2,17</w:t>
            </w:r>
          </w:p>
        </w:tc>
        <w:tc>
          <w:tcPr>
            <w:tcW w:w="85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4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8,16</w:t>
            </w:r>
          </w:p>
        </w:tc>
        <w:tc>
          <w:tcPr>
            <w:tcW w:w="85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1,70</w:t>
            </w:r>
          </w:p>
        </w:tc>
      </w:tr>
      <w:tr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24.4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712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31,60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53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7,44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1,55</w:t>
            </w:r>
          </w:p>
        </w:tc>
      </w:tr>
      <w:tr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14.3.1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143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6,35</w:t>
            </w:r>
          </w:p>
        </w:tc>
        <w:tc>
          <w:tcPr>
            <w:tcW w:w="85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9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6,29</w:t>
            </w:r>
          </w:p>
        </w:tc>
        <w:tc>
          <w:tcPr>
            <w:tcW w:w="85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1,31</w:t>
            </w:r>
          </w:p>
        </w:tc>
      </w:tr>
      <w:tr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24.1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237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10,52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14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5,91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1,23</w:t>
            </w:r>
          </w:p>
        </w:tc>
      </w:tr>
      <w:tr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26.2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831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36,88</w:t>
            </w:r>
          </w:p>
        </w:tc>
        <w:tc>
          <w:tcPr>
            <w:tcW w:w="85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48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5,78</w:t>
            </w:r>
          </w:p>
        </w:tc>
        <w:tc>
          <w:tcPr>
            <w:tcW w:w="85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1,20</w:t>
            </w:r>
          </w:p>
        </w:tc>
      </w:tr>
      <w:tr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53.1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407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18,06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23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5,65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1,18</w:t>
            </w:r>
          </w:p>
        </w:tc>
      </w:tr>
      <w:tr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29.2.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406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18,02</w:t>
            </w:r>
          </w:p>
        </w:tc>
        <w:tc>
          <w:tcPr>
            <w:tcW w:w="85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22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5,42</w:t>
            </w:r>
          </w:p>
        </w:tc>
        <w:tc>
          <w:tcPr>
            <w:tcW w:w="85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1,13</w:t>
            </w:r>
          </w:p>
        </w:tc>
      </w:tr>
      <w:tr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53.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1 165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51,71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59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5,06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1,06</w:t>
            </w:r>
          </w:p>
        </w:tc>
      </w:tr>
      <w:tr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24.2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383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17,00</w:t>
            </w:r>
          </w:p>
        </w:tc>
        <w:tc>
          <w:tcPr>
            <w:tcW w:w="85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19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4,96</w:t>
            </w:r>
          </w:p>
        </w:tc>
        <w:tc>
          <w:tcPr>
            <w:tcW w:w="85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1,03</w:t>
            </w:r>
          </w:p>
        </w:tc>
      </w:tr>
      <w:tr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28.9.3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1 011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44,87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50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4,95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1,03</w:t>
            </w:r>
          </w:p>
        </w:tc>
      </w:tr>
      <w:tr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28.9.1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363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16,11</w:t>
            </w:r>
          </w:p>
        </w:tc>
        <w:tc>
          <w:tcPr>
            <w:tcW w:w="85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16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4,41</w:t>
            </w:r>
          </w:p>
        </w:tc>
        <w:tc>
          <w:tcPr>
            <w:tcW w:w="85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0,92</w:t>
            </w:r>
          </w:p>
        </w:tc>
      </w:tr>
    </w:tbl>
    <w:p/>
    <w:p>
      <w:r>
        <w:rPr>
          <w:color w:val="000000"/>
        </w:rPr>
        <w:t>ККБ (базовая вер. дефолта = 11,91%, 1 083 компании):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417"/>
        <w:gridCol w:w="1020"/>
        <w:gridCol w:w="1020"/>
        <w:gridCol w:w="850"/>
        <w:gridCol w:w="1417"/>
        <w:gridCol w:w="850"/>
      </w:tblGrid>
      <w:tr>
        <w:tc>
          <w:tcPr>
            <w:tcW w:w="141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ФП</w:t>
            </w:r>
          </w:p>
        </w:tc>
        <w:tc>
          <w:tcPr>
            <w:tcW w:w="102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Комп.</w:t>
            </w:r>
          </w:p>
        </w:tc>
        <w:tc>
          <w:tcPr>
            <w:tcW w:w="102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%</w:t>
            </w:r>
          </w:p>
        </w:tc>
        <w:tc>
          <w:tcPr>
            <w:tcW w:w="85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Деф.</w:t>
            </w:r>
          </w:p>
        </w:tc>
        <w:tc>
          <w:tcPr>
            <w:tcW w:w="141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Вер.деф.%</w:t>
            </w:r>
          </w:p>
        </w:tc>
        <w:tc>
          <w:tcPr>
            <w:tcW w:w="85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Lift</w:t>
            </w:r>
          </w:p>
        </w:tc>
      </w:tr>
      <w:tr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29.13.11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7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0,65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5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71,43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6,00</w:t>
            </w:r>
          </w:p>
        </w:tc>
      </w:tr>
      <w:tr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34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16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1,48</w:t>
            </w:r>
          </w:p>
        </w:tc>
        <w:tc>
          <w:tcPr>
            <w:tcW w:w="85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9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56,25</w:t>
            </w:r>
          </w:p>
        </w:tc>
        <w:tc>
          <w:tcPr>
            <w:tcW w:w="85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4,72</w:t>
            </w:r>
          </w:p>
        </w:tc>
      </w:tr>
      <w:tr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53.1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10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0,92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5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50,00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4,20</w:t>
            </w:r>
          </w:p>
        </w:tc>
      </w:tr>
      <w:tr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29.2.1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15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1,39</w:t>
            </w:r>
          </w:p>
        </w:tc>
        <w:tc>
          <w:tcPr>
            <w:tcW w:w="85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7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46,67</w:t>
            </w:r>
          </w:p>
        </w:tc>
        <w:tc>
          <w:tcPr>
            <w:tcW w:w="85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3,92</w:t>
            </w:r>
          </w:p>
        </w:tc>
      </w:tr>
      <w:tr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29.1.1.1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25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2,31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44,00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3,69</w:t>
            </w:r>
          </w:p>
        </w:tc>
      </w:tr>
      <w:tr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47.1.2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54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4,99</w:t>
            </w:r>
          </w:p>
        </w:tc>
        <w:tc>
          <w:tcPr>
            <w:tcW w:w="85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21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38,89</w:t>
            </w:r>
          </w:p>
        </w:tc>
        <w:tc>
          <w:tcPr>
            <w:tcW w:w="85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3,26</w:t>
            </w:r>
          </w:p>
        </w:tc>
      </w:tr>
      <w:tr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29.1.1.2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19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1,75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7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36,84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3,09</w:t>
            </w:r>
          </w:p>
        </w:tc>
      </w:tr>
      <w:tr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57.1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19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1,75</w:t>
            </w:r>
          </w:p>
        </w:tc>
        <w:tc>
          <w:tcPr>
            <w:tcW w:w="85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7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36,84</w:t>
            </w:r>
          </w:p>
        </w:tc>
        <w:tc>
          <w:tcPr>
            <w:tcW w:w="85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3,09</w:t>
            </w:r>
          </w:p>
        </w:tc>
      </w:tr>
      <w:tr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29.14.1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11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1,02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4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36,36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3,05</w:t>
            </w:r>
          </w:p>
        </w:tc>
      </w:tr>
      <w:tr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29.13.3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53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4,89</w:t>
            </w:r>
          </w:p>
        </w:tc>
        <w:tc>
          <w:tcPr>
            <w:tcW w:w="85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17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32,08</w:t>
            </w:r>
          </w:p>
        </w:tc>
        <w:tc>
          <w:tcPr>
            <w:tcW w:w="85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2,69</w:t>
            </w:r>
          </w:p>
        </w:tc>
      </w:tr>
      <w:tr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53.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39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3,60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28,21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2,37</w:t>
            </w:r>
          </w:p>
        </w:tc>
      </w:tr>
      <w:tr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29.13.2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50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4,62</w:t>
            </w:r>
          </w:p>
        </w:tc>
        <w:tc>
          <w:tcPr>
            <w:tcW w:w="85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14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28,00</w:t>
            </w:r>
          </w:p>
        </w:tc>
        <w:tc>
          <w:tcPr>
            <w:tcW w:w="85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2,35</w:t>
            </w:r>
          </w:p>
        </w:tc>
      </w:tr>
      <w:tr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29.13.1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140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12,93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39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27,86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2,34</w:t>
            </w:r>
          </w:p>
        </w:tc>
      </w:tr>
      <w:tr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29.1.1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48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4,43</w:t>
            </w:r>
          </w:p>
        </w:tc>
        <w:tc>
          <w:tcPr>
            <w:tcW w:w="85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13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27,08</w:t>
            </w:r>
          </w:p>
        </w:tc>
        <w:tc>
          <w:tcPr>
            <w:tcW w:w="85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2,27</w:t>
            </w:r>
          </w:p>
        </w:tc>
      </w:tr>
      <w:tr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29.2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67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6,19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17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25,37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2,13</w:t>
            </w:r>
          </w:p>
        </w:tc>
      </w:tr>
      <w:tr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26.1.1.1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29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2,68</w:t>
            </w:r>
          </w:p>
        </w:tc>
        <w:tc>
          <w:tcPr>
            <w:tcW w:w="85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7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24,14</w:t>
            </w:r>
          </w:p>
        </w:tc>
        <w:tc>
          <w:tcPr>
            <w:tcW w:w="85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2,03</w:t>
            </w:r>
          </w:p>
        </w:tc>
      </w:tr>
      <w:tr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42.1.1.1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18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1,66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4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22,22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1,87</w:t>
            </w:r>
          </w:p>
        </w:tc>
      </w:tr>
      <w:tr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23.2.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53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4,89</w:t>
            </w:r>
          </w:p>
        </w:tc>
        <w:tc>
          <w:tcPr>
            <w:tcW w:w="85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8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15,09</w:t>
            </w:r>
          </w:p>
        </w:tc>
        <w:tc>
          <w:tcPr>
            <w:tcW w:w="85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1,27</w:t>
            </w:r>
          </w:p>
        </w:tc>
      </w:tr>
      <w:tr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39.3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67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6,19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14,93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1,25</w:t>
            </w:r>
          </w:p>
        </w:tc>
      </w:tr>
      <w:tr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2.2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267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24,65</w:t>
            </w:r>
          </w:p>
        </w:tc>
        <w:tc>
          <w:tcPr>
            <w:tcW w:w="85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35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13,11</w:t>
            </w:r>
          </w:p>
        </w:tc>
        <w:tc>
          <w:tcPr>
            <w:tcW w:w="85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1,10</w:t>
            </w:r>
          </w:p>
        </w:tc>
      </w:tr>
    </w:tbl>
    <w:p/>
    <w:p>
      <w:r>
        <w:rPr>
          <w:color w:val="000000"/>
        </w:rPr>
        <w:t>В МкБ наибольший Lift у факторов семейства 15.1 (3,06–3,27): их наличие утраивает вероятность дефолта. В МСБ лидирует фактор 13.1 (Lift = 5,22), но он встречается редко (40 компаний). В ККБ факторы семейства 29 демонстрируют чрезвычайно высокие Lift-значения (до 6,0), что объясняется как высокой базовой вероятностью дефолта сегмента (11,91%), так и специфическим профилем ФП.</w:t>
      </w:r>
    </w:p>
    <w:p>
      <w:pPr>
        <w:pStyle w:val="Heading1"/>
      </w:pPr>
      <w:r>
        <w:rPr>
          <w:color w:val="000000"/>
        </w:rPr>
        <w:t>10. Топ комбинаций ФП по Lift</w:t>
      </w:r>
    </w:p>
    <w:p>
      <w:r>
        <w:rPr>
          <w:color w:val="000000"/>
        </w:rPr>
        <w:t>Анализ комбинаций (пар и троек) ФП позволяет выявить синергетические эффекты: совместное наличие нескольких факторов может значительно повышать вероятность дефолта сверх того, что предсказывают отдельные факторы. Отображаются комбинации с ≥3 дефолтами и ≥10 компаниями.</w:t>
      </w:r>
    </w:p>
    <w:p>
      <w:r>
        <w:rPr>
          <w:color w:val="000000"/>
        </w:rPr>
        <w:t>МкБ (пар = 198, троек = 218):</w:t>
      </w:r>
    </w:p>
    <w:p>
      <w:r>
        <w:rPr>
          <w:color w:val="000000"/>
        </w:rPr>
        <w:t>Топ-5 пар: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551"/>
        <w:gridCol w:w="850"/>
        <w:gridCol w:w="850"/>
        <w:gridCol w:w="1701"/>
        <w:gridCol w:w="1134"/>
      </w:tblGrid>
      <w:tr>
        <w:tc>
          <w:tcPr>
            <w:tcW w:w="2551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Комбинация</w:t>
            </w:r>
          </w:p>
        </w:tc>
        <w:tc>
          <w:tcPr>
            <w:tcW w:w="85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N</w:t>
            </w:r>
          </w:p>
        </w:tc>
        <w:tc>
          <w:tcPr>
            <w:tcW w:w="85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Деф.</w:t>
            </w:r>
          </w:p>
        </w:tc>
        <w:tc>
          <w:tcPr>
            <w:tcW w:w="1701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Вер. деф.%</w:t>
            </w:r>
          </w:p>
        </w:tc>
        <w:tc>
          <w:tcPr>
            <w:tcW w:w="113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Lift</w:t>
            </w:r>
          </w:p>
        </w:tc>
      </w:tr>
      <w:tr>
        <w:tc>
          <w:tcPr>
            <w:tcW w:w="2551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15.1 + 22.2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13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3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23,08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6,85</w:t>
            </w:r>
          </w:p>
        </w:tc>
      </w:tr>
      <w:tr>
        <w:tc>
          <w:tcPr>
            <w:tcW w:w="2551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14.3.2. + 15.1.1</w:t>
            </w:r>
          </w:p>
        </w:tc>
        <w:tc>
          <w:tcPr>
            <w:tcW w:w="85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23</w:t>
            </w:r>
          </w:p>
        </w:tc>
        <w:tc>
          <w:tcPr>
            <w:tcW w:w="85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4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17,39</w:t>
            </w:r>
          </w:p>
        </w:tc>
        <w:tc>
          <w:tcPr>
            <w:tcW w:w="113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5,16</w:t>
            </w:r>
          </w:p>
        </w:tc>
      </w:tr>
      <w:tr>
        <w:tc>
          <w:tcPr>
            <w:tcW w:w="2551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14.3.1 + 15.1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71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12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16,90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5,02</w:t>
            </w:r>
          </w:p>
        </w:tc>
      </w:tr>
      <w:tr>
        <w:tc>
          <w:tcPr>
            <w:tcW w:w="2551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15.1.1 + 16.2</w:t>
            </w:r>
          </w:p>
        </w:tc>
        <w:tc>
          <w:tcPr>
            <w:tcW w:w="85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48</w:t>
            </w:r>
          </w:p>
        </w:tc>
        <w:tc>
          <w:tcPr>
            <w:tcW w:w="85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8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16,67</w:t>
            </w:r>
          </w:p>
        </w:tc>
        <w:tc>
          <w:tcPr>
            <w:tcW w:w="113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4,95</w:t>
            </w:r>
          </w:p>
        </w:tc>
      </w:tr>
      <w:tr>
        <w:tc>
          <w:tcPr>
            <w:tcW w:w="2551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15.1 + 37.2.1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36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6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16,67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4,95</w:t>
            </w:r>
          </w:p>
        </w:tc>
      </w:tr>
    </w:tbl>
    <w:p/>
    <w:p>
      <w:r>
        <w:rPr>
          <w:color w:val="000000"/>
        </w:rPr>
        <w:t>Топ-5 троек: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551"/>
        <w:gridCol w:w="850"/>
        <w:gridCol w:w="850"/>
        <w:gridCol w:w="1701"/>
        <w:gridCol w:w="1134"/>
      </w:tblGrid>
      <w:tr>
        <w:tc>
          <w:tcPr>
            <w:tcW w:w="2551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Комбинация</w:t>
            </w:r>
          </w:p>
        </w:tc>
        <w:tc>
          <w:tcPr>
            <w:tcW w:w="85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N</w:t>
            </w:r>
          </w:p>
        </w:tc>
        <w:tc>
          <w:tcPr>
            <w:tcW w:w="85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Деф.</w:t>
            </w:r>
          </w:p>
        </w:tc>
        <w:tc>
          <w:tcPr>
            <w:tcW w:w="1701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Вер. деф.%</w:t>
            </w:r>
          </w:p>
        </w:tc>
        <w:tc>
          <w:tcPr>
            <w:tcW w:w="113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Lift</w:t>
            </w:r>
          </w:p>
        </w:tc>
      </w:tr>
      <w:tr>
        <w:tc>
          <w:tcPr>
            <w:tcW w:w="2551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15.1 + 22.2 + 24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10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3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30,00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8,90</w:t>
            </w:r>
          </w:p>
        </w:tc>
      </w:tr>
      <w:tr>
        <w:tc>
          <w:tcPr>
            <w:tcW w:w="2551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14.3У + 15.1У + 22У</w:t>
            </w:r>
          </w:p>
        </w:tc>
        <w:tc>
          <w:tcPr>
            <w:tcW w:w="85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11</w:t>
            </w:r>
          </w:p>
        </w:tc>
        <w:tc>
          <w:tcPr>
            <w:tcW w:w="85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3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27,27</w:t>
            </w:r>
          </w:p>
        </w:tc>
        <w:tc>
          <w:tcPr>
            <w:tcW w:w="113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8,09</w:t>
            </w:r>
          </w:p>
        </w:tc>
      </w:tr>
      <w:tr>
        <w:tc>
          <w:tcPr>
            <w:tcW w:w="2551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15.1 + 22.2 + 28.9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11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3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27,27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8,09</w:t>
            </w:r>
          </w:p>
        </w:tc>
      </w:tr>
      <w:tr>
        <w:tc>
          <w:tcPr>
            <w:tcW w:w="2551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14.3 + 16.1 + 28.4</w:t>
            </w:r>
          </w:p>
        </w:tc>
        <w:tc>
          <w:tcPr>
            <w:tcW w:w="85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12</w:t>
            </w:r>
          </w:p>
        </w:tc>
        <w:tc>
          <w:tcPr>
            <w:tcW w:w="85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3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25,00</w:t>
            </w:r>
          </w:p>
        </w:tc>
        <w:tc>
          <w:tcPr>
            <w:tcW w:w="113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7,42</w:t>
            </w:r>
          </w:p>
        </w:tc>
      </w:tr>
      <w:tr>
        <w:tc>
          <w:tcPr>
            <w:tcW w:w="2551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14.3 + 15.1.1 + 28.9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12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3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25,00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7,42</w:t>
            </w:r>
          </w:p>
        </w:tc>
      </w:tr>
    </w:tbl>
    <w:p/>
    <w:p>
      <w:r>
        <w:rPr>
          <w:color w:val="000000"/>
        </w:rPr>
        <w:t>МСБ (пар = 258, троек = 473):</w:t>
      </w:r>
    </w:p>
    <w:p>
      <w:r>
        <w:rPr>
          <w:color w:val="000000"/>
        </w:rPr>
        <w:t>Топ-5 пар: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551"/>
        <w:gridCol w:w="850"/>
        <w:gridCol w:w="850"/>
        <w:gridCol w:w="1701"/>
        <w:gridCol w:w="1134"/>
      </w:tblGrid>
      <w:tr>
        <w:tc>
          <w:tcPr>
            <w:tcW w:w="2551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Комбинация</w:t>
            </w:r>
          </w:p>
        </w:tc>
        <w:tc>
          <w:tcPr>
            <w:tcW w:w="85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N</w:t>
            </w:r>
          </w:p>
        </w:tc>
        <w:tc>
          <w:tcPr>
            <w:tcW w:w="85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Деф.</w:t>
            </w:r>
          </w:p>
        </w:tc>
        <w:tc>
          <w:tcPr>
            <w:tcW w:w="1701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Вер. деф.%</w:t>
            </w:r>
          </w:p>
        </w:tc>
        <w:tc>
          <w:tcPr>
            <w:tcW w:w="113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Lift</w:t>
            </w:r>
          </w:p>
        </w:tc>
      </w:tr>
      <w:tr>
        <w:tc>
          <w:tcPr>
            <w:tcW w:w="2551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15.1.1.1 + 16.1.1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11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5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45,45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9,48</w:t>
            </w:r>
          </w:p>
        </w:tc>
      </w:tr>
      <w:tr>
        <w:tc>
          <w:tcPr>
            <w:tcW w:w="2551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13.1 + 26.2</w:t>
            </w:r>
          </w:p>
        </w:tc>
        <w:tc>
          <w:tcPr>
            <w:tcW w:w="85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21</w:t>
            </w:r>
          </w:p>
        </w:tc>
        <w:tc>
          <w:tcPr>
            <w:tcW w:w="85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7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33,33</w:t>
            </w:r>
          </w:p>
        </w:tc>
        <w:tc>
          <w:tcPr>
            <w:tcW w:w="113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6,95</w:t>
            </w:r>
          </w:p>
        </w:tc>
      </w:tr>
      <w:tr>
        <w:tc>
          <w:tcPr>
            <w:tcW w:w="2551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13.1 + 53.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23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7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30,43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6,35</w:t>
            </w:r>
          </w:p>
        </w:tc>
      </w:tr>
      <w:tr>
        <w:tc>
          <w:tcPr>
            <w:tcW w:w="2551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14.3.1 + 16.1.1</w:t>
            </w:r>
          </w:p>
        </w:tc>
        <w:tc>
          <w:tcPr>
            <w:tcW w:w="85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10</w:t>
            </w:r>
          </w:p>
        </w:tc>
        <w:tc>
          <w:tcPr>
            <w:tcW w:w="85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3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30,00</w:t>
            </w:r>
          </w:p>
        </w:tc>
        <w:tc>
          <w:tcPr>
            <w:tcW w:w="113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6,26</w:t>
            </w:r>
          </w:p>
        </w:tc>
      </w:tr>
      <w:tr>
        <w:tc>
          <w:tcPr>
            <w:tcW w:w="2551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13.1 + 24.4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30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9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30,00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6,26</w:t>
            </w:r>
          </w:p>
        </w:tc>
      </w:tr>
    </w:tbl>
    <w:p/>
    <w:p>
      <w:r>
        <w:rPr>
          <w:color w:val="000000"/>
        </w:rPr>
        <w:t>Топ-5 троек: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3118"/>
        <w:gridCol w:w="850"/>
        <w:gridCol w:w="850"/>
        <w:gridCol w:w="1701"/>
        <w:gridCol w:w="1134"/>
      </w:tblGrid>
      <w:tr>
        <w:tc>
          <w:tcPr>
            <w:tcW w:w="3118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Комбинация</w:t>
            </w:r>
          </w:p>
        </w:tc>
        <w:tc>
          <w:tcPr>
            <w:tcW w:w="85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N</w:t>
            </w:r>
          </w:p>
        </w:tc>
        <w:tc>
          <w:tcPr>
            <w:tcW w:w="85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Деф.</w:t>
            </w:r>
          </w:p>
        </w:tc>
        <w:tc>
          <w:tcPr>
            <w:tcW w:w="1701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Вер. деф.%</w:t>
            </w:r>
          </w:p>
        </w:tc>
        <w:tc>
          <w:tcPr>
            <w:tcW w:w="113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Lift</w:t>
            </w:r>
          </w:p>
        </w:tc>
      </w:tr>
      <w:tr>
        <w:tc>
          <w:tcPr>
            <w:tcW w:w="3118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13.1 + 24.4 + 26.2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16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7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43,75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9,13</w:t>
            </w:r>
          </w:p>
        </w:tc>
      </w:tr>
      <w:tr>
        <w:tc>
          <w:tcPr>
            <w:tcW w:w="3118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13.1 + 26.2 + 53.</w:t>
            </w:r>
          </w:p>
        </w:tc>
        <w:tc>
          <w:tcPr>
            <w:tcW w:w="85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15</w:t>
            </w:r>
          </w:p>
        </w:tc>
        <w:tc>
          <w:tcPr>
            <w:tcW w:w="85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6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40,00</w:t>
            </w:r>
          </w:p>
        </w:tc>
        <w:tc>
          <w:tcPr>
            <w:tcW w:w="113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8,34</w:t>
            </w:r>
          </w:p>
        </w:tc>
      </w:tr>
      <w:tr>
        <w:tc>
          <w:tcPr>
            <w:tcW w:w="3118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15.1.2 + 24.4 + 29132.II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10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4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40,00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8,34</w:t>
            </w:r>
          </w:p>
        </w:tc>
      </w:tr>
      <w:tr>
        <w:tc>
          <w:tcPr>
            <w:tcW w:w="3118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15.1.1.1 + 16.1 + 16.1.1</w:t>
            </w:r>
          </w:p>
        </w:tc>
        <w:tc>
          <w:tcPr>
            <w:tcW w:w="85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10</w:t>
            </w:r>
          </w:p>
        </w:tc>
        <w:tc>
          <w:tcPr>
            <w:tcW w:w="85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4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40,00</w:t>
            </w:r>
          </w:p>
        </w:tc>
        <w:tc>
          <w:tcPr>
            <w:tcW w:w="113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8,34</w:t>
            </w:r>
          </w:p>
        </w:tc>
      </w:tr>
      <w:tr>
        <w:tc>
          <w:tcPr>
            <w:tcW w:w="3118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13.1 + 24.4 + 26.1.1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14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5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35,71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7,45</w:t>
            </w:r>
          </w:p>
        </w:tc>
      </w:tr>
    </w:tbl>
    <w:p/>
    <w:p>
      <w:r>
        <w:rPr>
          <w:color w:val="000000"/>
        </w:rPr>
        <w:t>ККБ (пар = 88, троек = 115):</w:t>
      </w:r>
    </w:p>
    <w:p>
      <w:r>
        <w:rPr>
          <w:color w:val="000000"/>
        </w:rPr>
        <w:t>Топ-5 пар: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551"/>
        <w:gridCol w:w="850"/>
        <w:gridCol w:w="850"/>
        <w:gridCol w:w="1701"/>
        <w:gridCol w:w="1134"/>
      </w:tblGrid>
      <w:tr>
        <w:tc>
          <w:tcPr>
            <w:tcW w:w="2551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Комбинация</w:t>
            </w:r>
          </w:p>
        </w:tc>
        <w:tc>
          <w:tcPr>
            <w:tcW w:w="85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N</w:t>
            </w:r>
          </w:p>
        </w:tc>
        <w:tc>
          <w:tcPr>
            <w:tcW w:w="85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Деф.</w:t>
            </w:r>
          </w:p>
        </w:tc>
        <w:tc>
          <w:tcPr>
            <w:tcW w:w="1701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Вер. деф.%</w:t>
            </w:r>
          </w:p>
        </w:tc>
        <w:tc>
          <w:tcPr>
            <w:tcW w:w="113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Lift</w:t>
            </w:r>
          </w:p>
        </w:tc>
      </w:tr>
      <w:tr>
        <w:tc>
          <w:tcPr>
            <w:tcW w:w="2551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29.1.1.1 + 29.13.1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10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7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70,00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5,88</w:t>
            </w:r>
          </w:p>
        </w:tc>
      </w:tr>
      <w:tr>
        <w:tc>
          <w:tcPr>
            <w:tcW w:w="2551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2.2 + 26.1.1.1</w:t>
            </w:r>
          </w:p>
        </w:tc>
        <w:tc>
          <w:tcPr>
            <w:tcW w:w="85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11</w:t>
            </w:r>
          </w:p>
        </w:tc>
        <w:tc>
          <w:tcPr>
            <w:tcW w:w="85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7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63,64</w:t>
            </w:r>
          </w:p>
        </w:tc>
        <w:tc>
          <w:tcPr>
            <w:tcW w:w="113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5,34</w:t>
            </w:r>
          </w:p>
        </w:tc>
      </w:tr>
      <w:tr>
        <w:tc>
          <w:tcPr>
            <w:tcW w:w="2551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29.13.3 + 29.2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14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8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57,14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4,80</w:t>
            </w:r>
          </w:p>
        </w:tc>
      </w:tr>
      <w:tr>
        <w:tc>
          <w:tcPr>
            <w:tcW w:w="2551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2.2 + 53.</w:t>
            </w:r>
          </w:p>
        </w:tc>
        <w:tc>
          <w:tcPr>
            <w:tcW w:w="85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18</w:t>
            </w:r>
          </w:p>
        </w:tc>
        <w:tc>
          <w:tcPr>
            <w:tcW w:w="85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10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55,56</w:t>
            </w:r>
          </w:p>
        </w:tc>
        <w:tc>
          <w:tcPr>
            <w:tcW w:w="113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4,66</w:t>
            </w:r>
          </w:p>
        </w:tc>
      </w:tr>
      <w:tr>
        <w:tc>
          <w:tcPr>
            <w:tcW w:w="2551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1.2 + 29.1.1.1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19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10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52,63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4,42</w:t>
            </w:r>
          </w:p>
        </w:tc>
      </w:tr>
    </w:tbl>
    <w:p/>
    <w:p>
      <w:r>
        <w:rPr>
          <w:color w:val="000000"/>
        </w:rPr>
        <w:t>Топ-5 троек: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3118"/>
        <w:gridCol w:w="850"/>
        <w:gridCol w:w="850"/>
        <w:gridCol w:w="1701"/>
        <w:gridCol w:w="1134"/>
      </w:tblGrid>
      <w:tr>
        <w:tc>
          <w:tcPr>
            <w:tcW w:w="3118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Комбинация</w:t>
            </w:r>
          </w:p>
        </w:tc>
        <w:tc>
          <w:tcPr>
            <w:tcW w:w="85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N</w:t>
            </w:r>
          </w:p>
        </w:tc>
        <w:tc>
          <w:tcPr>
            <w:tcW w:w="85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Деф.</w:t>
            </w:r>
          </w:p>
        </w:tc>
        <w:tc>
          <w:tcPr>
            <w:tcW w:w="1701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Вер. деф.%</w:t>
            </w:r>
          </w:p>
        </w:tc>
        <w:tc>
          <w:tcPr>
            <w:tcW w:w="113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Lift</w:t>
            </w:r>
          </w:p>
        </w:tc>
      </w:tr>
      <w:tr>
        <w:tc>
          <w:tcPr>
            <w:tcW w:w="3118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1.2 + 29.1.1.1 + 29.13.1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10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7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70,00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5,88</w:t>
            </w:r>
          </w:p>
        </w:tc>
      </w:tr>
      <w:tr>
        <w:tc>
          <w:tcPr>
            <w:tcW w:w="3118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1.2 + 2.2 + 26.1.1.1</w:t>
            </w:r>
          </w:p>
        </w:tc>
        <w:tc>
          <w:tcPr>
            <w:tcW w:w="85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11</w:t>
            </w:r>
          </w:p>
        </w:tc>
        <w:tc>
          <w:tcPr>
            <w:tcW w:w="85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7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63,64</w:t>
            </w:r>
          </w:p>
        </w:tc>
        <w:tc>
          <w:tcPr>
            <w:tcW w:w="113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5,34</w:t>
            </w:r>
          </w:p>
        </w:tc>
      </w:tr>
      <w:tr>
        <w:tc>
          <w:tcPr>
            <w:tcW w:w="3118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29.13.1 + 29.13.3 + 29.2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13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8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61,54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5,17</w:t>
            </w:r>
          </w:p>
        </w:tc>
      </w:tr>
      <w:tr>
        <w:tc>
          <w:tcPr>
            <w:tcW w:w="3118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1.1 + 29.13.1 + 29.13.3</w:t>
            </w:r>
          </w:p>
        </w:tc>
        <w:tc>
          <w:tcPr>
            <w:tcW w:w="85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10</w:t>
            </w:r>
          </w:p>
        </w:tc>
        <w:tc>
          <w:tcPr>
            <w:tcW w:w="85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6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60,00</w:t>
            </w:r>
          </w:p>
        </w:tc>
        <w:tc>
          <w:tcPr>
            <w:tcW w:w="113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5,04</w:t>
            </w:r>
          </w:p>
        </w:tc>
      </w:tr>
      <w:tr>
        <w:tc>
          <w:tcPr>
            <w:tcW w:w="3118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1.2 + 26.1.1.1 + 53.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10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6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60,00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5,04</w:t>
            </w:r>
          </w:p>
        </w:tc>
      </w:tr>
    </w:tbl>
    <w:p/>
    <w:p>
      <w:r>
        <w:rPr>
          <w:color w:val="000000"/>
        </w:rPr>
        <w:t>Комбинации демонстрируют существенный синергетический эффект: Lift комбинаций значительно превышает Lift отдельных факторов. В МкБ тройка 15.1 + 22.2 + 24 даёт Lift = 8,90, тогда как Lift отдельных факторов не превышает 3,27. В МСБ пара 15.1.1.1 + 16.1.1 показывает Lift = 9,48 при вероятности дефолта 45,45%. В ККБ пара 29.1.1.1 + 29.13.1 достигает вероятности дефолта 70% (Lift = 5,88). Данные результаты подтверждают, что совместное появление определённых факторов является сильным индикатором приближающегося дефолта.</w:t>
      </w:r>
    </w:p>
    <w:p>
      <w:pPr>
        <w:pStyle w:val="Heading1"/>
      </w:pPr>
      <w:r>
        <w:rPr>
          <w:color w:val="000000"/>
        </w:rPr>
        <w:t>11. Lead time: первый ФП → дефолт</w:t>
      </w:r>
    </w:p>
    <w:p>
      <w:r>
        <w:rPr>
          <w:color w:val="000000"/>
        </w:rPr>
        <w:t>Lead time — это количество дней между датой первого ФП-предиктора и датой дефолта. Данный показатель характеризует, за какой срок до дефолта начинают появляться предупреждающие сигналы. Важное ограничение: используемое минимальное окно наблюдения (3 месяца) означает, что все дефолты из первых 3 месяцев периода исключены, поэтому минимальные значения lead time не могут быть менее ~90 дней для дефолтов, произошедших вблизи границы окна. Тем не менее, для компаний с первым ФП задолго до начала периода (до 2023 года) lead time может быть коротким.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417"/>
        <w:gridCol w:w="850"/>
        <w:gridCol w:w="1701"/>
        <w:gridCol w:w="1701"/>
        <w:gridCol w:w="1134"/>
        <w:gridCol w:w="1134"/>
      </w:tblGrid>
      <w:tr>
        <w:tc>
          <w:tcPr>
            <w:tcW w:w="141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Сегмент</w:t>
            </w:r>
          </w:p>
        </w:tc>
        <w:tc>
          <w:tcPr>
            <w:tcW w:w="85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N</w:t>
            </w:r>
          </w:p>
        </w:tc>
        <w:tc>
          <w:tcPr>
            <w:tcW w:w="1701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Среднее (дни)</w:t>
            </w:r>
          </w:p>
        </w:tc>
        <w:tc>
          <w:tcPr>
            <w:tcW w:w="1701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Медиана (дни)</w:t>
            </w:r>
          </w:p>
        </w:tc>
        <w:tc>
          <w:tcPr>
            <w:tcW w:w="113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Мин</w:t>
            </w:r>
          </w:p>
        </w:tc>
        <w:tc>
          <w:tcPr>
            <w:tcW w:w="113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Макс</w:t>
            </w:r>
          </w:p>
        </w:tc>
      </w:tr>
      <w:tr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МкБ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219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418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457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1 033</w:t>
            </w:r>
          </w:p>
        </w:tc>
      </w:tr>
      <w:tr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МСБ</w:t>
            </w:r>
          </w:p>
        </w:tc>
        <w:tc>
          <w:tcPr>
            <w:tcW w:w="85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108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502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517</w:t>
            </w:r>
          </w:p>
        </w:tc>
        <w:tc>
          <w:tcPr>
            <w:tcW w:w="113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27</w:t>
            </w:r>
          </w:p>
        </w:tc>
        <w:tc>
          <w:tcPr>
            <w:tcW w:w="113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1 042</w:t>
            </w:r>
          </w:p>
        </w:tc>
      </w:tr>
      <w:tr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ККБ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129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515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609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1 054</w:t>
            </w:r>
          </w:p>
        </w:tc>
      </w:tr>
      <w:tr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ВСЕ</w:t>
            </w:r>
          </w:p>
        </w:tc>
        <w:tc>
          <w:tcPr>
            <w:tcW w:w="85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456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465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488</w:t>
            </w:r>
          </w:p>
        </w:tc>
        <w:tc>
          <w:tcPr>
            <w:tcW w:w="113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</w:t>
            </w:r>
          </w:p>
        </w:tc>
        <w:tc>
          <w:tcPr>
            <w:tcW w:w="113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1 054</w:t>
            </w:r>
          </w:p>
        </w:tc>
      </w:tr>
    </w:tbl>
    <w:p/>
    <w:p>
      <w:r>
        <w:rPr>
          <w:color w:val="000000"/>
        </w:rPr>
        <w:t>Медианное значение lead time составляет 488 дней (~16 месяцев) по всей выборке, что подтверждает: ФП-предикторы появляются задолго до наступления дефолта. Сегмент ККБ демонстрирует наибольшую медиану — 609 дней (~20 месяцев), то есть крупные корпоративные клиенты накапливают факторы проблемности в течение длительного периода перед дефолтом. МкБ имеет наименьшее среднее (418 дней) — микробизнес реагирует быстрее. Разброс значений значительный (от 1 до 1 054 дней), что отражает разнородность процессов деградации кредитного качества.</w:t>
      </w:r>
    </w:p>
    <w:p>
      <w:pPr>
        <w:pStyle w:val="Heading1"/>
      </w:pPr>
      <w:r>
        <w:rPr>
          <w:color w:val="000000"/>
        </w:rPr>
        <w:t>12. Вероятность дефолта vs количество ФП</w:t>
      </w:r>
    </w:p>
    <w:p>
      <w:r>
        <w:rPr>
          <w:color w:val="000000"/>
        </w:rPr>
        <w:t>Анализируется зависимость вероятности дефолта от минимального числа уникальных ФП-предикторов у компании. Для каждого порога отсечения (≥0, ≥1, ≥3, ≥5, ≥10, ≥15, ≥20) рассчитывается вероятность дефолта среди компаний, превышающих порог.</w:t>
      </w:r>
    </w:p>
    <w:p>
      <w:r>
        <w:rPr>
          <w:color w:val="000000"/>
        </w:rPr>
        <w:t>МкБ: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701"/>
        <w:gridCol w:w="2268"/>
        <w:gridCol w:w="2268"/>
      </w:tblGrid>
      <w:tr>
        <w:tc>
          <w:tcPr>
            <w:tcW w:w="1701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Порог</w:t>
            </w:r>
          </w:p>
        </w:tc>
        <w:tc>
          <w:tcPr>
            <w:tcW w:w="2268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Компаний</w:t>
            </w:r>
          </w:p>
        </w:tc>
        <w:tc>
          <w:tcPr>
            <w:tcW w:w="2268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Вер. дефолта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≥ 0</w:t>
            </w:r>
          </w:p>
        </w:tc>
        <w:tc>
          <w:tcPr>
            <w:tcW w:w="2268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6 500</w:t>
            </w:r>
          </w:p>
        </w:tc>
        <w:tc>
          <w:tcPr>
            <w:tcW w:w="2268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3,37%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≥ 1</w:t>
            </w:r>
          </w:p>
        </w:tc>
        <w:tc>
          <w:tcPr>
            <w:tcW w:w="2268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6 500</w:t>
            </w:r>
          </w:p>
        </w:tc>
        <w:tc>
          <w:tcPr>
            <w:tcW w:w="2268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3,37%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≥ 3</w:t>
            </w:r>
          </w:p>
        </w:tc>
        <w:tc>
          <w:tcPr>
            <w:tcW w:w="2268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4 180</w:t>
            </w:r>
          </w:p>
        </w:tc>
        <w:tc>
          <w:tcPr>
            <w:tcW w:w="2268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3,76%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≥ 5</w:t>
            </w:r>
          </w:p>
        </w:tc>
        <w:tc>
          <w:tcPr>
            <w:tcW w:w="2268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2 195</w:t>
            </w:r>
          </w:p>
        </w:tc>
        <w:tc>
          <w:tcPr>
            <w:tcW w:w="2268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4,01%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≥ 10</w:t>
            </w:r>
          </w:p>
        </w:tc>
        <w:tc>
          <w:tcPr>
            <w:tcW w:w="2268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253</w:t>
            </w:r>
          </w:p>
        </w:tc>
        <w:tc>
          <w:tcPr>
            <w:tcW w:w="2268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6,72%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≥ 15</w:t>
            </w:r>
          </w:p>
        </w:tc>
        <w:tc>
          <w:tcPr>
            <w:tcW w:w="2268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20</w:t>
            </w:r>
          </w:p>
        </w:tc>
        <w:tc>
          <w:tcPr>
            <w:tcW w:w="2268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10,00%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≥ 20</w:t>
            </w:r>
          </w:p>
        </w:tc>
        <w:tc>
          <w:tcPr>
            <w:tcW w:w="2268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</w:t>
            </w:r>
          </w:p>
        </w:tc>
        <w:tc>
          <w:tcPr>
            <w:tcW w:w="2268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0,00%</w:t>
            </w:r>
          </w:p>
        </w:tc>
      </w:tr>
    </w:tbl>
    <w:p/>
    <w:p>
      <w:r>
        <w:rPr>
          <w:color w:val="000000"/>
        </w:rPr>
        <w:t>МСБ: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701"/>
        <w:gridCol w:w="2268"/>
        <w:gridCol w:w="2268"/>
      </w:tblGrid>
      <w:tr>
        <w:tc>
          <w:tcPr>
            <w:tcW w:w="1701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Порог</w:t>
            </w:r>
          </w:p>
        </w:tc>
        <w:tc>
          <w:tcPr>
            <w:tcW w:w="2268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Компаний</w:t>
            </w:r>
          </w:p>
        </w:tc>
        <w:tc>
          <w:tcPr>
            <w:tcW w:w="2268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Вер. дефолта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≥ 0</w:t>
            </w:r>
          </w:p>
        </w:tc>
        <w:tc>
          <w:tcPr>
            <w:tcW w:w="2268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2 253</w:t>
            </w:r>
          </w:p>
        </w:tc>
        <w:tc>
          <w:tcPr>
            <w:tcW w:w="2268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4,79%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≥ 1</w:t>
            </w:r>
          </w:p>
        </w:tc>
        <w:tc>
          <w:tcPr>
            <w:tcW w:w="2268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2 253</w:t>
            </w:r>
          </w:p>
        </w:tc>
        <w:tc>
          <w:tcPr>
            <w:tcW w:w="2268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4,79%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≥ 3</w:t>
            </w:r>
          </w:p>
        </w:tc>
        <w:tc>
          <w:tcPr>
            <w:tcW w:w="2268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1 841</w:t>
            </w:r>
          </w:p>
        </w:tc>
        <w:tc>
          <w:tcPr>
            <w:tcW w:w="2268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4,89%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≥ 5</w:t>
            </w:r>
          </w:p>
        </w:tc>
        <w:tc>
          <w:tcPr>
            <w:tcW w:w="2268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1 340</w:t>
            </w:r>
          </w:p>
        </w:tc>
        <w:tc>
          <w:tcPr>
            <w:tcW w:w="2268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4,25%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≥ 10</w:t>
            </w:r>
          </w:p>
        </w:tc>
        <w:tc>
          <w:tcPr>
            <w:tcW w:w="2268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414</w:t>
            </w:r>
          </w:p>
        </w:tc>
        <w:tc>
          <w:tcPr>
            <w:tcW w:w="2268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4,59%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≥ 15</w:t>
            </w:r>
          </w:p>
        </w:tc>
        <w:tc>
          <w:tcPr>
            <w:tcW w:w="2268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78</w:t>
            </w:r>
          </w:p>
        </w:tc>
        <w:tc>
          <w:tcPr>
            <w:tcW w:w="2268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3,85%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≥ 20</w:t>
            </w:r>
          </w:p>
        </w:tc>
        <w:tc>
          <w:tcPr>
            <w:tcW w:w="2268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17</w:t>
            </w:r>
          </w:p>
        </w:tc>
        <w:tc>
          <w:tcPr>
            <w:tcW w:w="2268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11,76%</w:t>
            </w:r>
          </w:p>
        </w:tc>
      </w:tr>
    </w:tbl>
    <w:p/>
    <w:p>
      <w:r>
        <w:rPr>
          <w:color w:val="000000"/>
        </w:rPr>
        <w:t>ККБ: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701"/>
        <w:gridCol w:w="2268"/>
        <w:gridCol w:w="2268"/>
      </w:tblGrid>
      <w:tr>
        <w:tc>
          <w:tcPr>
            <w:tcW w:w="1701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Порог</w:t>
            </w:r>
          </w:p>
        </w:tc>
        <w:tc>
          <w:tcPr>
            <w:tcW w:w="2268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Компаний</w:t>
            </w:r>
          </w:p>
        </w:tc>
        <w:tc>
          <w:tcPr>
            <w:tcW w:w="2268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Вер. дефолта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≥ 0</w:t>
            </w:r>
          </w:p>
        </w:tc>
        <w:tc>
          <w:tcPr>
            <w:tcW w:w="2268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1 083</w:t>
            </w:r>
          </w:p>
        </w:tc>
        <w:tc>
          <w:tcPr>
            <w:tcW w:w="2268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11,91%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≥ 1</w:t>
            </w:r>
          </w:p>
        </w:tc>
        <w:tc>
          <w:tcPr>
            <w:tcW w:w="2268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1 083</w:t>
            </w:r>
          </w:p>
        </w:tc>
        <w:tc>
          <w:tcPr>
            <w:tcW w:w="2268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11,91%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≥ 3</w:t>
            </w:r>
          </w:p>
        </w:tc>
        <w:tc>
          <w:tcPr>
            <w:tcW w:w="2268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622</w:t>
            </w:r>
          </w:p>
        </w:tc>
        <w:tc>
          <w:tcPr>
            <w:tcW w:w="2268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14,15%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≥ 5</w:t>
            </w:r>
          </w:p>
        </w:tc>
        <w:tc>
          <w:tcPr>
            <w:tcW w:w="2268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269</w:t>
            </w:r>
          </w:p>
        </w:tc>
        <w:tc>
          <w:tcPr>
            <w:tcW w:w="2268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14,50%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≥ 10</w:t>
            </w:r>
          </w:p>
        </w:tc>
        <w:tc>
          <w:tcPr>
            <w:tcW w:w="2268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24</w:t>
            </w:r>
          </w:p>
        </w:tc>
        <w:tc>
          <w:tcPr>
            <w:tcW w:w="2268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37,50%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≥ 15</w:t>
            </w:r>
          </w:p>
        </w:tc>
        <w:tc>
          <w:tcPr>
            <w:tcW w:w="2268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</w:t>
            </w:r>
          </w:p>
        </w:tc>
        <w:tc>
          <w:tcPr>
            <w:tcW w:w="2268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100,00%</w:t>
            </w:r>
          </w:p>
        </w:tc>
      </w:tr>
    </w:tbl>
    <w:p/>
    <w:p>
      <w:r>
        <w:rPr>
          <w:color w:val="000000"/>
        </w:rPr>
        <w:t>В сегментах МкБ и ККБ наблюдается чёткая монотонная зависимость: чем больше уникальных ФП у компании, тем выше вероятность дефолта. В МкБ вероятность возрастает с 3,37% (все компании) до 10% (≥15 ФП). В ККБ эффект ещё более выраженный: с 11,91% до 37,5% при ≥10 ФП и до 100% при ≥15 ФП (хотя при малом числе компаний статистическая надёжность снижается).</w:t>
      </w:r>
    </w:p>
    <w:p>
      <w:r>
        <w:rPr>
          <w:color w:val="000000"/>
        </w:rPr>
        <w:t>В МСБ зависимость немонотонна: вероятность дефолта остаётся относительно стабильной (4,25–4,89%) при порогах от 1 до 10 ФП, снижается до 3,85% при ≥15, но резко возрастает до 11,76% при ≥20. Это может объясняться особенностями структуры факторов в данном сегменте или малым размером выборки на крайних порогах.</w:t>
      </w:r>
    </w:p>
    <w:p>
      <w:r>
        <w:rPr>
          <w:color w:val="000000"/>
        </w:rPr>
        <w:t>Сегмент ККБ демонстрирует наиболее выраженный пороговый эффект: накопление ФП-предикторов является сильным сигналом приближающегося дефолта.</w:t>
      </w:r>
    </w:p>
    <w:sectPr w:rsidR="00FC693F" w:rsidRPr="0006063C" w:rsidSect="00034616">
      <w:pgSz w:w="12240" w:h="15840"/>
      <w:pgMar w:top="567" w:right="567" w:bottom="56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