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44"/>
        </w:rPr>
        <w:br/>
        <w:br/>
        <w:br/>
        <w:t>Аналитический отчёт</w:t>
      </w:r>
    </w:p>
    <w:p>
      <w:pPr>
        <w:jc w:val="center"/>
      </w:pPr>
      <w:r>
        <w:rPr>
          <w:color w:val="4A4A4A"/>
          <w:sz w:val="32"/>
        </w:rPr>
        <w:t>Гипотеза 1: Значимые комбинации</w:t>
        <w:br/>
        <w:t>факторов проблемности</w:t>
      </w:r>
    </w:p>
    <w:p>
      <w:pPr>
        <w:jc w:val="center"/>
      </w:pPr>
      <w:r>
        <w:rPr>
          <w:i/>
          <w:sz w:val="28"/>
        </w:rPr>
        <w:br/>
        <w:br/>
        <w:br/>
        <w:t>Проект ДМУКП</w:t>
      </w:r>
    </w:p>
    <w:p>
      <w:r>
        <w:br w:type="page"/>
      </w:r>
    </w:p>
    <w:p>
      <w:pPr>
        <w:pStyle w:val="Heading1"/>
      </w:pPr>
      <w:r>
        <w:t>Оглавление</w:t>
      </w:r>
    </w:p>
    <w:p>
      <w:pPr>
        <w:spacing w:before="40" w:after="40"/>
      </w:pPr>
      <w:r>
        <w:t>1. Описание метрик и статистических тестов</w:t>
      </w:r>
    </w:p>
    <w:p>
      <w:pPr>
        <w:spacing w:before="40" w:after="40"/>
      </w:pPr>
      <w:r>
        <w:t xml:space="preserve">    1.1. Support (Поддержка)</w:t>
      </w:r>
    </w:p>
    <w:p>
      <w:pPr>
        <w:spacing w:before="40" w:after="40"/>
      </w:pPr>
      <w:r>
        <w:t xml:space="preserve">    1.2. Confidence (Достоверность)</w:t>
      </w:r>
    </w:p>
    <w:p>
      <w:pPr>
        <w:spacing w:before="40" w:after="40"/>
      </w:pPr>
      <w:r>
        <w:t xml:space="preserve">    1.3. Lift (Подъём)</w:t>
      </w:r>
    </w:p>
    <w:p>
      <w:pPr>
        <w:spacing w:before="40" w:after="40"/>
      </w:pPr>
      <w:r>
        <w:t xml:space="preserve">    1.4. Точный тест Фишера</w:t>
      </w:r>
    </w:p>
    <w:p>
      <w:pPr>
        <w:spacing w:before="40" w:after="40"/>
      </w:pPr>
      <w:r>
        <w:t xml:space="preserve">    1.5. FDR-коррекция Бенджамини–Хохберга</w:t>
      </w:r>
    </w:p>
    <w:p>
      <w:pPr>
        <w:spacing w:before="40" w:after="40"/>
      </w:pPr>
      <w:r>
        <w:t xml:space="preserve">    1.6. Порядок интерпретации результатов</w:t>
      </w:r>
    </w:p>
    <w:p>
      <w:pPr>
        <w:spacing w:before="40" w:after="40"/>
      </w:pPr>
      <w:r>
        <w:t>2. Индивидуальные ФП — статистическая значимость</w:t>
      </w:r>
    </w:p>
    <w:p>
      <w:pPr>
        <w:spacing w:before="40" w:after="40"/>
      </w:pPr>
      <w:r>
        <w:t>3. Комбинации из 2 ФП</w:t>
      </w:r>
    </w:p>
    <w:p>
      <w:pPr>
        <w:spacing w:before="40" w:after="40"/>
      </w:pPr>
      <w:r>
        <w:t>4. Комбинации из 3 ФП</w:t>
      </w:r>
    </w:p>
    <w:p>
      <w:pPr>
        <w:spacing w:before="40" w:after="40"/>
      </w:pPr>
      <w:r>
        <w:t>5. Общие выводы и рекомендации</w:t>
      </w:r>
    </w:p>
    <w:p>
      <w:r>
        <w:br w:type="page"/>
      </w:r>
    </w:p>
    <w:p>
      <w:pPr>
        <w:pStyle w:val="Heading1"/>
      </w:pPr>
      <w:r>
        <w:t>1. Описание метрик и статистических тестов</w:t>
      </w:r>
    </w:p>
    <w:p>
      <w:pPr>
        <w:pStyle w:val="Heading2"/>
      </w:pPr>
      <w:r>
        <w:t>1.1. Support (Поддержка)</w:t>
      </w:r>
    </w:p>
    <w:p>
      <w:r>
        <w:rPr>
          <w:b/>
        </w:rPr>
        <w:t>Формула: Support(ФП) = N(компаний с ФП) / N(всего компаний)</w:t>
      </w:r>
    </w:p>
    <w:p>
      <w:r>
        <w:t>Показывает, какая доля всех компаний в выборке имеет данный ФП. Значение принимает диапазон от 0 до 1.</w:t>
      </w:r>
    </w:p>
    <w:p>
      <w:pPr>
        <w:pStyle w:val="ListBullet"/>
      </w:pPr>
      <w:r>
        <w:t>Зачем нужен:</w:t>
      </w:r>
    </w:p>
    <w:p>
      <w:pPr>
        <w:pStyle w:val="ListBullet2"/>
      </w:pPr>
      <w:r>
        <w:t>Отсекает слишком редкие ФП. Если ФП встречается у 3 компаний из 10 000, любые выводы о его связи с дефолтом ненадёжны.</w:t>
      </w:r>
    </w:p>
    <w:p>
      <w:pPr>
        <w:pStyle w:val="ListBullet2"/>
      </w:pPr>
      <w:r>
        <w:t>В нашем анализе применяются пороги: ≥5 компаний для индивидуальных ФП, ≥10 для комбинаций из 2–3 ФП.</w:t>
      </w:r>
    </w:p>
    <w:p>
      <w:r>
        <w:t xml:space="preserve">Пример: </w:t>
      </w:r>
      <w:r>
        <w:t>если из 10 000 компаний у 57 присутствует ФП 22.2, то Support = 57 / 10 000 = 0.0057 (0.57%).</w:t>
      </w:r>
    </w:p>
    <w:p>
      <w:pPr>
        <w:pStyle w:val="Heading2"/>
      </w:pPr>
      <w:r>
        <w:t>1.2. Confidence (Достоверность)</w:t>
      </w:r>
    </w:p>
    <w:p>
      <w:r>
        <w:rPr>
          <w:b/>
        </w:rPr>
        <w:t>Формула: Confidence(ФП → дефолт) = N(компаний с ФП и дефолтом) / N(компаний с ФП)</w:t>
      </w:r>
    </w:p>
    <w:p>
      <w:r>
        <w:t>По сути это условная вероятность дефолта при наличии ФП: P(дефолт | ФП). Показывает абсолютный уровень риска для носителей ФП.</w:t>
      </w:r>
    </w:p>
    <w:p>
      <w:r>
        <w:t>Сам по себе не говорит, повышает ли ФП риск по сравнению со средним — для этого нужен Lift.</w:t>
      </w:r>
    </w:p>
    <w:p>
      <w:r>
        <w:t xml:space="preserve">Пример: </w:t>
      </w:r>
      <w:r>
        <w:t>из 19 компаний с ФП 15.1.3 дефолтными оказались 12, значит Confidence = 12 / 19 = 63.16%.</w:t>
      </w:r>
    </w:p>
    <w:p>
      <w:pPr>
        <w:pStyle w:val="Heading2"/>
      </w:pPr>
      <w:r>
        <w:t>1.3. Lift (Подъём)</w:t>
      </w:r>
    </w:p>
    <w:p>
      <w:r>
        <w:rPr>
          <w:b/>
        </w:rPr>
        <w:t>Формула: Lift = Confidence / P(дефолт) = P(дефолт | ФП) / P(дефолт)</w:t>
      </w:r>
    </w:p>
    <w:p>
      <w:r>
        <w:t>Где P(дефолт) — базовый уровень дефолтов (base rate) по всей выборке. В нашем анализе base rate ≈ 1.97%.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Значение Lift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Интерпретация</w:t>
            </w:r>
          </w:p>
        </w:tc>
      </w:tr>
      <w:tr>
        <w:tc>
          <w:tcPr>
            <w:tcW w:type="dxa" w:w="4320"/>
          </w:tcPr>
          <w:p>
            <w:r>
              <w:t>Lift = 1.0</w:t>
            </w:r>
          </w:p>
        </w:tc>
        <w:tc>
          <w:tcPr>
            <w:tcW w:type="dxa" w:w="4320"/>
          </w:tcPr>
          <w:p>
            <w:r>
              <w:t>ФП не влияет на вероятность дефолта</w:t>
            </w:r>
          </w:p>
        </w:tc>
      </w:tr>
      <w:tr>
        <w:tc>
          <w:tcPr>
            <w:tcW w:type="dxa" w:w="4320"/>
          </w:tcPr>
          <w:p>
            <w:r>
              <w:t>Lift &gt; 1.0</w:t>
            </w:r>
          </w:p>
        </w:tc>
        <w:tc>
          <w:tcPr>
            <w:tcW w:type="dxa" w:w="4320"/>
          </w:tcPr>
          <w:p>
            <w:r>
              <w:t>ФП повышает вероятность дефолта</w:t>
            </w:r>
          </w:p>
        </w:tc>
      </w:tr>
      <w:tr>
        <w:tc>
          <w:tcPr>
            <w:tcW w:type="dxa" w:w="4320"/>
          </w:tcPr>
          <w:p>
            <w:r>
              <w:t>Lift &lt; 1.0</w:t>
            </w:r>
          </w:p>
        </w:tc>
        <w:tc>
          <w:tcPr>
            <w:tcW w:type="dxa" w:w="4320"/>
          </w:tcPr>
          <w:p>
            <w:r>
              <w:t>ФП понижает вероятность дефолта</w:t>
            </w:r>
          </w:p>
        </w:tc>
      </w:tr>
      <w:tr>
        <w:tc>
          <w:tcPr>
            <w:tcW w:type="dxa" w:w="4320"/>
          </w:tcPr>
          <w:p>
            <w:r>
              <w:t>Lift = 3.0</w:t>
            </w:r>
          </w:p>
        </w:tc>
        <w:tc>
          <w:tcPr>
            <w:tcW w:type="dxa" w:w="4320"/>
          </w:tcPr>
          <w:p>
            <w:r>
              <w:t>Дефолт в 3 раза вероятнее при наличии ФП</w:t>
            </w:r>
          </w:p>
        </w:tc>
      </w:tr>
    </w:tbl>
    <w:p/>
    <w:p>
      <w:r>
        <w:t xml:space="preserve">Пример: </w:t>
      </w:r>
      <w:r>
        <w:t>ФП 15.1.3 имеет Confidence = 63.16% при base rate ≈ 1.97%, значит Lift = 63.16% / 1.97% = 32.11. Вероятность дефолта у носителей ФП 15.1.3 в 32 раза выше среднего.</w:t>
      </w:r>
    </w:p>
    <w:p/>
    <w:p>
      <w:r>
        <w:rPr>
          <w:i/>
        </w:rPr>
        <w:t>Важно: Lift показывает силу ассоциации, но не отвечает на вопрос, случайна ли она. Для этого используются статистические тесты.</w:t>
      </w:r>
    </w:p>
    <w:p>
      <w:pPr>
        <w:pStyle w:val="Heading2"/>
      </w:pPr>
      <w:r>
        <w:t>1.4. Точный тест Фишера (Fisher exact test)</w:t>
      </w:r>
    </w:p>
    <w:p>
      <w:r>
        <w:t>Для каждого ФП строится таблица сопряжённости 2×2: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</w:p>
        </w:tc>
        <w:tc>
          <w:tcPr>
            <w:tcW w:type="dxa" w:w="2880"/>
          </w:tcPr>
          <w:p>
            <w:r>
              <w:rPr>
                <w:b/>
              </w:rPr>
              <w:t>Дефолт = 1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Дефолт = 0</w:t>
            </w:r>
          </w:p>
        </w:tc>
      </w:tr>
      <w:tr>
        <w:tc>
          <w:tcPr>
            <w:tcW w:type="dxa" w:w="2880"/>
          </w:tcPr>
          <w:p>
            <w:r>
              <w:t>ФП = 1 (есть)</w:t>
            </w:r>
          </w:p>
        </w:tc>
        <w:tc>
          <w:tcPr>
            <w:tcW w:type="dxa" w:w="2880"/>
          </w:tcPr>
          <w:p>
            <w:r>
              <w:t>a</w:t>
            </w:r>
          </w:p>
        </w:tc>
        <w:tc>
          <w:tcPr>
            <w:tcW w:type="dxa" w:w="2880"/>
          </w:tcPr>
          <w:p>
            <w:r>
              <w:t>b</w:t>
            </w:r>
          </w:p>
        </w:tc>
      </w:tr>
      <w:tr>
        <w:tc>
          <w:tcPr>
            <w:tcW w:type="dxa" w:w="2880"/>
          </w:tcPr>
          <w:p>
            <w:r>
              <w:t>ФП = 0 (нет)</w:t>
            </w:r>
          </w:p>
        </w:tc>
        <w:tc>
          <w:tcPr>
            <w:tcW w:type="dxa" w:w="2880"/>
          </w:tcPr>
          <w:p>
            <w:r>
              <w:t>c</w:t>
            </w:r>
          </w:p>
        </w:tc>
        <w:tc>
          <w:tcPr>
            <w:tcW w:type="dxa" w:w="2880"/>
          </w:tcPr>
          <w:p>
            <w:r>
              <w:t>d</w:t>
            </w:r>
          </w:p>
        </w:tc>
      </w:tr>
    </w:tbl>
    <w:p/>
    <w:p>
      <w:pPr>
        <w:pStyle w:val="ListBullet"/>
      </w:pPr>
      <w:r>
        <w:t>a — компании с ФП и дефолтом</w:t>
      </w:r>
    </w:p>
    <w:p>
      <w:pPr>
        <w:pStyle w:val="ListBullet"/>
      </w:pPr>
      <w:r>
        <w:t>b — компании с ФП, но без дефолта</w:t>
      </w:r>
    </w:p>
    <w:p>
      <w:pPr>
        <w:pStyle w:val="ListBullet"/>
      </w:pPr>
      <w:r>
        <w:t>c — компании без ФП, но с дефолтом</w:t>
      </w:r>
    </w:p>
    <w:p>
      <w:pPr>
        <w:pStyle w:val="ListBullet"/>
      </w:pPr>
      <w:r>
        <w:t>d — компании без ФП и без дефолта</w:t>
      </w:r>
    </w:p>
    <w:p/>
    <w:p>
      <w:r>
        <w:rPr>
          <w:b/>
        </w:rPr>
        <w:t xml:space="preserve">Нулевая гипотеза H₀: </w:t>
      </w:r>
      <w:r>
        <w:t>ФП и дефолт независимы — наличие ФП не влияет на вероятность дефолта.</w:t>
      </w:r>
    </w:p>
    <w:p>
      <w:r>
        <w:rPr>
          <w:b/>
        </w:rPr>
        <w:t xml:space="preserve">Альтернативная гипотеза H₁: </w:t>
      </w:r>
      <w:r>
        <w:t>наличие ФП повышает вероятность дефолта (односторонний тест).</w:t>
      </w:r>
    </w:p>
    <w:p>
      <w:r>
        <w:t>Тест вычисляет точную вероятность (p-value) получить такое или более экстремальное распределение в таблице 2×2, если H₀ верна. Используется гипергеометрическое распределение.</w:t>
      </w:r>
    </w:p>
    <w:p/>
    <w:p>
      <w:r>
        <w:rPr>
          <w:b/>
        </w:rPr>
        <w:t>Интерпретация p-value:</w:t>
      </w:r>
    </w:p>
    <w:p>
      <w:pPr>
        <w:pStyle w:val="ListBullet"/>
      </w:pPr>
      <w:r>
        <w:t>p-value &lt; 0.01 — очень сильные основания отвергнуть H₀</w:t>
      </w:r>
    </w:p>
    <w:p>
      <w:pPr>
        <w:pStyle w:val="ListBullet"/>
      </w:pPr>
      <w:r>
        <w:t>p-value &lt; 0.05 — достаточные основания отвергнуть H₀</w:t>
      </w:r>
    </w:p>
    <w:p>
      <w:pPr>
        <w:pStyle w:val="ListBullet"/>
      </w:pPr>
      <w:r>
        <w:t>p-value ≥ 0.05 — нет оснований отвергнуть H₀ (связь может быть случайной)</w:t>
      </w:r>
    </w:p>
    <w:p/>
    <w:p>
      <w:r>
        <w:rPr>
          <w:b/>
        </w:rPr>
        <w:t>Почему тест Фишера, а не Хи-квадрат:</w:t>
      </w:r>
    </w:p>
    <w:p>
      <w:pPr>
        <w:pStyle w:val="ListBullet"/>
      </w:pPr>
      <w:r>
        <w:t>Тест Фишера вычисляет точную вероятность, а Хи-квадрат — приближённую (асимптотическую).</w:t>
      </w:r>
    </w:p>
    <w:p>
      <w:pPr>
        <w:pStyle w:val="ListBullet"/>
      </w:pPr>
      <w:r>
        <w:t>При малых выборках (&lt; 5 наблюдений в ячейке) Хи-квадрат может давать некорректные p-value, а тест Фишера работает точно при любых размерах.</w:t>
      </w:r>
    </w:p>
    <w:p>
      <w:pPr>
        <w:pStyle w:val="ListBullet"/>
      </w:pPr>
      <w:r>
        <w:t>В нашем анализе многие ФП встречаются у 5–20 компаний, поэтому тест Фишера предпочтительнее.</w:t>
      </w:r>
    </w:p>
    <w:p>
      <w:pPr>
        <w:pStyle w:val="Heading2"/>
      </w:pPr>
      <w:r>
        <w:t>1.5. FDR-коррекция Бенджамини–Хохберга</w:t>
      </w:r>
    </w:p>
    <w:p>
      <w:r>
        <w:rPr>
          <w:b/>
        </w:rPr>
        <w:t xml:space="preserve">Проблема множественных сравнений: </w:t>
      </w:r>
      <w:r>
        <w:t>когда мы одновременно тестируем много гипотез (в нашем случае ~199 ФП), часть из них окажется «значимой» случайно. При α = 0.05 и 199 независимых тестах ожидается ~10 ложноположительных результатов, даже если ни один ФП не связан с дефолтом.</w:t>
      </w:r>
    </w:p>
    <w:p/>
    <w:p>
      <w:r>
        <w:rPr>
          <w:b/>
        </w:rPr>
        <w:t xml:space="preserve">FDR (False Discovery Rate) </w:t>
      </w:r>
      <w:r>
        <w:t>— ожидаемая доля ложных открытий среди всех признанных значимыми. Контроль FDR на уровне 5% означает: среди всех ФП, которые мы признали значимыми, не более 5% окажутся ложными.</w:t>
      </w:r>
    </w:p>
    <w:p/>
    <w:p>
      <w:r>
        <w:rPr>
          <w:b/>
        </w:rPr>
        <w:t>Алгоритм:</w:t>
      </w:r>
    </w:p>
    <w:p>
      <w:pPr>
        <w:pStyle w:val="ListNumber"/>
      </w:pPr>
      <w:r>
        <w:t>Все p-value (полученные тестом Фишера) сортируются по возрастанию.</w:t>
      </w:r>
    </w:p>
    <w:p>
      <w:pPr>
        <w:pStyle w:val="ListNumber"/>
      </w:pPr>
      <w:r>
        <w:t>Для каждого i-го p-value вычисляется порог: (i / m) × α, где m — общее число тестов.</w:t>
      </w:r>
    </w:p>
    <w:p>
      <w:pPr>
        <w:pStyle w:val="ListNumber"/>
      </w:pPr>
      <w:r>
        <w:t>Находится наибольшее k, при котором p(k) ≤ порог(k).</w:t>
      </w:r>
    </w:p>
    <w:p>
      <w:pPr>
        <w:pStyle w:val="ListNumber"/>
      </w:pPr>
      <w:r>
        <w:t>Все гипотезы с рангами 1, 2, ..., k отвергаются (признаются значимыми).</w:t>
      </w:r>
    </w:p>
    <w:p/>
    <w:p>
      <w:r>
        <w:rPr>
          <w:b/>
        </w:rPr>
        <w:t xml:space="preserve">Связь Фишера и FDR: </w:t>
      </w:r>
      <w:r>
        <w:t>тест Фишера и FDR-коррекция — не альтернативы, а два последовательных шага. Тест Фишера вычисляет «сырой» p-value для каждого ФП. FDR-коррекция берёт все p-value разом и корректирует их с учётом количества тестов. Без Фишера у FDR нет входных данных. Без FDR Фишер не защищает от множественных ложных срабатываний.</w:t>
      </w:r>
    </w:p>
    <w:p>
      <w:pPr>
        <w:pStyle w:val="Heading2"/>
      </w:pPr>
      <w:r>
        <w:t>1.6. Порядок интерпретации результатов</w:t>
      </w:r>
    </w:p>
    <w:p>
      <w:pPr>
        <w:pStyle w:val="ListNumber"/>
      </w:pPr>
      <w:r>
        <w:t>Support — достаточно ли данных? (если &lt; 5 компаний — выводы ненадёжны)</w:t>
      </w:r>
    </w:p>
    <w:p>
      <w:pPr>
        <w:pStyle w:val="ListNumber"/>
      </w:pPr>
      <w:r>
        <w:t>Lift — повышает ли ФП/комбинация вероятность дефолта? (Lift &gt; 1)</w:t>
      </w:r>
    </w:p>
    <w:p>
      <w:pPr>
        <w:pStyle w:val="ListNumber"/>
      </w:pPr>
      <w:r>
        <w:t>p-value (FDR) — значима ли связь статистически? (&lt; 0.05)</w:t>
      </w:r>
    </w:p>
    <w:p>
      <w:pPr>
        <w:pStyle w:val="ListNumber"/>
      </w:pPr>
      <w:r>
        <w:t>Confidence — насколько высок абсолютный риск дефолта?</w:t>
      </w:r>
    </w:p>
    <w:p/>
    <w:p>
      <w:r>
        <w:rPr>
          <w:b/>
        </w:rPr>
        <w:t>Идеальный предиктор: высокий Support + высокий Lift + p-value (FDR) &lt; 0.05.</w:t>
      </w:r>
    </w:p>
    <w:p>
      <w:r>
        <w:br w:type="page"/>
      </w:r>
    </w:p>
    <w:p>
      <w:pPr>
        <w:pStyle w:val="Heading1"/>
      </w:pPr>
      <w:r>
        <w:t>2. Индивидуальные ФП — статистическая значимость</w:t>
      </w:r>
    </w:p>
    <w:p>
      <w:pPr>
        <w:pStyle w:val="Heading2"/>
      </w:pPr>
      <w:r>
        <w:t>2.1. Общая статистика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Всего ФП проверено</w:t>
            </w:r>
          </w:p>
        </w:tc>
        <w:tc>
          <w:tcPr>
            <w:tcW w:type="dxa" w:w="4320"/>
          </w:tcPr>
          <w:p>
            <w:r>
              <w:t>199</w:t>
            </w:r>
          </w:p>
        </w:tc>
      </w:tr>
      <w:tr>
        <w:tc>
          <w:tcPr>
            <w:tcW w:type="dxa" w:w="4320"/>
          </w:tcPr>
          <w:p>
            <w:r>
              <w:t>Статистически значимых (FDR &lt; 0.05)</w:t>
            </w:r>
          </w:p>
        </w:tc>
        <w:tc>
          <w:tcPr>
            <w:tcW w:type="dxa" w:w="4320"/>
          </w:tcPr>
          <w:p>
            <w:r>
              <w:t>43</w:t>
            </w:r>
          </w:p>
        </w:tc>
      </w:tr>
      <w:tr>
        <w:tc>
          <w:tcPr>
            <w:tcW w:type="dxa" w:w="4320"/>
          </w:tcPr>
          <w:p>
            <w:r>
              <w:t>Доля значимых</w:t>
            </w:r>
          </w:p>
        </w:tc>
        <w:tc>
          <w:tcPr>
            <w:tcW w:type="dxa" w:w="4320"/>
          </w:tcPr>
          <w:p>
            <w:r>
              <w:t>21.6%</w:t>
            </w:r>
          </w:p>
        </w:tc>
      </w:tr>
      <w:tr>
        <w:tc>
          <w:tcPr>
            <w:tcW w:type="dxa" w:w="4320"/>
          </w:tcPr>
          <w:p>
            <w:r>
              <w:t>Базовый уровень дефолтов (base rate)</w:t>
            </w:r>
          </w:p>
        </w:tc>
        <w:tc>
          <w:tcPr>
            <w:tcW w:type="dxa" w:w="4320"/>
          </w:tcPr>
          <w:p>
            <w:r>
              <w:t>≈ 1.97%</w:t>
            </w:r>
          </w:p>
        </w:tc>
      </w:tr>
    </w:tbl>
    <w:p/>
    <w:p>
      <w:r>
        <w:t>Из 199 проверенных факторов проблемности 43 (21.6%) демонстрируют статистически значимую связь с дефолтом после коррекции на множественные сравнения.</w:t>
      </w:r>
    </w:p>
    <w:p>
      <w:pPr>
        <w:pStyle w:val="Heading2"/>
      </w:pPr>
      <w:r>
        <w:t>2.2. ТОП-20 ФП по Lift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  <w:sz w:val="20"/>
              </w:rPr>
              <w:t>№</w:t>
            </w:r>
          </w:p>
        </w:tc>
        <w:tc>
          <w:tcPr>
            <w:tcW w:type="dxa" w:w="960"/>
          </w:tcPr>
          <w:p>
            <w:r>
              <w:rPr>
                <w:b/>
                <w:sz w:val="20"/>
              </w:rPr>
              <w:t>ФП</w:t>
            </w:r>
          </w:p>
        </w:tc>
        <w:tc>
          <w:tcPr>
            <w:tcW w:type="dxa" w:w="960"/>
          </w:tcPr>
          <w:p>
            <w:r>
              <w:rPr>
                <w:b/>
                <w:sz w:val="20"/>
              </w:rPr>
              <w:t>Компаний</w:t>
            </w:r>
          </w:p>
        </w:tc>
        <w:tc>
          <w:tcPr>
            <w:tcW w:type="dxa" w:w="960"/>
          </w:tcPr>
          <w:p>
            <w:r>
              <w:rPr>
                <w:b/>
                <w:sz w:val="20"/>
              </w:rPr>
              <w:t>Support</w:t>
            </w:r>
          </w:p>
        </w:tc>
        <w:tc>
          <w:tcPr>
            <w:tcW w:type="dxa" w:w="960"/>
          </w:tcPr>
          <w:p>
            <w:r>
              <w:rPr>
                <w:b/>
                <w:sz w:val="20"/>
              </w:rPr>
              <w:t>Дефолтов</w:t>
            </w:r>
          </w:p>
        </w:tc>
        <w:tc>
          <w:tcPr>
            <w:tcW w:type="dxa" w:w="960"/>
          </w:tcPr>
          <w:p>
            <w:r>
              <w:rPr>
                <w:b/>
                <w:sz w:val="20"/>
              </w:rPr>
              <w:t>Confidence</w:t>
            </w:r>
          </w:p>
        </w:tc>
        <w:tc>
          <w:tcPr>
            <w:tcW w:type="dxa" w:w="960"/>
          </w:tcPr>
          <w:p>
            <w:r>
              <w:rPr>
                <w:b/>
                <w:sz w:val="20"/>
              </w:rPr>
              <w:t>Lift</w:t>
            </w:r>
          </w:p>
        </w:tc>
        <w:tc>
          <w:tcPr>
            <w:tcW w:type="dxa" w:w="960"/>
          </w:tcPr>
          <w:p>
            <w:r>
              <w:rPr>
                <w:b/>
                <w:sz w:val="20"/>
              </w:rPr>
              <w:t>FDR</w:t>
            </w:r>
          </w:p>
        </w:tc>
        <w:tc>
          <w:tcPr>
            <w:tcW w:type="dxa" w:w="960"/>
          </w:tcPr>
          <w:p>
            <w:r>
              <w:rPr>
                <w:b/>
                <w:sz w:val="20"/>
              </w:rPr>
              <w:t>Значим?</w:t>
            </w:r>
          </w:p>
        </w:tc>
      </w:tr>
      <w:tr>
        <w:tc>
          <w:tcPr>
            <w:tcW w:type="dxa" w:w="96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15.1.3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0.0019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63.16%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32.11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2.67e-15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Да</w:t>
            </w:r>
          </w:p>
        </w:tc>
      </w:tr>
      <w:tr>
        <w:tc>
          <w:tcPr>
            <w:tcW w:type="dxa" w:w="96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41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0.0010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40.00%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20.34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2.41e-04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Да</w:t>
            </w:r>
          </w:p>
        </w:tc>
      </w:tr>
      <w:tr>
        <w:tc>
          <w:tcPr>
            <w:tcW w:type="dxa" w:w="96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44.1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0.0008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37.50%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19.06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2.51e-03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Да</w:t>
            </w:r>
          </w:p>
        </w:tc>
      </w:tr>
      <w:tr>
        <w:tc>
          <w:tcPr>
            <w:tcW w:type="dxa" w:w="96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29.13.11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0.0006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33.33%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16.95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2.73e-02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Да</w:t>
            </w:r>
          </w:p>
        </w:tc>
      </w:tr>
      <w:tr>
        <w:tc>
          <w:tcPr>
            <w:tcW w:type="dxa" w:w="96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29.1.3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0.0006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33.33%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16.95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2.73e-02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Да</w:t>
            </w:r>
          </w:p>
        </w:tc>
      </w:tr>
      <w:tr>
        <w:tc>
          <w:tcPr>
            <w:tcW w:type="dxa" w:w="96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15.1.1У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0.0006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33.33%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16.95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2.73e-02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Да</w:t>
            </w:r>
          </w:p>
        </w:tc>
      </w:tr>
      <w:tr>
        <w:tc>
          <w:tcPr>
            <w:tcW w:type="dxa" w:w="96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14.2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0.0010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30.00%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15.25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5.05e-03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Да</w:t>
            </w:r>
          </w:p>
        </w:tc>
      </w:tr>
      <w:tr>
        <w:tc>
          <w:tcPr>
            <w:tcW w:type="dxa" w:w="96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22.2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57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0.0056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29.82%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15.16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7.70e-15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Да</w:t>
            </w:r>
          </w:p>
        </w:tc>
      </w:tr>
      <w:tr>
        <w:tc>
          <w:tcPr>
            <w:tcW w:type="dxa" w:w="960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14.1.3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0.0007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28.57%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14.53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3.59e-02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Да</w:t>
            </w:r>
          </w:p>
        </w:tc>
      </w:tr>
      <w:tr>
        <w:tc>
          <w:tcPr>
            <w:tcW w:type="dxa" w:w="960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52.0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0.0018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27.78%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14.12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1.76e-04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Да</w:t>
            </w:r>
          </w:p>
        </w:tc>
      </w:tr>
      <w:tr>
        <w:tc>
          <w:tcPr>
            <w:tcW w:type="dxa" w:w="960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50.1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0.0022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27.27%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13.87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3.07e-05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Да</w:t>
            </w:r>
          </w:p>
        </w:tc>
      </w:tr>
      <w:tr>
        <w:tc>
          <w:tcPr>
            <w:tcW w:type="dxa" w:w="960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29.5.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0.0008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25.00%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12.71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4.61e-02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Да</w:t>
            </w:r>
          </w:p>
        </w:tc>
      </w:tr>
      <w:tr>
        <w:tc>
          <w:tcPr>
            <w:tcW w:type="dxa" w:w="960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14.4.1У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0.0016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25.00%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12.71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1.51e-03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Да</w:t>
            </w:r>
          </w:p>
        </w:tc>
      </w:tr>
      <w:tr>
        <w:tc>
          <w:tcPr>
            <w:tcW w:type="dxa" w:w="960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41.1.1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0.0021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23.81%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12.10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3.51e-04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Да</w:t>
            </w:r>
          </w:p>
        </w:tc>
      </w:tr>
      <w:tr>
        <w:tc>
          <w:tcPr>
            <w:tcW w:type="dxa" w:w="960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37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92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0.0091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22.83%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11.60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1.31e-15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Да</w:t>
            </w:r>
          </w:p>
        </w:tc>
      </w:tr>
      <w:tr>
        <w:tc>
          <w:tcPr>
            <w:tcW w:type="dxa" w:w="960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15.2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159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0.0157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34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21.38%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10.87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2.43e-24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Да</w:t>
            </w:r>
          </w:p>
        </w:tc>
      </w:tr>
      <w:tr>
        <w:tc>
          <w:tcPr>
            <w:tcW w:type="dxa" w:w="960"/>
          </w:tcPr>
          <w:p>
            <w:r>
              <w:rPr>
                <w:color w:val="999999"/>
                <w:sz w:val="20"/>
              </w:rPr>
              <w:t>17</w:t>
            </w:r>
          </w:p>
        </w:tc>
        <w:tc>
          <w:tcPr>
            <w:tcW w:type="dxa" w:w="960"/>
          </w:tcPr>
          <w:p>
            <w:r>
              <w:rPr>
                <w:color w:val="999999"/>
                <w:sz w:val="20"/>
              </w:rPr>
              <w:t>14.1.2</w:t>
            </w:r>
          </w:p>
        </w:tc>
        <w:tc>
          <w:tcPr>
            <w:tcW w:type="dxa" w:w="960"/>
          </w:tcPr>
          <w:p>
            <w:r>
              <w:rPr>
                <w:color w:val="999999"/>
                <w:sz w:val="20"/>
              </w:rPr>
              <w:t>5</w:t>
            </w:r>
          </w:p>
        </w:tc>
        <w:tc>
          <w:tcPr>
            <w:tcW w:type="dxa" w:w="960"/>
          </w:tcPr>
          <w:p>
            <w:r>
              <w:rPr>
                <w:color w:val="999999"/>
                <w:sz w:val="20"/>
              </w:rPr>
              <w:t>0.0005</w:t>
            </w:r>
          </w:p>
        </w:tc>
        <w:tc>
          <w:tcPr>
            <w:tcW w:type="dxa" w:w="960"/>
          </w:tcPr>
          <w:p>
            <w:r>
              <w:rPr>
                <w:color w:val="999999"/>
                <w:sz w:val="20"/>
              </w:rPr>
              <w:t>1</w:t>
            </w:r>
          </w:p>
        </w:tc>
        <w:tc>
          <w:tcPr>
            <w:tcW w:type="dxa" w:w="960"/>
          </w:tcPr>
          <w:p>
            <w:r>
              <w:rPr>
                <w:color w:val="999999"/>
                <w:sz w:val="20"/>
              </w:rPr>
              <w:t>20.00%</w:t>
            </w:r>
          </w:p>
        </w:tc>
        <w:tc>
          <w:tcPr>
            <w:tcW w:type="dxa" w:w="960"/>
          </w:tcPr>
          <w:p>
            <w:r>
              <w:rPr>
                <w:color w:val="999999"/>
                <w:sz w:val="20"/>
              </w:rPr>
              <w:t>10.17</w:t>
            </w:r>
          </w:p>
        </w:tc>
        <w:tc>
          <w:tcPr>
            <w:tcW w:type="dxa" w:w="960"/>
          </w:tcPr>
          <w:p>
            <w:r>
              <w:rPr>
                <w:color w:val="999999"/>
                <w:sz w:val="20"/>
              </w:rPr>
              <w:t>2.90e-01</w:t>
            </w:r>
          </w:p>
        </w:tc>
        <w:tc>
          <w:tcPr>
            <w:tcW w:type="dxa" w:w="960"/>
          </w:tcPr>
          <w:p>
            <w:r>
              <w:rPr>
                <w:color w:val="999999"/>
                <w:sz w:val="20"/>
              </w:rPr>
              <w:t>Нет</w:t>
            </w:r>
          </w:p>
        </w:tc>
      </w:tr>
      <w:tr>
        <w:tc>
          <w:tcPr>
            <w:tcW w:type="dxa" w:w="960"/>
          </w:tcPr>
          <w:p>
            <w:r>
              <w:rPr>
                <w:color w:val="999999"/>
                <w:sz w:val="20"/>
              </w:rPr>
              <w:t>18</w:t>
            </w:r>
          </w:p>
        </w:tc>
        <w:tc>
          <w:tcPr>
            <w:tcW w:type="dxa" w:w="960"/>
          </w:tcPr>
          <w:p>
            <w:r>
              <w:rPr>
                <w:color w:val="999999"/>
                <w:sz w:val="20"/>
              </w:rPr>
              <w:t>25</w:t>
            </w:r>
          </w:p>
        </w:tc>
        <w:tc>
          <w:tcPr>
            <w:tcW w:type="dxa" w:w="960"/>
          </w:tcPr>
          <w:p>
            <w:r>
              <w:rPr>
                <w:color w:val="999999"/>
                <w:sz w:val="20"/>
              </w:rPr>
              <w:t>5</w:t>
            </w:r>
          </w:p>
        </w:tc>
        <w:tc>
          <w:tcPr>
            <w:tcW w:type="dxa" w:w="960"/>
          </w:tcPr>
          <w:p>
            <w:r>
              <w:rPr>
                <w:color w:val="999999"/>
                <w:sz w:val="20"/>
              </w:rPr>
              <w:t>0.0005</w:t>
            </w:r>
          </w:p>
        </w:tc>
        <w:tc>
          <w:tcPr>
            <w:tcW w:type="dxa" w:w="960"/>
          </w:tcPr>
          <w:p>
            <w:r>
              <w:rPr>
                <w:color w:val="999999"/>
                <w:sz w:val="20"/>
              </w:rPr>
              <w:t>1</w:t>
            </w:r>
          </w:p>
        </w:tc>
        <w:tc>
          <w:tcPr>
            <w:tcW w:type="dxa" w:w="960"/>
          </w:tcPr>
          <w:p>
            <w:r>
              <w:rPr>
                <w:color w:val="999999"/>
                <w:sz w:val="20"/>
              </w:rPr>
              <w:t>20.00%</w:t>
            </w:r>
          </w:p>
        </w:tc>
        <w:tc>
          <w:tcPr>
            <w:tcW w:type="dxa" w:w="960"/>
          </w:tcPr>
          <w:p>
            <w:r>
              <w:rPr>
                <w:color w:val="999999"/>
                <w:sz w:val="20"/>
              </w:rPr>
              <w:t>10.17</w:t>
            </w:r>
          </w:p>
        </w:tc>
        <w:tc>
          <w:tcPr>
            <w:tcW w:type="dxa" w:w="960"/>
          </w:tcPr>
          <w:p>
            <w:r>
              <w:rPr>
                <w:color w:val="999999"/>
                <w:sz w:val="20"/>
              </w:rPr>
              <w:t>2.90e-01</w:t>
            </w:r>
          </w:p>
        </w:tc>
        <w:tc>
          <w:tcPr>
            <w:tcW w:type="dxa" w:w="960"/>
          </w:tcPr>
          <w:p>
            <w:r>
              <w:rPr>
                <w:color w:val="999999"/>
                <w:sz w:val="20"/>
              </w:rPr>
              <w:t>Нет</w:t>
            </w:r>
          </w:p>
        </w:tc>
      </w:tr>
      <w:tr>
        <w:tc>
          <w:tcPr>
            <w:tcW w:type="dxa" w:w="960"/>
          </w:tcPr>
          <w:p>
            <w:r>
              <w:rPr>
                <w:color w:val="999999"/>
                <w:sz w:val="20"/>
              </w:rPr>
              <w:t>19</w:t>
            </w:r>
          </w:p>
        </w:tc>
        <w:tc>
          <w:tcPr>
            <w:tcW w:type="dxa" w:w="960"/>
          </w:tcPr>
          <w:p>
            <w:r>
              <w:rPr>
                <w:color w:val="999999"/>
                <w:sz w:val="20"/>
              </w:rPr>
              <w:t>16.4.1У</w:t>
            </w:r>
          </w:p>
        </w:tc>
        <w:tc>
          <w:tcPr>
            <w:tcW w:type="dxa" w:w="960"/>
          </w:tcPr>
          <w:p>
            <w:r>
              <w:rPr>
                <w:color w:val="999999"/>
                <w:sz w:val="20"/>
              </w:rPr>
              <w:t>5</w:t>
            </w:r>
          </w:p>
        </w:tc>
        <w:tc>
          <w:tcPr>
            <w:tcW w:type="dxa" w:w="960"/>
          </w:tcPr>
          <w:p>
            <w:r>
              <w:rPr>
                <w:color w:val="999999"/>
                <w:sz w:val="20"/>
              </w:rPr>
              <w:t>0.0005</w:t>
            </w:r>
          </w:p>
        </w:tc>
        <w:tc>
          <w:tcPr>
            <w:tcW w:type="dxa" w:w="960"/>
          </w:tcPr>
          <w:p>
            <w:r>
              <w:rPr>
                <w:color w:val="999999"/>
                <w:sz w:val="20"/>
              </w:rPr>
              <w:t>1</w:t>
            </w:r>
          </w:p>
        </w:tc>
        <w:tc>
          <w:tcPr>
            <w:tcW w:type="dxa" w:w="960"/>
          </w:tcPr>
          <w:p>
            <w:r>
              <w:rPr>
                <w:color w:val="999999"/>
                <w:sz w:val="20"/>
              </w:rPr>
              <w:t>20.00%</w:t>
            </w:r>
          </w:p>
        </w:tc>
        <w:tc>
          <w:tcPr>
            <w:tcW w:type="dxa" w:w="960"/>
          </w:tcPr>
          <w:p>
            <w:r>
              <w:rPr>
                <w:color w:val="999999"/>
                <w:sz w:val="20"/>
              </w:rPr>
              <w:t>10.17</w:t>
            </w:r>
          </w:p>
        </w:tc>
        <w:tc>
          <w:tcPr>
            <w:tcW w:type="dxa" w:w="960"/>
          </w:tcPr>
          <w:p>
            <w:r>
              <w:rPr>
                <w:color w:val="999999"/>
                <w:sz w:val="20"/>
              </w:rPr>
              <w:t>2.90e-01</w:t>
            </w:r>
          </w:p>
        </w:tc>
        <w:tc>
          <w:tcPr>
            <w:tcW w:type="dxa" w:w="960"/>
          </w:tcPr>
          <w:p>
            <w:r>
              <w:rPr>
                <w:color w:val="999999"/>
                <w:sz w:val="20"/>
              </w:rPr>
              <w:t>Нет</w:t>
            </w:r>
          </w:p>
        </w:tc>
      </w:tr>
      <w:tr>
        <w:tc>
          <w:tcPr>
            <w:tcW w:type="dxa" w:w="960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373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0.0369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73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19.57%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9.95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2.64e-52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Да</w:t>
            </w:r>
          </w:p>
        </w:tc>
      </w:tr>
    </w:tbl>
    <w:p/>
    <w:p>
      <w:pPr>
        <w:pStyle w:val="Heading2"/>
      </w:pPr>
      <w:r>
        <w:t>2.3. Ключевые выводы</w:t>
      </w:r>
    </w:p>
    <w:p>
      <w:pPr>
        <w:pStyle w:val="ListBullet"/>
      </w:pPr>
      <w:r>
        <w:t>ФП 15.1.3 (Lift = 32.11) — наиболее «опасный» индивидуальный фактор. Из 19 компаний-носителей 12 (63%) ушли в дефолт. Вероятность дефолта в 32 раза выше среднего. Статистическая значимость подтверждена (FDR = 2.67e-15).</w:t>
      </w:r>
    </w:p>
    <w:p>
      <w:pPr>
        <w:pStyle w:val="ListBullet"/>
      </w:pPr>
      <w:r>
        <w:t>Редкие, но опасные ФП (позиции 2–6, 9): ФП 41, 44.1, 29.13.11, 29.1.3, 15.1.1У, 14.1.3 — встречаются у 6–10 компаний, но Confidence составляет 28–40%. Все статистически значимы после FDR-коррекции.</w:t>
      </w:r>
    </w:p>
    <w:p>
      <w:pPr>
        <w:pStyle w:val="ListBullet"/>
      </w:pPr>
      <w:r>
        <w:t>ФП с высоким Support: ФП 22.2 (57 компаний, Lift = 15.16), ФП 37 (92 компании, Lift = 11.60), ФП 15.2 (159 компаний, Lift = 10.87), ФП 13 (373 компании, Lift = 9.95) — наиболее надёжные предикторы, сочетающие высокий Lift с достаточным Support.</w:t>
      </w:r>
    </w:p>
    <w:p>
      <w:pPr>
        <w:pStyle w:val="ListBullet"/>
      </w:pPr>
      <w:r>
        <w:t>Незначимые ФП (позиции 17–19): ФП 14.1.2, 25, 16.4.1У — по 5 компаний с 1 дефолтом. Lift = 10.17, но p-value (FDR) = 0.29. FDR-коррекция обоснованно отвергла значимость: один дефолт из пяти может быть случайностью.</w:t>
      </w:r>
    </w:p>
    <w:p>
      <w:r>
        <w:br w:type="page"/>
      </w:r>
    </w:p>
    <w:p>
      <w:pPr>
        <w:pStyle w:val="Heading1"/>
      </w:pPr>
      <w:r>
        <w:t>3. Комбинации из 2 ФП</w:t>
      </w:r>
    </w:p>
    <w:p>
      <w:pPr>
        <w:pStyle w:val="Heading2"/>
      </w:pPr>
      <w:r>
        <w:t>3.1. Общая статистика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ФП с ≥20 компаниями (для перебора)</w:t>
            </w:r>
          </w:p>
        </w:tc>
        <w:tc>
          <w:tcPr>
            <w:tcW w:type="dxa" w:w="4320"/>
          </w:tcPr>
          <w:p>
            <w:r>
              <w:t>119</w:t>
            </w:r>
          </w:p>
        </w:tc>
      </w:tr>
      <w:tr>
        <w:tc>
          <w:tcPr>
            <w:tcW w:type="dxa" w:w="4320"/>
          </w:tcPr>
          <w:p>
            <w:r>
              <w:t>Найдено пар</w:t>
            </w:r>
          </w:p>
        </w:tc>
        <w:tc>
          <w:tcPr>
            <w:tcW w:type="dxa" w:w="4320"/>
          </w:tcPr>
          <w:p>
            <w:r>
              <w:t>515</w:t>
            </w:r>
          </w:p>
        </w:tc>
      </w:tr>
      <w:tr>
        <w:tc>
          <w:tcPr>
            <w:tcW w:type="dxa" w:w="4320"/>
          </w:tcPr>
          <w:p>
            <w:r>
              <w:t>Значимых (FDR &lt; 0.05)</w:t>
            </w:r>
          </w:p>
        </w:tc>
        <w:tc>
          <w:tcPr>
            <w:tcW w:type="dxa" w:w="4320"/>
          </w:tcPr>
          <w:p>
            <w:r>
              <w:t>398</w:t>
            </w:r>
          </w:p>
        </w:tc>
      </w:tr>
      <w:tr>
        <w:tc>
          <w:tcPr>
            <w:tcW w:type="dxa" w:w="4320"/>
          </w:tcPr>
          <w:p>
            <w:r>
              <w:t>Доля значимых</w:t>
            </w:r>
          </w:p>
        </w:tc>
        <w:tc>
          <w:tcPr>
            <w:tcW w:type="dxa" w:w="4320"/>
          </w:tcPr>
          <w:p>
            <w:r>
              <w:t>77.3%</w:t>
            </w:r>
          </w:p>
        </w:tc>
      </w:tr>
    </w:tbl>
    <w:p/>
    <w:p>
      <w:r>
        <w:t>Из 515 обнаруженных пар 398 (77.3%) статистически значимы. Это существенно выше, чем для индивидуальных ФП (21.6%), что подтверждает: комбинации факторов — более сильные предикторы дефолта.</w:t>
      </w:r>
    </w:p>
    <w:p>
      <w:pPr>
        <w:pStyle w:val="Heading2"/>
      </w:pPr>
      <w:r>
        <w:t>3.2. ТОП-10 пар по Lift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20"/>
              </w:rPr>
              <w:t>№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ФП_1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ФП_2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Компаний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Support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Дефолтов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Confidence</w:t>
            </w:r>
          </w:p>
        </w:tc>
        <w:tc>
          <w:tcPr>
            <w:tcW w:type="dxa" w:w="1080"/>
          </w:tcPr>
          <w:p>
            <w:r>
              <w:rPr>
                <w:b/>
                <w:sz w:val="20"/>
              </w:rPr>
              <w:t>Lift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15.2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0.0026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80.77%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41.06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15.1.2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44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0.0043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27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61.36%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31.20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15.1.2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0.0015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60.00%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30.50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15.1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15.1.2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0.0011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54.55%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27.73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15.1.1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15.1.2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0.0024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54.17%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27.54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13.1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28.9.1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0.0010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50.00%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25.42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15.1.2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15.2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41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0.0041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48.78%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24.80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16.3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0.0023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47.83%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24.31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15.1.2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28.9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0.0021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47.62%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24.21</w:t>
            </w:r>
          </w:p>
        </w:tc>
      </w:tr>
      <w:tr>
        <w:tc>
          <w:tcPr>
            <w:tcW w:type="dxa" w:w="1080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14.3.1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42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0.0042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47.62%</w:t>
            </w:r>
          </w:p>
        </w:tc>
        <w:tc>
          <w:tcPr>
            <w:tcW w:type="dxa" w:w="1080"/>
          </w:tcPr>
          <w:p>
            <w:r>
              <w:rPr>
                <w:sz w:val="20"/>
              </w:rPr>
              <w:t>24.21</w:t>
            </w:r>
          </w:p>
        </w:tc>
      </w:tr>
    </w:tbl>
    <w:p/>
    <w:p>
      <w:pPr>
        <w:pStyle w:val="Heading2"/>
      </w:pPr>
      <w:r>
        <w:t>3.3. Ключевые выводы</w:t>
      </w:r>
    </w:p>
    <w:p>
      <w:pPr>
        <w:pStyle w:val="ListBullet"/>
      </w:pPr>
      <w:r>
        <w:t>Пара 13 + 15.2 (Lift = 41.06) — лидер среди комбинаций. Из 26 компаний 21 (80.77%) ушли в дефолт. Для сравнения: ФП 13 по отдельности имеет Lift = 9.95, а ФП 15.2 — Lift = 10.87. Совместное присутствие многократно усиливает «опасность».</w:t>
      </w:r>
    </w:p>
    <w:p>
      <w:pPr>
        <w:pStyle w:val="ListBullet"/>
      </w:pPr>
      <w:r>
        <w:t>Эффект синергии: Lift комбинаций значительно превышает Lift отдельных ФП. Совместное присутствие факторов повышает риск дефолта сверхаддитивно.</w:t>
      </w:r>
    </w:p>
    <w:p>
      <w:pPr>
        <w:pStyle w:val="ListBullet"/>
      </w:pPr>
      <w:r>
        <w:t>ФП 13 — ключевой «якорь»: присутствует в 4 из 10 лидирующих пар (позиции 1, 2, 8, 10). Каждый раз в сочетании с разными факторами даёт Lift &gt; 24.</w:t>
      </w:r>
    </w:p>
    <w:p>
      <w:pPr>
        <w:pStyle w:val="ListBullet"/>
      </w:pPr>
      <w:r>
        <w:t>Кластер ФП группы 15.x: факторы 15.1, 15.1.1, 15.1.2, 15.2 формируют устойчивый кластер. Их попарные комбинации (позиции 4, 5, 7) демонстрируют Lift от 24 до 28.</w:t>
      </w:r>
    </w:p>
    <w:p>
      <w:pPr>
        <w:pStyle w:val="ListBullet"/>
      </w:pPr>
      <w:r>
        <w:t>Пары 13+15.1.2 (44 компании) и 13+14.3.1 (42 компании) — наиболее надёжные предикторы, сочетающие высокий Lift с относительно большим Support.</w:t>
      </w:r>
    </w:p>
    <w:p>
      <w:r>
        <w:br w:type="page"/>
      </w:r>
    </w:p>
    <w:p>
      <w:pPr>
        <w:pStyle w:val="Heading1"/>
      </w:pPr>
      <w:r>
        <w:t>4. Комбинации из 3 ФП</w:t>
      </w:r>
    </w:p>
    <w:p>
      <w:pPr>
        <w:pStyle w:val="Heading2"/>
      </w:pPr>
      <w:r>
        <w:t>4.1. Общая статистика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ТОП-30 ФП для перебора троек</w:t>
            </w:r>
          </w:p>
        </w:tc>
        <w:tc>
          <w:tcPr>
            <w:tcW w:type="dxa" w:w="4320"/>
          </w:tcPr>
          <w:p>
            <w:r>
              <w:t>30</w:t>
            </w:r>
          </w:p>
        </w:tc>
      </w:tr>
      <w:tr>
        <w:tc>
          <w:tcPr>
            <w:tcW w:type="dxa" w:w="4320"/>
          </w:tcPr>
          <w:p>
            <w:r>
              <w:t>Всего перебрано комбинаций C(30,3)</w:t>
            </w:r>
          </w:p>
        </w:tc>
        <w:tc>
          <w:tcPr>
            <w:tcW w:type="dxa" w:w="4320"/>
          </w:tcPr>
          <w:p>
            <w:r>
              <w:t>4 060</w:t>
            </w:r>
          </w:p>
        </w:tc>
      </w:tr>
      <w:tr>
        <w:tc>
          <w:tcPr>
            <w:tcW w:type="dxa" w:w="4320"/>
          </w:tcPr>
          <w:p>
            <w:r>
              <w:t>Найдено троек (≥10 компаний)</w:t>
            </w:r>
          </w:p>
        </w:tc>
        <w:tc>
          <w:tcPr>
            <w:tcW w:type="dxa" w:w="4320"/>
          </w:tcPr>
          <w:p>
            <w:r>
              <w:t>53</w:t>
            </w:r>
          </w:p>
        </w:tc>
      </w:tr>
      <w:tr>
        <w:tc>
          <w:tcPr>
            <w:tcW w:type="dxa" w:w="4320"/>
          </w:tcPr>
          <w:p>
            <w:r>
              <w:t>Значимых (FDR &lt; 0.05)</w:t>
            </w:r>
          </w:p>
        </w:tc>
        <w:tc>
          <w:tcPr>
            <w:tcW w:type="dxa" w:w="4320"/>
          </w:tcPr>
          <w:p>
            <w:r>
              <w:t>53</w:t>
            </w:r>
          </w:p>
        </w:tc>
      </w:tr>
      <w:tr>
        <w:tc>
          <w:tcPr>
            <w:tcW w:type="dxa" w:w="4320"/>
          </w:tcPr>
          <w:p>
            <w:r>
              <w:t>Доля значимых</w:t>
            </w:r>
          </w:p>
        </w:tc>
        <w:tc>
          <w:tcPr>
            <w:tcW w:type="dxa" w:w="4320"/>
          </w:tcPr>
          <w:p>
            <w:r>
              <w:t>100%</w:t>
            </w:r>
          </w:p>
        </w:tc>
      </w:tr>
    </w:tbl>
    <w:p/>
    <w:p>
      <w:r>
        <w:t>Все 53 обнаруженные тройки статистически значимы. Тройные комбинации ФП дают ещё более сильный и устойчивый сигнал, чем пары.</w:t>
      </w:r>
    </w:p>
    <w:p>
      <w:pPr>
        <w:pStyle w:val="Heading2"/>
      </w:pPr>
      <w:r>
        <w:t>4.2. ТОП-10 троек по Lift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rPr>
                <w:b/>
                <w:sz w:val="20"/>
              </w:rPr>
              <w:t>№</w:t>
            </w:r>
          </w:p>
        </w:tc>
        <w:tc>
          <w:tcPr>
            <w:tcW w:type="dxa" w:w="960"/>
          </w:tcPr>
          <w:p>
            <w:r>
              <w:rPr>
                <w:b/>
                <w:sz w:val="20"/>
              </w:rPr>
              <w:t>ФП_1</w:t>
            </w:r>
          </w:p>
        </w:tc>
        <w:tc>
          <w:tcPr>
            <w:tcW w:type="dxa" w:w="960"/>
          </w:tcPr>
          <w:p>
            <w:r>
              <w:rPr>
                <w:b/>
                <w:sz w:val="20"/>
              </w:rPr>
              <w:t>ФП_2</w:t>
            </w:r>
          </w:p>
        </w:tc>
        <w:tc>
          <w:tcPr>
            <w:tcW w:type="dxa" w:w="960"/>
          </w:tcPr>
          <w:p>
            <w:r>
              <w:rPr>
                <w:b/>
                <w:sz w:val="20"/>
              </w:rPr>
              <w:t>ФП_3</w:t>
            </w:r>
          </w:p>
        </w:tc>
        <w:tc>
          <w:tcPr>
            <w:tcW w:type="dxa" w:w="960"/>
          </w:tcPr>
          <w:p>
            <w:r>
              <w:rPr>
                <w:b/>
                <w:sz w:val="20"/>
              </w:rPr>
              <w:t>Компаний</w:t>
            </w:r>
          </w:p>
        </w:tc>
        <w:tc>
          <w:tcPr>
            <w:tcW w:type="dxa" w:w="960"/>
          </w:tcPr>
          <w:p>
            <w:r>
              <w:rPr>
                <w:b/>
                <w:sz w:val="20"/>
              </w:rPr>
              <w:t>Support</w:t>
            </w:r>
          </w:p>
        </w:tc>
        <w:tc>
          <w:tcPr>
            <w:tcW w:type="dxa" w:w="960"/>
          </w:tcPr>
          <w:p>
            <w:r>
              <w:rPr>
                <w:b/>
                <w:sz w:val="20"/>
              </w:rPr>
              <w:t>Дефолтов</w:t>
            </w:r>
          </w:p>
        </w:tc>
        <w:tc>
          <w:tcPr>
            <w:tcW w:type="dxa" w:w="960"/>
          </w:tcPr>
          <w:p>
            <w:r>
              <w:rPr>
                <w:b/>
                <w:sz w:val="20"/>
              </w:rPr>
              <w:t>Confidence</w:t>
            </w:r>
          </w:p>
        </w:tc>
        <w:tc>
          <w:tcPr>
            <w:tcW w:type="dxa" w:w="960"/>
          </w:tcPr>
          <w:p>
            <w:r>
              <w:rPr>
                <w:b/>
                <w:sz w:val="20"/>
              </w:rPr>
              <w:t>Lift</w:t>
            </w:r>
          </w:p>
        </w:tc>
      </w:tr>
      <w:tr>
        <w:tc>
          <w:tcPr>
            <w:tcW w:type="dxa" w:w="960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14.3.1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15.2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0.0011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90.91%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46.22</w:t>
            </w:r>
          </w:p>
        </w:tc>
      </w:tr>
      <w:tr>
        <w:tc>
          <w:tcPr>
            <w:tcW w:type="dxa" w:w="960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15.1.2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15.2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0.0018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88.89%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45.19</w:t>
            </w:r>
          </w:p>
        </w:tc>
      </w:tr>
      <w:tr>
        <w:tc>
          <w:tcPr>
            <w:tcW w:type="dxa" w:w="960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14.3.1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15.1.2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0.0014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85.71%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43.58</w:t>
            </w:r>
          </w:p>
        </w:tc>
      </w:tr>
      <w:tr>
        <w:tc>
          <w:tcPr>
            <w:tcW w:type="dxa" w:w="960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14.3.1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15.1.1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15.1.2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0.0010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80.00%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40.67</w:t>
            </w:r>
          </w:p>
        </w:tc>
      </w:tr>
      <w:tr>
        <w:tc>
          <w:tcPr>
            <w:tcW w:type="dxa" w:w="960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15.1.1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15.2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0.0014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78.57%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39.95</w:t>
            </w:r>
          </w:p>
        </w:tc>
      </w:tr>
      <w:tr>
        <w:tc>
          <w:tcPr>
            <w:tcW w:type="dxa" w:w="960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15.1.1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15.1.2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15.2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0.0013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76.92%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39.11</w:t>
            </w:r>
          </w:p>
        </w:tc>
      </w:tr>
      <w:tr>
        <w:tc>
          <w:tcPr>
            <w:tcW w:type="dxa" w:w="96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15.1.2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16.3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0.0010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70.00%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35.59</w:t>
            </w:r>
          </w:p>
        </w:tc>
      </w:tr>
      <w:tr>
        <w:tc>
          <w:tcPr>
            <w:tcW w:type="dxa" w:w="960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15.1.1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15.1.2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0.0013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69.23%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35.20</w:t>
            </w:r>
          </w:p>
        </w:tc>
      </w:tr>
      <w:tr>
        <w:tc>
          <w:tcPr>
            <w:tcW w:type="dxa" w:w="960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14.3.1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15.1.2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15.2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0.0018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66.67%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33.89</w:t>
            </w:r>
          </w:p>
        </w:tc>
      </w:tr>
      <w:tr>
        <w:tc>
          <w:tcPr>
            <w:tcW w:type="dxa" w:w="960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15.1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15.2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16.2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0.0011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63.64%</w:t>
            </w:r>
          </w:p>
        </w:tc>
        <w:tc>
          <w:tcPr>
            <w:tcW w:type="dxa" w:w="960"/>
          </w:tcPr>
          <w:p>
            <w:r>
              <w:rPr>
                <w:sz w:val="20"/>
              </w:rPr>
              <w:t>32.35</w:t>
            </w:r>
          </w:p>
        </w:tc>
      </w:tr>
    </w:tbl>
    <w:p/>
    <w:p>
      <w:pPr>
        <w:pStyle w:val="Heading2"/>
      </w:pPr>
      <w:r>
        <w:t>4.3. Ключевые выводы</w:t>
      </w:r>
    </w:p>
    <w:p>
      <w:pPr>
        <w:pStyle w:val="ListBullet"/>
      </w:pPr>
      <w:r>
        <w:t>Тройка 13 + 14.3.1 + 15.2 (Lift = 46.22) — наиболее «опасная» комбинация. Из 11 компаний-носителей 10 (91%) ушли в дефолт. Вероятность дефолта в 46 раз выше среднего.</w:t>
      </w:r>
    </w:p>
    <w:p>
      <w:pPr>
        <w:pStyle w:val="ListBullet"/>
      </w:pPr>
      <w:r>
        <w:t>Рост Lift при увеличении числа ФП: ФП 13 отдельно (Lift = 9.95) → пара 13+15.2 (Lift = 41.06) → тройка 13+14.3.1+15.2 (Lift = 46.22). Каждый дополнительный ФП усиливает предсказательную силу.</w:t>
      </w:r>
    </w:p>
    <w:p>
      <w:pPr>
        <w:pStyle w:val="ListBullet"/>
      </w:pPr>
      <w:r>
        <w:t>ФП 13 — системообразующий фактор: входит в 7 из 10 лидирующих троек.</w:t>
      </w:r>
    </w:p>
    <w:p>
      <w:pPr>
        <w:pStyle w:val="ListBullet"/>
      </w:pPr>
      <w:r>
        <w:t>ФП 15.1.2 — второй ключевой фактор: присутствует в 8 из 10 троек.</w:t>
      </w:r>
    </w:p>
    <w:p>
      <w:pPr>
        <w:pStyle w:val="ListBullet"/>
      </w:pPr>
      <w:r>
        <w:t>Кластер ядра: ФП 13, 14.3.1, 15.1.1, 15.1.2, 15.2 — любая тройка из этих пяти факторов имеет Confidence ≥ 67% и Lift &gt; 33.</w:t>
      </w:r>
    </w:p>
    <w:p>
      <w:pPr>
        <w:pStyle w:val="ListBullet"/>
      </w:pPr>
      <w:r>
        <w:t>Confidence в ТОП-10 троек: от 63.6% до 90.9%. Для сравнения: пары — от 47.6% до 80.8%, индивидуальные ФП — от 19.6% до 63.2%.</w:t>
      </w:r>
    </w:p>
    <w:p>
      <w:r>
        <w:br w:type="page"/>
      </w:r>
    </w:p>
    <w:p>
      <w:pPr>
        <w:pStyle w:val="Heading1"/>
      </w:pPr>
      <w:r>
        <w:t>5. Общие выводы и рекомендации</w:t>
      </w:r>
    </w:p>
    <w:p>
      <w:pPr>
        <w:pStyle w:val="Heading2"/>
      </w:pPr>
      <w:r>
        <w:t>5.1. Ключевые выводы</w:t>
      </w:r>
    </w:p>
    <w:p>
      <w:pPr>
        <w:pStyle w:val="ListNumber"/>
      </w:pPr>
      <w:r>
        <w:t>Из 199 факторов проблемности 43 (21.6%) индивидуально значимы. При объединении в пары значимость возрастает до 77.3%, а в тройках — до 100%. Гипотеза 1 подтверждена: комбинации ФП несут дополнительную прогностическую информацию, превышающую вклад отдельных факторов.</w:t>
      </w:r>
    </w:p>
    <w:p>
      <w:pPr>
        <w:pStyle w:val="ListNumber"/>
      </w:pPr>
      <w:r>
        <w:t>Эффект синергии: комбинации ФП дают сверхаддитивный Lift. Индивидуальные ФП — Lift до 32, пары — до 41, тройки — до 46.</w:t>
      </w:r>
    </w:p>
    <w:p>
      <w:pPr>
        <w:pStyle w:val="ListNumber"/>
      </w:pPr>
      <w:r>
        <w:t>ФП 13 — ключевой фактор: присутствует в 4 из 10 лидирующих пар и в 7 из 10 лидирующих троек.</w:t>
      </w:r>
    </w:p>
    <w:p>
      <w:pPr>
        <w:pStyle w:val="ListNumber"/>
      </w:pPr>
      <w:r>
        <w:t>Кластер «ядра»: ФП 13, 14.3.1, 15.1.1, 15.1.2, 15.2 — пять факторов, любая комбинация которых ассоциирована с вероятностью дефолта 67–91%.</w:t>
      </w:r>
    </w:p>
    <w:p>
      <w:pPr>
        <w:pStyle w:val="ListNumber"/>
      </w:pPr>
      <w:r>
        <w:t>Тест Фишера + FDR-коррекция обеспечили надёжность: 3 ФП из ТОП-20 обоснованно отвергнуты (по 5 компаний с 1 дефолтом), все признанные значимыми имеют FDR-скорректированные p-value на много порядков ниже 0.05.</w:t>
      </w:r>
    </w:p>
    <w:p>
      <w:pPr>
        <w:pStyle w:val="Heading2"/>
      </w:pPr>
      <w:r>
        <w:t>5.2. Рекомендации для следующих этапов</w:t>
      </w:r>
    </w:p>
    <w:p>
      <w:pPr>
        <w:pStyle w:val="ListNumber"/>
      </w:pPr>
      <w:r>
        <w:t>Рассмотреть кластер ФП 13 + 14.3.1 + 15.1.1 + 15.1.2 + 15.2 как приоритетный набор факторов для системы раннего предупреждения о дефолтах.</w:t>
      </w:r>
    </w:p>
    <w:p>
      <w:pPr>
        <w:pStyle w:val="ListNumber"/>
      </w:pPr>
      <w:r>
        <w:t>Проверить, сохраняются ли выявленные закономерности в разрезе сегментов (X_AREA_RESP) — раздел 4 ноутбука.</w:t>
      </w:r>
    </w:p>
    <w:p>
      <w:pPr>
        <w:pStyle w:val="ListNumber"/>
      </w:pPr>
      <w:r>
        <w:t>Исследовать последовательности ФП (раздел 3 ноутбука): определить, имеет ли значение порядок возникновения ФП и какие временные лаги характерны.</w:t>
      </w:r>
    </w:p>
    <w:p>
      <w:pPr>
        <w:pStyle w:val="ListNumber"/>
      </w:pPr>
      <w:r>
        <w:t>ФП с малым Support (&lt; 10 компаний), но высоким Lift (&gt; 15) — мониторить при накоплении данных.</w:t>
      </w:r>
    </w:p>
    <w:p/>
    <w:p/>
    <w:p>
      <w:pPr>
        <w:jc w:val="center"/>
      </w:pPr>
      <w:r>
        <w:rPr>
          <w:i/>
          <w:sz w:val="22"/>
        </w:rPr>
        <w:t>Отчёт подготовлен на основании результатов проверки Гипотезы 1 (Комбинации ФП),</w:t>
        <w:br/>
        <w:t>выполненной в ноутбуке EDA/hypothesis_1_combinations.ipynb</w:t>
        <w:br/>
        <w:t>в рамках проекта ДМУКП.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/>
      <w:b/>
      <w:bCs/>
      <w:i/>
      <w:iCs/>
      <w:color w:val="1F3A5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/>
      <w:b/>
      <w:color w:val="1F3A5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/>
      <w:b/>
      <w:i/>
      <w:iCs/>
      <w:color w:val="1F3A5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/>
      <w:b/>
      <w:i/>
      <w:iCs/>
      <w:color w:val="1F3A5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/>
      <w:b/>
      <w:color w:val="1F3A5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/>
      <w:b/>
      <w:i/>
      <w:iCs/>
      <w:color w:val="1F3A5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Times New Roman" w:hAnsi="Times New Roman"/>
      <w:b/>
      <w:bCs/>
      <w:color w:val="1F3A5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Times New Roman" w:hAnsi="Times New Roman"/>
      <w:b/>
      <w:bCs/>
      <w:color w:val="1F3A5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Times New Roman" w:hAnsi="Times New Roman"/>
      <w:b/>
      <w:bCs/>
      <w:color w:val="1F3A5F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Times New Roman" w:hAnsi="Times New Roman"/>
      <w:b/>
      <w:bCs/>
      <w:i/>
      <w:iCs/>
      <w:color w:val="1F3A5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Times New Roman" w:hAnsi="Times New Roman"/>
      <w:b/>
      <w:color w:val="1F3A5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Times New Roman" w:hAnsi="Times New Roman"/>
      <w:b/>
      <w:i/>
      <w:iCs/>
      <w:color w:val="1F3A5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Times New Roman" w:hAnsi="Times New Roman"/>
      <w:b/>
      <w:i/>
      <w:iCs/>
      <w:color w:val="1F3A5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Times New Roman" w:hAnsi="Times New Roman"/>
      <w:b/>
      <w:color w:val="1F3A5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Times New Roman" w:hAnsi="Times New Roman"/>
      <w:b/>
      <w:i/>
      <w:iCs/>
      <w:color w:val="1F3A5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