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 w:before="0" w:line="276" w:lineRule="auto"/>
        <w:jc w:val="center"/>
      </w:pPr>
      <w:r>
        <w:rPr>
          <w:rFonts w:ascii="Times New Roman" w:hAnsi="Times New Roman" w:eastAsia="Times New Roman"/>
          <w:b/>
          <w:sz w:val="32"/>
        </w:rPr>
        <w:t>Аналитическая записка</w:t>
      </w:r>
    </w:p>
    <w:p>
      <w:pPr>
        <w:spacing w:after="40" w:before="0" w:line="276" w:lineRule="auto"/>
        <w:jc w:val="center"/>
      </w:pPr>
      <w:r>
        <w:rPr>
          <w:rFonts w:ascii="Times New Roman" w:hAnsi="Times New Roman" w:eastAsia="Times New Roman"/>
          <w:b/>
          <w:sz w:val="28"/>
        </w:rPr>
        <w:t>Сверка дашборда эквайринга и отчёта коллег</w:t>
      </w:r>
    </w:p>
    <w:p>
      <w:pPr>
        <w:spacing w:after="240" w:before="0" w:line="276" w:lineRule="auto"/>
        <w:jc w:val="center"/>
      </w:pPr>
      <w:r>
        <w:rPr>
          <w:rFonts w:ascii="Times New Roman" w:hAnsi="Times New Roman" w:eastAsia="Times New Roman"/>
          <w:b w:val="0"/>
          <w:sz w:val="24"/>
        </w:rPr>
        <w:t>Январь–июль 2026</w:t>
      </w:r>
    </w:p>
    <w:p>
      <w:pPr>
        <w:spacing w:after="120" w:before="280" w:line="276" w:lineRule="auto"/>
      </w:pPr>
      <w:r>
        <w:rPr>
          <w:rFonts w:ascii="Times New Roman" w:hAnsi="Times New Roman" w:eastAsia="Times New Roman"/>
          <w:b/>
          <w:sz w:val="28"/>
        </w:rPr>
        <w:t>1. Что сравниваем</w:t>
      </w:r>
    </w:p>
    <w:p>
      <w:pPr>
        <w:spacing w:after="160" w:before="0" w:line="276" w:lineRule="auto"/>
      </w:pPr>
      <w:r>
        <w:rPr>
          <w:rFonts w:ascii="Times New Roman" w:hAnsi="Times New Roman" w:eastAsia="Times New Roman"/>
          <w:b w:val="0"/>
          <w:sz w:val="24"/>
        </w:rPr>
        <w:t>Колонка «ДБ» — витрина final_df_script_3_1, та, что ляжет в основу дашборда. Файл сверки — portal_vs_dashboard_2026_01_2026_07_final_df_script_3_1.xlsx. Колонка «Портал» — месячные Excel-отчёты эквайринга. Разница везде считается как дашборд минус отчёт. Месяцы только с января по июль 2026. Каталоги final_script_2 и final_script_2_1 в эту сверку не входят.</w:t>
      </w:r>
    </w:p>
    <w:p>
      <w:pPr>
        <w:spacing w:after="160" w:before="0" w:line="276" w:lineRule="auto"/>
      </w:pPr>
      <w:r>
        <w:rPr>
          <w:rFonts w:ascii="Times New Roman" w:hAnsi="Times New Roman" w:eastAsia="Times New Roman"/>
          <w:b w:val="0"/>
          <w:sz w:val="24"/>
        </w:rPr>
        <w:t>В компактной таблице оборот показан в миллиардах рублей, остальные деньги — в миллионах, процент эквайринга — в процентах. Клиенты, приток, отток, точки и терминалы — в штуках.</w:t>
      </w:r>
    </w:p>
    <w:p>
      <w:pPr>
        <w:spacing w:after="160" w:before="0" w:line="276" w:lineRule="auto"/>
      </w:pPr>
      <w:r>
        <w:rPr>
          <w:rFonts w:ascii="Times New Roman" w:hAnsi="Times New Roman" w:eastAsia="Times New Roman"/>
          <w:b w:val="0"/>
          <w:sz w:val="24"/>
        </w:rPr>
        <w:t>Строка «Фин. результат» в этой записке собрана по правилу дашборда из трёх строк той же таблицы: ЧОД минус АУР минус амортизация, с округлением до 0,01 млн руб. Так финрезультат устроен в сборке, и по нему ниже разобраны май и июнь.</w:t>
      </w:r>
    </w:p>
    <w:p>
      <w:pPr>
        <w:spacing w:after="120" w:before="280" w:line="276" w:lineRule="auto"/>
      </w:pPr>
      <w:r>
        <w:rPr>
          <w:rFonts w:ascii="Times New Roman" w:hAnsi="Times New Roman" w:eastAsia="Times New Roman"/>
          <w:b/>
          <w:sz w:val="28"/>
        </w:rPr>
        <w:t>2. Сводная таблица</w:t>
      </w:r>
    </w:p>
    <w:p>
      <w:pPr>
        <w:spacing w:after="120" w:before="0" w:line="276" w:lineRule="auto"/>
      </w:pPr>
      <w:r>
        <w:rPr>
          <w:rFonts w:ascii="Times New Roman" w:hAnsi="Times New Roman" w:eastAsia="Times New Roman"/>
          <w:b w:val="0"/>
          <w:sz w:val="24"/>
        </w:rPr>
        <w:t>В строке «Активные» слева договор дашборда с активным терминалом, справа договор отчёта хотя бы с одной транзакцией. «Неактивные» — все остальные договоры той же стороны. Обе ячейки заполнены.</w:t>
      </w:r>
    </w:p>
    <w:p>
      <w:pPr>
        <w:sectPr>
          <w:footerReference w:type="default" r:id="rId9"/>
          <w:pgSz w:w="11906" w:h="16838"/>
          <w:pgMar w:top="1020" w:right="1020" w:bottom="1020" w:left="1134" w:header="720" w:footer="720" w:gutter="0"/>
          <w:cols w:space="720"/>
          <w:docGrid w:linePitch="360"/>
        </w:sectPr>
      </w:pPr>
    </w:p>
    <w:p>
      <w:pPr>
        <w:spacing w:after="80" w:before="0" w:line="276" w:lineRule="auto"/>
      </w:pPr>
      <w:r>
        <w:rPr>
          <w:rFonts w:ascii="Times New Roman" w:hAnsi="Times New Roman" w:eastAsia="Times New Roman"/>
          <w:b/>
          <w:sz w:val="24"/>
        </w:rPr>
        <w:t>Таблица 1. Сверка, компактный вид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20"/>
        <w:gridCol w:w="1020"/>
        <w:gridCol w:w="1020"/>
        <w:gridCol w:w="1020"/>
        <w:gridCol w:w="1020"/>
        <w:gridCol w:w="1020"/>
        <w:gridCol w:w="1020"/>
        <w:gridCol w:w="1020"/>
        <w:gridCol w:w="1020"/>
        <w:gridCol w:w="1020"/>
        <w:gridCol w:w="1020"/>
        <w:gridCol w:w="1020"/>
        <w:gridCol w:w="1020"/>
        <w:gridCol w:w="1020"/>
        <w:gridCol w:w="1020"/>
        <w:gridCol w:w="1020"/>
        <w:gridCol w:w="1020"/>
        <w:gridCol w:w="1020"/>
        <w:gridCol w:w="1020"/>
        <w:gridCol w:w="1020"/>
        <w:gridCol w:w="1020"/>
        <w:gridCol w:w="1020"/>
      </w:tblGrid>
      <w:tr>
        <w:tc>
          <w:tcPr>
            <w:tcW w:type="dxa" w:w="3515"/>
            <w:vMerge w:val="restart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1F4E79" w:val="clear"/>
            <w:vAlign w:val="center"/>
          </w:tcPr>
          <w:p>
            <w:pPr>
              <w:spacing w:before="0" w:after="0"/>
              <w:jc w:val="left"/>
            </w:pPr>
            <w:r>
              <w:rPr>
                <w:color w:val="FFFFFF"/>
              </w:rPr>
            </w:r>
            <w:r>
              <w:rPr>
                <w:rFonts w:ascii="Times New Roman" w:hAnsi="Times New Roman" w:eastAsia="Times New Roman"/>
                <w:b/>
                <w:sz w:val="16"/>
              </w:rPr>
              <w:t>Показатель</w:t>
            </w:r>
          </w:p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</w:r>
          </w:p>
        </w:tc>
        <w:tc>
          <w:tcPr>
            <w:tcW w:type="dxa" w:w="879"/>
            <w:gridSpan w:val="3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1F4E79" w:val="clear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FFFFFF"/>
              </w:rPr>
            </w:r>
            <w:r>
              <w:rPr>
                <w:rFonts w:ascii="Times New Roman" w:hAnsi="Times New Roman" w:eastAsia="Times New Roman"/>
                <w:b/>
                <w:sz w:val="16"/>
              </w:rPr>
              <w:t>01.26</w:t>
            </w:r>
          </w:p>
        </w:tc>
        <w:tc>
          <w:tcPr>
            <w:tcW w:type="dxa" w:w="879"/>
            <w:gridSpan w:val="3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1F4E79" w:val="clear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FFFFFF"/>
              </w:rPr>
            </w:r>
            <w:r>
              <w:rPr>
                <w:rFonts w:ascii="Times New Roman" w:hAnsi="Times New Roman" w:eastAsia="Times New Roman"/>
                <w:b/>
                <w:sz w:val="16"/>
              </w:rPr>
              <w:t>02.26</w:t>
            </w:r>
          </w:p>
        </w:tc>
        <w:tc>
          <w:tcPr>
            <w:tcW w:type="dxa" w:w="879"/>
            <w:gridSpan w:val="3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1F4E79" w:val="clear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FFFFFF"/>
              </w:rPr>
            </w:r>
            <w:r>
              <w:rPr>
                <w:rFonts w:ascii="Times New Roman" w:hAnsi="Times New Roman" w:eastAsia="Times New Roman"/>
                <w:b/>
                <w:sz w:val="16"/>
              </w:rPr>
              <w:t>03.26</w:t>
            </w:r>
          </w:p>
        </w:tc>
        <w:tc>
          <w:tcPr>
            <w:tcW w:type="dxa" w:w="879"/>
            <w:gridSpan w:val="3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1F4E79" w:val="clear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FFFFFF"/>
              </w:rPr>
            </w:r>
            <w:r>
              <w:rPr>
                <w:rFonts w:ascii="Times New Roman" w:hAnsi="Times New Roman" w:eastAsia="Times New Roman"/>
                <w:b/>
                <w:sz w:val="16"/>
              </w:rPr>
              <w:t>04.26</w:t>
            </w:r>
          </w:p>
        </w:tc>
        <w:tc>
          <w:tcPr>
            <w:tcW w:type="dxa" w:w="879"/>
            <w:gridSpan w:val="3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1F4E79" w:val="clear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FFFFFF"/>
              </w:rPr>
            </w:r>
            <w:r>
              <w:rPr>
                <w:rFonts w:ascii="Times New Roman" w:hAnsi="Times New Roman" w:eastAsia="Times New Roman"/>
                <w:b/>
                <w:sz w:val="16"/>
              </w:rPr>
              <w:t>05.26</w:t>
            </w:r>
          </w:p>
        </w:tc>
        <w:tc>
          <w:tcPr>
            <w:tcW w:type="dxa" w:w="879"/>
            <w:gridSpan w:val="3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1F4E79" w:val="clear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FFFFFF"/>
              </w:rPr>
            </w:r>
            <w:r>
              <w:rPr>
                <w:rFonts w:ascii="Times New Roman" w:hAnsi="Times New Roman" w:eastAsia="Times New Roman"/>
                <w:b/>
                <w:sz w:val="16"/>
              </w:rPr>
              <w:t>06.26</w:t>
            </w:r>
          </w:p>
        </w:tc>
        <w:tc>
          <w:tcPr>
            <w:tcW w:type="dxa" w:w="879"/>
            <w:gridSpan w:val="3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1F4E79" w:val="clear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FFFFFF"/>
              </w:rPr>
            </w:r>
            <w:r>
              <w:rPr>
                <w:rFonts w:ascii="Times New Roman" w:hAnsi="Times New Roman" w:eastAsia="Times New Roman"/>
                <w:b/>
                <w:sz w:val="16"/>
              </w:rPr>
              <w:t>07.26</w:t>
            </w:r>
          </w:p>
        </w:tc>
      </w:tr>
      <w:tr>
        <w:tc>
          <w:tcPr>
            <w:tcW w:type="dxa" w:w="1020"/>
            <w:vMerge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1F4E79" w:val="clear"/>
            <w:vAlign w:val="center"/>
          </w:tcPr>
          <w:p/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2E75B6" w:val="clear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FFFFFF"/>
              </w:rPr>
            </w:r>
            <w:r>
              <w:rPr>
                <w:rFonts w:ascii="Times New Roman" w:hAnsi="Times New Roman" w:eastAsia="Times New Roman"/>
                <w:b/>
                <w:sz w:val="14"/>
              </w:rPr>
              <w:t>ДБ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2E75B6" w:val="clear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FFFFFF"/>
              </w:rPr>
            </w:r>
            <w:r>
              <w:rPr>
                <w:rFonts w:ascii="Times New Roman" w:hAnsi="Times New Roman" w:eastAsia="Times New Roman"/>
                <w:b/>
                <w:sz w:val="14"/>
              </w:rPr>
              <w:t>Портал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2E75B6" w:val="clear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FFFFFF"/>
              </w:rPr>
            </w:r>
            <w:r>
              <w:rPr>
                <w:rFonts w:ascii="Times New Roman" w:hAnsi="Times New Roman" w:eastAsia="Times New Roman"/>
                <w:b/>
                <w:sz w:val="14"/>
              </w:rPr>
              <w:t>Δ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2E75B6" w:val="clear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FFFFFF"/>
              </w:rPr>
            </w:r>
            <w:r>
              <w:rPr>
                <w:rFonts w:ascii="Times New Roman" w:hAnsi="Times New Roman" w:eastAsia="Times New Roman"/>
                <w:b/>
                <w:sz w:val="14"/>
              </w:rPr>
              <w:t>ДБ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2E75B6" w:val="clear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FFFFFF"/>
              </w:rPr>
            </w:r>
            <w:r>
              <w:rPr>
                <w:rFonts w:ascii="Times New Roman" w:hAnsi="Times New Roman" w:eastAsia="Times New Roman"/>
                <w:b/>
                <w:sz w:val="14"/>
              </w:rPr>
              <w:t>Портал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2E75B6" w:val="clear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FFFFFF"/>
              </w:rPr>
            </w:r>
            <w:r>
              <w:rPr>
                <w:rFonts w:ascii="Times New Roman" w:hAnsi="Times New Roman" w:eastAsia="Times New Roman"/>
                <w:b/>
                <w:sz w:val="14"/>
              </w:rPr>
              <w:t>Δ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2E75B6" w:val="clear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FFFFFF"/>
              </w:rPr>
            </w:r>
            <w:r>
              <w:rPr>
                <w:rFonts w:ascii="Times New Roman" w:hAnsi="Times New Roman" w:eastAsia="Times New Roman"/>
                <w:b/>
                <w:sz w:val="14"/>
              </w:rPr>
              <w:t>ДБ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2E75B6" w:val="clear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FFFFFF"/>
              </w:rPr>
            </w:r>
            <w:r>
              <w:rPr>
                <w:rFonts w:ascii="Times New Roman" w:hAnsi="Times New Roman" w:eastAsia="Times New Roman"/>
                <w:b/>
                <w:sz w:val="14"/>
              </w:rPr>
              <w:t>Портал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2E75B6" w:val="clear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FFFFFF"/>
              </w:rPr>
            </w:r>
            <w:r>
              <w:rPr>
                <w:rFonts w:ascii="Times New Roman" w:hAnsi="Times New Roman" w:eastAsia="Times New Roman"/>
                <w:b/>
                <w:sz w:val="14"/>
              </w:rPr>
              <w:t>Δ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2E75B6" w:val="clear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FFFFFF"/>
              </w:rPr>
            </w:r>
            <w:r>
              <w:rPr>
                <w:rFonts w:ascii="Times New Roman" w:hAnsi="Times New Roman" w:eastAsia="Times New Roman"/>
                <w:b/>
                <w:sz w:val="14"/>
              </w:rPr>
              <w:t>ДБ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2E75B6" w:val="clear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FFFFFF"/>
              </w:rPr>
            </w:r>
            <w:r>
              <w:rPr>
                <w:rFonts w:ascii="Times New Roman" w:hAnsi="Times New Roman" w:eastAsia="Times New Roman"/>
                <w:b/>
                <w:sz w:val="14"/>
              </w:rPr>
              <w:t>Портал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2E75B6" w:val="clear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FFFFFF"/>
              </w:rPr>
            </w:r>
            <w:r>
              <w:rPr>
                <w:rFonts w:ascii="Times New Roman" w:hAnsi="Times New Roman" w:eastAsia="Times New Roman"/>
                <w:b/>
                <w:sz w:val="14"/>
              </w:rPr>
              <w:t>Δ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2E75B6" w:val="clear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FFFFFF"/>
              </w:rPr>
            </w:r>
            <w:r>
              <w:rPr>
                <w:rFonts w:ascii="Times New Roman" w:hAnsi="Times New Roman" w:eastAsia="Times New Roman"/>
                <w:b/>
                <w:sz w:val="14"/>
              </w:rPr>
              <w:t>ДБ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2E75B6" w:val="clear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FFFFFF"/>
              </w:rPr>
            </w:r>
            <w:r>
              <w:rPr>
                <w:rFonts w:ascii="Times New Roman" w:hAnsi="Times New Roman" w:eastAsia="Times New Roman"/>
                <w:b/>
                <w:sz w:val="14"/>
              </w:rPr>
              <w:t>Портал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2E75B6" w:val="clear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FFFFFF"/>
              </w:rPr>
            </w:r>
            <w:r>
              <w:rPr>
                <w:rFonts w:ascii="Times New Roman" w:hAnsi="Times New Roman" w:eastAsia="Times New Roman"/>
                <w:b/>
                <w:sz w:val="14"/>
              </w:rPr>
              <w:t>Δ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2E75B6" w:val="clear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FFFFFF"/>
              </w:rPr>
            </w:r>
            <w:r>
              <w:rPr>
                <w:rFonts w:ascii="Times New Roman" w:hAnsi="Times New Roman" w:eastAsia="Times New Roman"/>
                <w:b/>
                <w:sz w:val="14"/>
              </w:rPr>
              <w:t>ДБ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2E75B6" w:val="clear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FFFFFF"/>
              </w:rPr>
            </w:r>
            <w:r>
              <w:rPr>
                <w:rFonts w:ascii="Times New Roman" w:hAnsi="Times New Roman" w:eastAsia="Times New Roman"/>
                <w:b/>
                <w:sz w:val="14"/>
              </w:rPr>
              <w:t>Портал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2E75B6" w:val="clear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FFFFFF"/>
              </w:rPr>
            </w:r>
            <w:r>
              <w:rPr>
                <w:rFonts w:ascii="Times New Roman" w:hAnsi="Times New Roman" w:eastAsia="Times New Roman"/>
                <w:b/>
                <w:sz w:val="14"/>
              </w:rPr>
              <w:t>Δ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2E75B6" w:val="clear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FFFFFF"/>
              </w:rPr>
            </w:r>
            <w:r>
              <w:rPr>
                <w:rFonts w:ascii="Times New Roman" w:hAnsi="Times New Roman" w:eastAsia="Times New Roman"/>
                <w:b/>
                <w:sz w:val="14"/>
              </w:rPr>
              <w:t>ДБ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2E75B6" w:val="clear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FFFFFF"/>
              </w:rPr>
            </w:r>
            <w:r>
              <w:rPr>
                <w:rFonts w:ascii="Times New Roman" w:hAnsi="Times New Roman" w:eastAsia="Times New Roman"/>
                <w:b/>
                <w:sz w:val="14"/>
              </w:rPr>
              <w:t>Портал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2E75B6" w:val="clear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FFFFFF"/>
              </w:rPr>
            </w:r>
            <w:r>
              <w:rPr>
                <w:rFonts w:ascii="Times New Roman" w:hAnsi="Times New Roman" w:eastAsia="Times New Roman"/>
                <w:b/>
                <w:sz w:val="14"/>
              </w:rPr>
              <w:t>Δ</w:t>
            </w:r>
          </w:p>
        </w:tc>
      </w:tr>
      <w:tr>
        <w:tc>
          <w:tcPr>
            <w:tcW w:type="dxa" w:w="3515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2F2F2" w:val="clear"/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 w:eastAsia="Times New Roman"/>
                <w:b/>
                <w:sz w:val="14"/>
              </w:rPr>
              <w:t>Всего клиентов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2F2F2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6 011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2F2F2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6 014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2F2F2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−3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2F2F2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6 126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2F2F2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6 129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2F2F2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−3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2F2F2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6 304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2F2F2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6 308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2F2F2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−4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2F2F2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6 406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2F2F2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6 410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2F2F2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−4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2F2F2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6 464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2F2F2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6 468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2F2F2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−4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2F2F2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6 675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2F2F2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6 685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2F2F2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−10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2F2F2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6 775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2F2F2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6 789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2F2F2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−14</w:t>
            </w:r>
          </w:p>
        </w:tc>
      </w:tr>
      <w:tr>
        <w:tc>
          <w:tcPr>
            <w:tcW w:type="dxa" w:w="3515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FFFFF" w:val="clear"/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 w:eastAsia="Times New Roman"/>
                <w:b/>
                <w:sz w:val="14"/>
              </w:rPr>
              <w:t>Активные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FFFFF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4 294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FFFFF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4 294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FFFFF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0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FFFFF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4 417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FFFFF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4 418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FFFFF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−1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FFFFF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4 495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FFFFF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4 496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FFFFF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−1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FFFFF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4 624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FFFFF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4 625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FFFFF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−1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FFFFF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4 651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FFFFF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4 653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FFFFF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−2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FFFFF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4 770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FFFFF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4 773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FFFFF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−3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FFFFF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4 829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FFFFF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4 833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FFFFF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−4</w:t>
            </w:r>
          </w:p>
        </w:tc>
      </w:tr>
      <w:tr>
        <w:tc>
          <w:tcPr>
            <w:tcW w:type="dxa" w:w="3515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2F2F2" w:val="clear"/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 w:eastAsia="Times New Roman"/>
                <w:b/>
                <w:sz w:val="14"/>
              </w:rPr>
              <w:t>Неактивные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2F2F2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1 717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2F2F2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1 720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2F2F2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−3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2F2F2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1 709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2F2F2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1 711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2F2F2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−2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2F2F2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1 809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2F2F2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1 812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2F2F2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−3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2F2F2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1 782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2F2F2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1 785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2F2F2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−3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2F2F2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1 813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2F2F2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1 815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2F2F2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−2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2F2F2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1 905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2F2F2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1 912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2F2F2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−7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2F2F2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1 946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2F2F2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1 956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2F2F2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−10</w:t>
            </w:r>
          </w:p>
        </w:tc>
      </w:tr>
      <w:tr>
        <w:tc>
          <w:tcPr>
            <w:tcW w:type="dxa" w:w="3515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FFFFF" w:val="clear"/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 w:eastAsia="Times New Roman"/>
                <w:b/>
                <w:sz w:val="14"/>
              </w:rPr>
              <w:t>Приток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FFFFF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199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FFFFF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200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FFFFF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−1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FFFFF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278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FFFFF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278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FFFFF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0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FFFFF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349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FFFFF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349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FFFFF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0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FFFFF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334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FFFFF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335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FFFFF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−1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FFFFF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339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FFFFF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339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FFFFF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0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FFFFF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382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FFFFF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387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FFFFF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−5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FFFFF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283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FFFFF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287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FFFFF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−4</w:t>
            </w:r>
          </w:p>
        </w:tc>
      </w:tr>
      <w:tr>
        <w:tc>
          <w:tcPr>
            <w:tcW w:type="dxa" w:w="3515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2F2F2" w:val="clear"/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 w:eastAsia="Times New Roman"/>
                <w:b/>
                <w:sz w:val="14"/>
              </w:rPr>
              <w:t>Отток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2F2F2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207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2F2F2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207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2F2F2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0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2F2F2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242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2F2F2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242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2F2F2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0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2F2F2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288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2F2F2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288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2F2F2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0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2F2F2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308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2F2F2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330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2F2F2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−22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2F2F2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217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2F2F2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218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2F2F2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−1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2F2F2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217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2F2F2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230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2F2F2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−13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2F2F2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354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2F2F2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368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2F2F2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−14</w:t>
            </w:r>
          </w:p>
        </w:tc>
      </w:tr>
      <w:tr>
        <w:tc>
          <w:tcPr>
            <w:tcW w:type="dxa" w:w="3515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FFFFF" w:val="clear"/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 w:eastAsia="Times New Roman"/>
                <w:b/>
                <w:sz w:val="14"/>
              </w:rPr>
              <w:t>Кол-во ТТ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FFFFF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8 769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FFFFF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8 770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FFFFF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−1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FFFFF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8 878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FFFFF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8 874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FFFFF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4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FFFFF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9 052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FFFFF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9 054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FFFFF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−2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FFFFF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9 137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FFFFF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9 427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FFFFF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−290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FFFFF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9 477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FFFFF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9 479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FFFFF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−2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FFFFF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9 648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FFFFF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9 643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FFFFF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5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FFFFF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9 774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FFFFF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9 767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FFFFF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7</w:t>
            </w:r>
          </w:p>
        </w:tc>
      </w:tr>
      <w:tr>
        <w:tc>
          <w:tcPr>
            <w:tcW w:type="dxa" w:w="3515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2F2F2" w:val="clear"/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 w:eastAsia="Times New Roman"/>
                <w:b/>
                <w:sz w:val="14"/>
              </w:rPr>
              <w:t>Кол-во терминалов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2F2F2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10 196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2F2F2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10 197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2F2F2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−1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2F2F2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10 146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2F2F2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10 157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2F2F2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−11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2F2F2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10 146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2F2F2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10 134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2F2F2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12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2F2F2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10 218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2F2F2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10 180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2F2F2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38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2F2F2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10 026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2F2F2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10 028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2F2F2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−2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2F2F2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10 298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2F2F2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10 309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2F2F2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−11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2F2F2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10 526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2F2F2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10 550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2F2F2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−24</w:t>
            </w:r>
          </w:p>
        </w:tc>
      </w:tr>
      <w:tr>
        <w:tc>
          <w:tcPr>
            <w:tcW w:type="dxa" w:w="3515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FFFFF" w:val="clear"/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 w:eastAsia="Times New Roman"/>
                <w:b/>
                <w:sz w:val="14"/>
              </w:rPr>
              <w:t>Сумма транзакций, млрд руб.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FFFFF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4,48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FFFFF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4,48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FFFFF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0,00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FFFFF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4,61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FFFFF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4,61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FFFFF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0,00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FFFFF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5,01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FFFFF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5,01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FFFFF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0,00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FFFFF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5,16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FFFFF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5,16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FFFFF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0,00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FFFFF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5,50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FFFFF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5,50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FFFFF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0,00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FFFFF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5,70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FFFFF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5,70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FFFFF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0,00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FFFFF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5,94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FFFFF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5,94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FFFFF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−0,02</w:t>
            </w:r>
          </w:p>
        </w:tc>
      </w:tr>
      <w:tr>
        <w:tc>
          <w:tcPr>
            <w:tcW w:type="dxa" w:w="3515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2F2F2" w:val="clear"/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 w:eastAsia="Times New Roman"/>
                <w:b/>
                <w:sz w:val="14"/>
              </w:rPr>
              <w:t>ЧОД, млн руб.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2F2F2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19,67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2F2F2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16,89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2F2F2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2,78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2F2F2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19,83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2F2F2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16,65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2F2F2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3,18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2F2F2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20,58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2F2F2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17,49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2F2F2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3,09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2F2F2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20,56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2F2F2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18,37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2F2F2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2,19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2F2F2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20,20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2F2F2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18,33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2F2F2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1,87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2F2F2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20,36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2F2F2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18,74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2F2F2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1,62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2F2F2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21,06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2F2F2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19,48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2F2F2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1,58</w:t>
            </w:r>
          </w:p>
        </w:tc>
      </w:tr>
      <w:tr>
        <w:tc>
          <w:tcPr>
            <w:tcW w:type="dxa" w:w="3515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FFFFF" w:val="clear"/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 w:eastAsia="Times New Roman"/>
                <w:b/>
                <w:sz w:val="14"/>
              </w:rPr>
              <w:t>Фин. результат, млн руб.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FFFFF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3,39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FFFFF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−0,55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FFFFF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3,94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FFFFF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3,40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FFFFF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−3,40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FFFFF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6,80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FFFFF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4,14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FFFFF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−0,45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FFFFF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4,59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FFFFF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4,06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FFFFF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2,10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FFFFF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1,96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FFFFF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3,79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FFFFF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1,12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FFFFF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2,67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FFFFF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3,37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FFFFF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1,06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FFFFF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2,31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FFFFF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3,74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FFFFF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1,46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FFFFF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2,28</w:t>
            </w:r>
          </w:p>
        </w:tc>
      </w:tr>
      <w:tr>
        <w:tc>
          <w:tcPr>
            <w:tcW w:type="dxa" w:w="3515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2F2F2" w:val="clear"/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 w:eastAsia="Times New Roman"/>
                <w:b/>
                <w:sz w:val="14"/>
              </w:rPr>
              <w:t>АУР, млн руб.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2F2F2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14,84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2F2F2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16,89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2F2F2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−2,05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2F2F2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14,96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2F2F2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19,56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2F2F2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−4,60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2F2F2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14,94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2F2F2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17,44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2F2F2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−2,50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2F2F2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14,97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2F2F2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15,98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2F2F2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−1,01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2F2F2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15,00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2F2F2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16,09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2F2F2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−1,09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2F2F2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15,41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2F2F2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16,42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2F2F2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−1,01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2F2F2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15,65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2F2F2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16,62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2F2F2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−0,97</w:t>
            </w:r>
          </w:p>
        </w:tc>
      </w:tr>
      <w:tr>
        <w:tc>
          <w:tcPr>
            <w:tcW w:type="dxa" w:w="3515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FFFFF" w:val="clear"/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 w:eastAsia="Times New Roman"/>
                <w:b/>
                <w:sz w:val="14"/>
              </w:rPr>
              <w:t>Амортизация, млн руб.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FFFFF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1,44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FFFFF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0,55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FFFFF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0,89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FFFFF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1,47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FFFFF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0,49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FFFFF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0,98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FFFFF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1,50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FFFFF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0,50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FFFFF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1,00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FFFFF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1,53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FFFFF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0,29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FFFFF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1,24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FFFFF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1,41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FFFFF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1,12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FFFFF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0,29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FFFFF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1,58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FFFFF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1,26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FFFFF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0,32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FFFFF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1,67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FFFFF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1,40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FFFFF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0,27</w:t>
            </w:r>
          </w:p>
        </w:tc>
      </w:tr>
      <w:tr>
        <w:tc>
          <w:tcPr>
            <w:tcW w:type="dxa" w:w="3515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2F2F2" w:val="clear"/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 w:eastAsia="Times New Roman"/>
                <w:b/>
                <w:sz w:val="14"/>
              </w:rPr>
              <w:t>IRF, млн руб.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2F2F2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−55,03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2F2F2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−55,19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2F2F2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0,16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2F2F2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−55,21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2F2F2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−55,46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2F2F2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0,25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2F2F2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−60,06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2F2F2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−60,20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2F2F2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0,14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2F2F2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−62,23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2F2F2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−62,53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2F2F2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0,30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2F2F2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−68,80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2F2F2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−68,83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2F2F2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0,03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2F2F2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−70,68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2F2F2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−71,00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2F2F2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0,32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2F2F2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−73,08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2F2F2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−73,85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2F2F2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0,77</w:t>
            </w:r>
          </w:p>
        </w:tc>
      </w:tr>
      <w:tr>
        <w:tc>
          <w:tcPr>
            <w:tcW w:type="dxa" w:w="3515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FFFFF" w:val="clear"/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 w:eastAsia="Times New Roman"/>
                <w:b/>
                <w:sz w:val="14"/>
              </w:rPr>
              <w:t>Комиссия в месяц, млн руб.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FFFFF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6,16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FFFFF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3,54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FFFFF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2,62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FFFFF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6,42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FFFFF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3,71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FFFFF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2,71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FFFFF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6,35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FFFFF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3,00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FFFFF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3,35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FFFFF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5,98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FFFFF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4,02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FFFFF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1,96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FFFFF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6,01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FFFFF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4,31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FFFFF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1,70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FFFFF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5,39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FFFFF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4,05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FFFFF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1,34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FFFFF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5,75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FFFFF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4,44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FFFFF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1,31</w:t>
            </w:r>
          </w:p>
        </w:tc>
      </w:tr>
      <w:tr>
        <w:tc>
          <w:tcPr>
            <w:tcW w:type="dxa" w:w="3515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2F2F2" w:val="clear"/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 w:eastAsia="Times New Roman"/>
                <w:b/>
                <w:sz w:val="14"/>
              </w:rPr>
              <w:t>Комиссия, % эквайринга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2F2F2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1,53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2F2F2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1,53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2F2F2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0,00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2F2F2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1,49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2F2F2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1,49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2F2F2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0,00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2F2F2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1,48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2F2F2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1,48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2F2F2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0,00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2F2F2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1,49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2F2F2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1,49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2F2F2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0,00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2F2F2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1,50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2F2F2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1,50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2F2F2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0,00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2F2F2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1,50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2F2F2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1,50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2F2F2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0,00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2F2F2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1,49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2F2F2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1,49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2F2F2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0,00</w:t>
            </w:r>
          </w:p>
        </w:tc>
      </w:tr>
    </w:tbl>
    <w:p>
      <w:pPr>
        <w:spacing w:after="160" w:before="120" w:line="276" w:lineRule="auto"/>
      </w:pPr>
      <w:r>
        <w:rPr>
          <w:rFonts w:ascii="Times New Roman" w:hAnsi="Times New Roman" w:eastAsia="Times New Roman"/>
          <w:b w:val="0"/>
          <w:sz w:val="20"/>
        </w:rPr>
        <w:t>Единицы: клиенты, поток, точки и терминалы — штуки; сумма транзакций — млрд руб.; ЧОД, финрезультат, АУР, амортизация, IRF и комиссия в месяц — млн руб.; процент эквайринга — проценты.</w:t>
      </w:r>
    </w:p>
    <w:p>
      <w:pPr>
        <w:sectPr>
          <w:pgSz w:w="23811" w:h="16838" w:orient="landscape"/>
          <w:pgMar w:top="794" w:right="680" w:bottom="794" w:left="680" w:header="720" w:footer="720" w:gutter="0"/>
          <w:cols w:space="720"/>
          <w:docGrid w:linePitch="360"/>
        </w:sectPr>
      </w:pPr>
    </w:p>
    <w:p>
      <w:pPr>
        <w:spacing w:after="120" w:before="280" w:line="276" w:lineRule="auto"/>
      </w:pPr>
      <w:r>
        <w:rPr>
          <w:rFonts w:ascii="Times New Roman" w:hAnsi="Times New Roman" w:eastAsia="Times New Roman"/>
          <w:b/>
          <w:sz w:val="28"/>
        </w:rPr>
        <w:t>3. Где сверка уже сошлась</w:t>
      </w:r>
    </w:p>
    <w:p>
      <w:pPr>
        <w:spacing w:after="160" w:before="0" w:line="276" w:lineRule="auto"/>
      </w:pPr>
      <w:r>
        <w:rPr>
          <w:rFonts w:ascii="Times New Roman" w:hAnsi="Times New Roman" w:eastAsia="Times New Roman"/>
          <w:b w:val="0"/>
          <w:sz w:val="24"/>
        </w:rPr>
        <w:t>Оборот совпадает все семь месяцев. В июле на компактном листе остаётся −0,02 млрд руб., это около 20 тыс. руб. при обороте 5,94 млрд.</w:t>
      </w:r>
    </w:p>
    <w:p>
      <w:pPr>
        <w:spacing w:after="160" w:before="0" w:line="276" w:lineRule="auto"/>
      </w:pPr>
      <w:r>
        <w:rPr>
          <w:rFonts w:ascii="Times New Roman" w:hAnsi="Times New Roman" w:eastAsia="Times New Roman"/>
          <w:b w:val="0"/>
          <w:sz w:val="24"/>
        </w:rPr>
        <w:t>Процент эквайринга совпадает каждый месяц, разница 0,00. Считается он как сумма комиссии с операций, делённая на сумму операций, а не как среднее процента по договорам.</w:t>
      </w:r>
    </w:p>
    <w:p>
      <w:pPr>
        <w:spacing w:after="160" w:before="0" w:line="276" w:lineRule="auto"/>
      </w:pPr>
      <w:r>
        <w:rPr>
          <w:rFonts w:ascii="Times New Roman" w:hAnsi="Times New Roman" w:eastAsia="Times New Roman"/>
          <w:b w:val="0"/>
          <w:sz w:val="24"/>
        </w:rPr>
        <w:t>IRF отличается на 0,03–0,77 млн руб. при уровне 55–74 млн. Для ЧОД это сотые и десятые, не основной разрыв.</w:t>
      </w:r>
    </w:p>
    <w:p>
      <w:pPr>
        <w:spacing w:after="160" w:before="0" w:line="276" w:lineRule="auto"/>
      </w:pPr>
      <w:r>
        <w:rPr>
          <w:rFonts w:ascii="Times New Roman" w:hAnsi="Times New Roman" w:eastAsia="Times New Roman"/>
          <w:b w:val="0"/>
          <w:sz w:val="24"/>
        </w:rPr>
        <w:t>Активные клиенты. На дашборде это договор с активным терминалом в месяце. В отчёте это договор хотя бы с одной транзакцией. На данных final_df_script_3_1 за январь–июль правило «есть транзакция» даёт то же число, что и активный терминал, поэтому в таблице одна пара строк. От отчёта дашборд отстаёт на 0 договоров в январе и на 4 в июле. Весь минус по строке «Всего клиентов» (−3 в январе и феврале, −4 в марте–мае, −10 в июне, −14 в июле) сидит в неактивных.</w:t>
      </w:r>
    </w:p>
    <w:p>
      <w:pPr>
        <w:spacing w:after="160" w:before="0" w:line="276" w:lineRule="auto"/>
      </w:pPr>
      <w:r>
        <w:rPr>
          <w:rFonts w:ascii="Times New Roman" w:hAnsi="Times New Roman" w:eastAsia="Times New Roman"/>
          <w:b w:val="0"/>
          <w:sz w:val="24"/>
        </w:rPr>
        <w:t>Приток и отток февраля сошлись: 278 и 242 с обеих сторон. Даты отчёта за февраль записаны как день.месяц.год; при чтении наоборот день попадал в номер месяца, и февральские договоры уезжали в другие месяцы. Январский и мартовский отток тоже совпали, мартовский и майский приток тоже.</w:t>
      </w:r>
    </w:p>
    <w:p>
      <w:pPr>
        <w:spacing w:after="120" w:before="280" w:line="276" w:lineRule="auto"/>
      </w:pPr>
      <w:r>
        <w:rPr>
          <w:rFonts w:ascii="Times New Roman" w:hAnsi="Times New Roman" w:eastAsia="Times New Roman"/>
          <w:b/>
          <w:sz w:val="28"/>
        </w:rPr>
        <w:t>4. Почему расходятся ЧОД и финансовый результат</w:t>
      </w:r>
    </w:p>
    <w:p>
      <w:pPr>
        <w:spacing w:after="160" w:before="0" w:line="276" w:lineRule="auto"/>
      </w:pPr>
      <w:r>
        <w:rPr>
          <w:rFonts w:ascii="Times New Roman" w:hAnsi="Times New Roman" w:eastAsia="Times New Roman"/>
          <w:b w:val="0"/>
          <w:sz w:val="24"/>
        </w:rPr>
        <w:t>На дашборде ЧОД равен сумме трёх величин: комиссия с операций, комиссия в месяц и IRF. IRF входит со знаком минус. Финансовый результат равен ЧОД минус АУР минус амортизация.</w:t>
      </w:r>
    </w:p>
    <w:p>
      <w:pPr>
        <w:spacing w:after="160" w:before="0" w:line="276" w:lineRule="auto"/>
      </w:pPr>
      <w:r>
        <w:rPr>
          <w:rFonts w:ascii="Times New Roman" w:hAnsi="Times New Roman" w:eastAsia="Times New Roman"/>
          <w:b w:val="0"/>
          <w:sz w:val="24"/>
        </w:rPr>
        <w:t>Комиссия с операций в мае и июне с отчётом совпала: совпали и оборот, и процент эквайринга. Месячная комиссия на дашборде выше, и это правило дашборда, а не потерянные операции. В final_df_script_3_1 она равна DOC_OPER без НДС: сумма c_calc_summ по всем видам документа за месяц отнесения, делённая на 1,22 и округлённая до копейки. Пустой DOC_OPER даёт 0, аренда MPOS в эту колонку не подставляется. В отчёте это колонка «Комиссия (₽ в месяц)».</w:t>
      </w:r>
    </w:p>
    <w:p>
      <w:pPr>
        <w:spacing w:after="80" w:before="160" w:line="276" w:lineRule="auto"/>
      </w:pPr>
      <w:r>
        <w:rPr>
          <w:rFonts w:ascii="Times New Roman" w:hAnsi="Times New Roman" w:eastAsia="Times New Roman"/>
          <w:b/>
          <w:sz w:val="24"/>
        </w:rPr>
        <w:t>Май</w:t>
      </w:r>
    </w:p>
    <w:p>
      <w:pPr>
        <w:spacing w:after="160" w:before="0" w:line="276" w:lineRule="auto"/>
      </w:pPr>
      <w:r>
        <w:rPr>
          <w:rFonts w:ascii="Times New Roman" w:hAnsi="Times New Roman" w:eastAsia="Times New Roman"/>
          <w:b w:val="0"/>
          <w:sz w:val="24"/>
        </w:rPr>
        <w:t>Оборот 5,50 млрд руб. с обеих сторон, процент эквайринга 1,50 и 1,50. IRF −68,80 против −68,83 млн, дашборд выше на 0,03. Комиссия в месяц 6,01 против 4,31 млн, дашборд выше на 1,70. ЧОД получается 20,20 против 18,33, дашборд выше на 1,87. Из 1,87 млн на месячную комиссию приходится 1,70, на IRF — 0,03, остаток — округление комиссии с операций в компактном виде.</w:t>
      </w:r>
    </w:p>
    <w:p>
      <w:pPr>
        <w:spacing w:after="160" w:before="0" w:line="276" w:lineRule="auto"/>
      </w:pPr>
      <w:r>
        <w:rPr>
          <w:rFonts w:ascii="Times New Roman" w:hAnsi="Times New Roman" w:eastAsia="Times New Roman"/>
          <w:b w:val="0"/>
          <w:sz w:val="24"/>
        </w:rPr>
        <w:t>Финрезультат мая раскладывается так. Дашборд: 20,20 − 15,00 − 1,41 = 3,79 млн. Отчёт: 18,33 − 16,09 − 1,12 = 1,12 млн. Разница 2,67 млн складывается из трёх вкладов: ЧОД даёт +1,87, более низкий АУР даёт ещё +1,09, более высокая амортизация забирает 0,29.</w:t>
      </w:r>
    </w:p>
    <w:p>
      <w:pPr>
        <w:spacing w:after="80" w:before="160" w:line="276" w:lineRule="auto"/>
      </w:pPr>
      <w:r>
        <w:rPr>
          <w:rFonts w:ascii="Times New Roman" w:hAnsi="Times New Roman" w:eastAsia="Times New Roman"/>
          <w:b/>
          <w:sz w:val="24"/>
        </w:rPr>
        <w:t>Июнь</w:t>
      </w:r>
    </w:p>
    <w:p>
      <w:pPr>
        <w:spacing w:after="160" w:before="0" w:line="276" w:lineRule="auto"/>
      </w:pPr>
      <w:r>
        <w:rPr>
          <w:rFonts w:ascii="Times New Roman" w:hAnsi="Times New Roman" w:eastAsia="Times New Roman"/>
          <w:b w:val="0"/>
          <w:sz w:val="24"/>
        </w:rPr>
        <w:t>Оборот 5,70 млрд руб., процент 1,50 и 1,50. IRF −70,68 против −71,00, дашборд выше на 0,32. Комиссия в месяц 5,39 против 4,05, выше на 1,34. ЧОД 20,36 против 18,74, выше на 1,62. Сумма 1,34 и 0,32 равна 1,66; на листе 1,62, разница в округлении.</w:t>
      </w:r>
    </w:p>
    <w:p>
      <w:pPr>
        <w:spacing w:after="160" w:before="0" w:line="276" w:lineRule="auto"/>
      </w:pPr>
      <w:r>
        <w:rPr>
          <w:rFonts w:ascii="Times New Roman" w:hAnsi="Times New Roman" w:eastAsia="Times New Roman"/>
          <w:b w:val="0"/>
          <w:sz w:val="24"/>
        </w:rPr>
        <w:t>Финрезультат июня. Дашборд: 20,36 − 15,41 − 1,58 = 3,37 млн. Отчёт: 18,74 − 16,42 − 1,26 = 1,06 млн. Разница 2,31 млн: ЧОД +1,62, АУР +1,01 к финрезультату, потому что АУР дашборда ниже, амортизация −0,32.</w:t>
      </w:r>
    </w:p>
    <w:p>
      <w:pPr>
        <w:spacing w:after="160" w:before="0" w:line="276" w:lineRule="auto"/>
      </w:pPr>
      <w:r>
        <w:rPr>
          <w:rFonts w:ascii="Times New Roman" w:hAnsi="Times New Roman" w:eastAsia="Times New Roman"/>
          <w:b w:val="0"/>
          <w:sz w:val="24"/>
        </w:rPr>
        <w:t>Та же тройка действует и в остальные месяцы. Месячная комиссия выше на 1,3–3,4 млн и тянет ЧОД вверх. Сильнее всего в марте: 6,35 против 3,00. АУР дашборда ниже и добавляет к финрезультату. Амортизация дашборда выше и часть этого плюса забирает. Крупнее всего финрезультат расходится в феврале, там самый большой разрыв АУР: 14,96 против 19,56 млн.</w:t>
      </w:r>
    </w:p>
    <w:p>
      <w:pPr>
        <w:spacing w:after="120" w:before="280" w:line="276" w:lineRule="auto"/>
      </w:pPr>
      <w:r>
        <w:rPr>
          <w:rFonts w:ascii="Times New Roman" w:hAnsi="Times New Roman" w:eastAsia="Times New Roman"/>
          <w:b/>
          <w:sz w:val="28"/>
        </w:rPr>
        <w:t>5. АУР и точки без терминала</w:t>
      </w:r>
    </w:p>
    <w:p>
      <w:pPr>
        <w:spacing w:after="160" w:before="0" w:line="276" w:lineRule="auto"/>
      </w:pPr>
      <w:r>
        <w:rPr>
          <w:rFonts w:ascii="Times New Roman" w:hAnsi="Times New Roman" w:eastAsia="Times New Roman"/>
          <w:b w:val="0"/>
          <w:sz w:val="24"/>
        </w:rPr>
        <w:t>Ставка одна и там, и там: 1 926 руб. на точку в месяц. На дашборде в эту ставку входят только точки, на которых в месяце установлен хотя бы один терминал. Оборот для этого не нужен. Точки без терминала в АУР дашборда не входят. В сборке это поле retl_with_term_cnt, умноженное на 1 926.</w:t>
      </w:r>
    </w:p>
    <w:p>
      <w:pPr>
        <w:spacing w:after="160" w:before="0" w:line="276" w:lineRule="auto"/>
      </w:pPr>
      <w:r>
        <w:rPr>
          <w:rFonts w:ascii="Times New Roman" w:hAnsi="Times New Roman" w:eastAsia="Times New Roman"/>
          <w:b w:val="0"/>
          <w:sz w:val="24"/>
        </w:rPr>
        <w:t>Проверка отчёта считается так. Число точек, заложенных в АУР отчёта, равно АУР отчёта, делённому на 1 926. Если это число совпало со строкой «Кол-во ТТ» отчёта, отчёт начислил АУР на все точки, включая точки без терминала. Лишние точки — разность: все точки отчёта минус точки с терминалом на дашборде. В рублях тот же список равен (АУР отчёта − АУР дашборда) / 1 926.</w:t>
      </w:r>
    </w:p>
    <w:p>
      <w:pPr>
        <w:spacing w:after="160" w:before="0" w:line="276" w:lineRule="auto"/>
      </w:pPr>
      <w:r>
        <w:rPr>
          <w:rFonts w:ascii="Times New Roman" w:hAnsi="Times New Roman" w:eastAsia="Times New Roman"/>
          <w:b w:val="0"/>
          <w:sz w:val="24"/>
        </w:rPr>
        <w:t>Январь эту проверку проходит точно. В отчёте 8 770 точек. 8 770 × 1 926 = 16 890 020 руб., на листе 16,89 млн. Дашборд: 14,84 млн / 1 926 = 7 705 точек с терминалом. Лишние точки без терминала: 8 770 − 7 705 = 1 065. Разрыв АУР 2,05 млн / 1 926 даёт те же 1 065 точек.</w:t>
      </w:r>
    </w:p>
    <w:p>
      <w:pPr>
        <w:spacing w:after="160" w:before="0" w:line="276" w:lineRule="auto"/>
      </w:pPr>
      <w:r>
        <w:rPr>
          <w:rFonts w:ascii="Times New Roman" w:hAnsi="Times New Roman" w:eastAsia="Times New Roman"/>
          <w:b w:val="0"/>
          <w:sz w:val="24"/>
        </w:rPr>
        <w:t>Тот же счёт стоит повторить по каждому месяцу. Частное АУР отчёта / 1 926 сравнивается с «Кол-во ТТ» отчёта. В январе числа совпали. В марте 17,44 млн / 1 926 даёт 9 055 точек при 9 054 в отчёте: это то же правило с округлением до 0,01 млн. В феврале, апреле, мае, июне и июле частное и число точек уже не совпадают, поэтому весь рублёвый разрыв этих месяцев нельзя читать как список точек без терминала. Деление разрыва на 1 926 там показывает только, скольким точкам по ставке 1 926 равен рублёвый разрыв.</w:t>
      </w:r>
    </w:p>
    <w:p>
      <w:pPr>
        <w:spacing w:after="160" w:before="0" w:line="276" w:lineRule="auto"/>
      </w:pPr>
      <w:r>
        <w:rPr>
          <w:rFonts w:ascii="Times New Roman" w:hAnsi="Times New Roman" w:eastAsia="Times New Roman"/>
          <w:b w:val="0"/>
          <w:sz w:val="24"/>
        </w:rPr>
        <w:t>Апрель отдельно и по самим точкам: 9 137 на дашборде против 9 427 в отчёте, минус 290. В соседних месяцах точки расходятся на единицы. Пока списки точек апреля не сведены, разрыв АУР апреля не стоит целиком относить на точки без терминала.</w:t>
      </w:r>
    </w:p>
    <w:p>
      <w:pPr>
        <w:spacing w:after="120" w:before="280" w:line="276" w:lineRule="auto"/>
      </w:pPr>
      <w:r>
        <w:rPr>
          <w:rFonts w:ascii="Times New Roman" w:hAnsi="Times New Roman" w:eastAsia="Times New Roman"/>
          <w:b/>
          <w:sz w:val="28"/>
        </w:rPr>
        <w:t>6. Амортизация</w:t>
      </w:r>
    </w:p>
    <w:p>
      <w:pPr>
        <w:spacing w:after="160" w:before="0" w:line="276" w:lineRule="auto"/>
      </w:pPr>
      <w:r>
        <w:rPr>
          <w:rFonts w:ascii="Times New Roman" w:hAnsi="Times New Roman" w:eastAsia="Times New Roman"/>
          <w:b w:val="0"/>
          <w:sz w:val="24"/>
        </w:rPr>
        <w:t>Амортизация на дашборде — модель озера. Терминал списывается как цена модели, делённая на 48, и только 48 месяцев с даты поставки. Поверх этого амортизация обнуляется у брендов Tactilion, VeriFone, Ingenico и IRAS и у моделей Pax s80, s90 и D210. В отчёте это собственная колонка «Амортизация». После обнуления брендов дашборд всё ещё выше отчёта: в мае на 0,29 млн (1,41 против 1,12), в июне на 0,32 млн (1,58 против 1,26). К колонке отчёта эту модель не подгоняем.</w:t>
      </w:r>
    </w:p>
    <w:p>
      <w:pPr>
        <w:spacing w:after="120" w:before="280" w:line="276" w:lineRule="auto"/>
      </w:pPr>
      <w:r>
        <w:rPr>
          <w:rFonts w:ascii="Times New Roman" w:hAnsi="Times New Roman" w:eastAsia="Times New Roman"/>
          <w:b/>
          <w:sz w:val="28"/>
        </w:rPr>
        <w:t>7. Клиенты, приток и отток</w:t>
      </w:r>
    </w:p>
    <w:p>
      <w:pPr>
        <w:spacing w:after="160" w:before="0" w:line="276" w:lineRule="auto"/>
      </w:pPr>
      <w:r>
        <w:rPr>
          <w:rFonts w:ascii="Times New Roman" w:hAnsi="Times New Roman" w:eastAsia="Times New Roman"/>
          <w:b w:val="0"/>
          <w:sz w:val="24"/>
        </w:rPr>
        <w:t>После февраля крупный остаток — отток. Апрель: дашборд 308, отчёт 330, минус 22. Июнь: 217 против 230, минус 13. Июль: 354 против 368, минус 14. По списку договоров это в основном договоры, которые закрыты в отчёте этого месяца и отсутствуют в снимке final_df.</w:t>
      </w:r>
    </w:p>
    <w:p>
      <w:pPr>
        <w:spacing w:after="160" w:before="0" w:line="276" w:lineRule="auto"/>
      </w:pPr>
      <w:r>
        <w:rPr>
          <w:rFonts w:ascii="Times New Roman" w:hAnsi="Times New Roman" w:eastAsia="Times New Roman"/>
          <w:b w:val="0"/>
          <w:sz w:val="24"/>
        </w:rPr>
        <w:t>По списку договоров июля часть закрытий приходится на 1 июля 2026: договор есть в снимках января–июня и отсутствует в июле. В сборке final_df_script_3_1 и договор, и терминал типа P входят в месяц, если дата закрытия пустая или не раньше первого числа. Отчёт считает день закрытия июлем. Оставшийся минус — договоры отчёта, которых в этом месячном снимке нет.</w:t>
      </w:r>
    </w:p>
    <w:p>
      <w:pPr>
        <w:spacing w:after="160" w:before="0" w:line="276" w:lineRule="auto"/>
      </w:pPr>
      <w:r>
        <w:rPr>
          <w:rFonts w:ascii="Times New Roman" w:hAnsi="Times New Roman" w:eastAsia="Times New Roman"/>
          <w:b w:val="0"/>
          <w:sz w:val="24"/>
        </w:rPr>
        <w:t>Приток после февраля меньше: апрель −1, июнь −5, июль −4. Это единицы договоров, которые есть только в одной из двух таблиц, и пара договоров, у которых месяц открытия в final_df на месяц раньше, чем в отчёте.</w:t>
      </w:r>
    </w:p>
    <w:p>
      <w:pPr>
        <w:spacing w:after="160" w:before="0" w:line="276" w:lineRule="auto"/>
      </w:pPr>
      <w:r>
        <w:rPr>
          <w:rFonts w:ascii="Times New Roman" w:hAnsi="Times New Roman" w:eastAsia="Times New Roman"/>
          <w:b w:val="0"/>
          <w:sz w:val="24"/>
        </w:rPr>
        <w:t>Терминалы расходятся на десятки штук. В июле минус 24 при стоке около 10,5 тыс. Торговые точки, кроме апреля, лежат в пределах от −2 до +7.</w:t>
      </w:r>
    </w:p>
    <w:p>
      <w:pPr>
        <w:spacing w:after="120" w:before="280" w:line="276" w:lineRule="auto"/>
      </w:pPr>
      <w:r>
        <w:rPr>
          <w:rFonts w:ascii="Times New Roman" w:hAnsi="Times New Roman" w:eastAsia="Times New Roman"/>
          <w:b/>
          <w:sz w:val="28"/>
        </w:rPr>
        <w:t>8. Итог</w:t>
      </w:r>
    </w:p>
    <w:p>
      <w:pPr>
        <w:spacing w:after="160" w:before="0" w:line="276" w:lineRule="auto"/>
      </w:pPr>
      <w:r>
        <w:rPr>
          <w:rFonts w:ascii="Times New Roman" w:hAnsi="Times New Roman" w:eastAsia="Times New Roman"/>
          <w:b w:val="0"/>
          <w:sz w:val="24"/>
        </w:rPr>
        <w:t>Оборот, процент эквайринга и активные клиенты у дашборда и отчёта уже совпадают. IRF отличается на доли миллиона. Февральский приток и отток сошлись.</w:t>
      </w:r>
    </w:p>
    <w:p>
      <w:pPr>
        <w:spacing w:after="160" w:before="0" w:line="276" w:lineRule="auto"/>
      </w:pPr>
      <w:r>
        <w:rPr>
          <w:rFonts w:ascii="Times New Roman" w:hAnsi="Times New Roman" w:eastAsia="Times New Roman"/>
          <w:b w:val="0"/>
          <w:sz w:val="24"/>
        </w:rPr>
        <w:t>ЧОД выше из-за месячной комиссии. Это DOC_OPER без НДС, его к колонке отчёта не приводим. Финансовый результат выше ещё и потому, что АУР дашборда меньше, и ниже потому, что амортизация дашборда больше. На мае это +1,87, +1,09 и −0,29 млн, итог +2,67. На июне +1,62, +1,01 и −0,32, итог +2,31.</w:t>
      </w:r>
    </w:p>
    <w:p>
      <w:pPr>
        <w:spacing w:after="160" w:before="0" w:line="276" w:lineRule="auto"/>
      </w:pPr>
      <w:r>
        <w:rPr>
          <w:rFonts w:ascii="Times New Roman" w:hAnsi="Times New Roman" w:eastAsia="Times New Roman"/>
          <w:b w:val="0"/>
          <w:sz w:val="24"/>
        </w:rPr>
        <w:t>АУР дашборда — точки с установленным терминалом по 1 926 руб. В январе отчёт начисляет те же 1 926 руб. на все 8 770 точек, и 1 065 из них — точки без терминала. Амортизация — модель озера с обнулением названных брендов, не колонка отчёта. Оба правила выбраны и к отчёту не подгоняются.</w:t>
      </w:r>
    </w:p>
    <w:p>
      <w:pPr>
        <w:spacing w:after="160" w:before="0" w:line="276" w:lineRule="auto"/>
      </w:pPr>
      <w:r>
        <w:rPr>
          <w:rFonts w:ascii="Times New Roman" w:hAnsi="Times New Roman" w:eastAsia="Times New Roman"/>
          <w:b w:val="0"/>
          <w:sz w:val="24"/>
        </w:rPr>
        <w:t>Оставшийся отток апреля, июня и июля — договоры отчёта, которых нет в месячном снимке final_df_script_3_1.</w:t>
      </w:r>
    </w:p>
    <w:sectPr w:rsidR="00FC693F" w:rsidRPr="0006063C" w:rsidSect="00034616">
      <w:pgSz w:w="11906" w:h="16838"/>
      <w:pgMar w:top="1020" w:right="1020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/>
        <w:b w:val="0"/>
        <w:sz w:val="20"/>
      </w:rP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