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sz w:val="32"/>
        </w:rPr>
        <w:t>Аналитическая записка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Сверка дашборда эквайринга и отчёта коллег</w:t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Январь–июль 2026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1. Что сравниваем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Колонка «ДБ» — витрина final_df_script_3_1, та, что ляжет в основу дашборда. Файл сверки — portal_vs_dashboard_2026_01_2026_07_final_df_script_3_1.xlsx. Колонка «Портал» — месячные Excel-отчёты эквайринга. Разница везде считается как дашборд минус отчёт. Месяцы только с января по июль 2026. Каталоги final_script_2 и final_script_2_1 в эту сверку не входят.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В компактной таблице оборот показан в миллиардах рублей, остальные деньги — в миллионах, процент эквайринга — в процентах. Клиенты, приток, отток, точки и терминалы — в штуках.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Строка «Фин. результат» в этой записке собрана по правилу дашборда из трёх строк той же таблицы: ЧОД минус АУР минус амортизация, с округлением до 0,01 млн руб. Так финрезультат устроен в сборке, и по нему ниже разобраны май и июнь.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2. Сводная таблица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Пустая ячейка на стороне дашборда в строках «Активные, отчёт» и «Неактивные, отчёт» оставлена специально. Это определение коллеги: договор с хотя бы одной транзакцией. Сравнение этого определения с дашбордом стоит двумя строками ниже.</w:t>
      </w:r>
    </w:p>
    <w:p>
      <w:pPr>
        <w:sectPr>
          <w:footerReference w:type="default" r:id="rId9"/>
          <w:pgSz w:w="11906" w:h="16838"/>
          <w:pgMar w:top="1020" w:right="1020" w:bottom="1020" w:left="1134" w:header="720" w:footer="720" w:gutter="0"/>
          <w:cols w:space="720"/>
          <w:docGrid w:linePitch="360"/>
        </w:sectPr>
      </w:pPr>
    </w:p>
    <w:p>
      <w:pPr>
        <w:spacing w:after="80" w:before="0" w:line="276" w:lineRule="auto"/>
      </w:pPr>
      <w:r>
        <w:rPr>
          <w:rFonts w:ascii="Times New Roman" w:hAnsi="Times New Roman" w:eastAsia="Times New Roman"/>
          <w:b/>
          <w:sz w:val="24"/>
        </w:rPr>
        <w:t>Таблица 1. Сверка, компактный вид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3515"/>
            <w:vMerge w:val="restart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left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Показатель</w:t>
            </w:r>
          </w:p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01.26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02.26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03.26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04.26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05.26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06.26</w:t>
            </w:r>
          </w:p>
        </w:tc>
        <w:tc>
          <w:tcPr>
            <w:tcW w:type="dxa" w:w="879"/>
            <w:gridSpan w:val="3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6"/>
              </w:rPr>
              <w:t>07.26</w:t>
            </w:r>
          </w:p>
        </w:tc>
      </w:tr>
      <w:tr>
        <w:tc>
          <w:tcPr>
            <w:tcW w:type="dxa" w:w="1020"/>
            <w:vMerge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1F4E79" w:val="clear"/>
            <w:vAlign w:val="center"/>
          </w:tcPr>
          <w:p/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ДБ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Портал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2E75B6" w:val="clear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sz w:val="14"/>
              </w:rPr>
              <w:t>Δ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Всего клиентов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6 011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6 014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6 126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6 129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6 304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6 308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6 410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6 464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6 468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6 675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6 685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6 775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6 789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Активные, отчёт (≥1 транзакция)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4 833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Активные, дашборд (active_terms)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4 833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Активные, final_df методом коллеги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4 294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4 496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4 653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4 773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4 833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Неактивные, отчёт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—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Неактивные, дашборд (active_terms)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−10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Неактивные, final_df методом коллеги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1 785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1 815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1 956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−10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Приток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382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387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Отток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288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308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330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230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354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368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Кол-во ТТ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8 769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8 770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8 878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8 874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9 052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9 054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9 137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9 427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−290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9 477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9 479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9 648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9 643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9 774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9 767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Кол-во терминалов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10 197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10 157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10 134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10 218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10 180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10 026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10 028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10 298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10 309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10 526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10 550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−24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Сумма транзакций, млрд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4,61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4,61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−0,02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ЧОД,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2,78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19,83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16,65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3,18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20,58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17,49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18,37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2,19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18,33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1,87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20,36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18,74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1,62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21,06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1,58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Фин. результат,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−0,55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3,40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−3,40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6,80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4,14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−0,45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4,59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2,10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3,79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3,37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2,31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3,74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2,28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АУР,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14,84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−2,05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19,56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−4,60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14,94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17,44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−2,50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14,97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−1,09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15,41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−1,01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15,65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16,62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−0,97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Амортизация,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0,55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0,89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1,24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1,12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1,26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0,32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1,67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IRF,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−55,03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−55,19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−55,21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−55,46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0,25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−60,06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−60,20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0,14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−62,23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−62,53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0,30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−68,80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−68,83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−70,68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−71,00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0,32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−73,08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−73,85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0,77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Комиссия в месяц, млн руб.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6,16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3,54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2,62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6,42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3,71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2,71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6,35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3,35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5,98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4,02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1,96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6,01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4,31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1,70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5,39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4,05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1,34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5,75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4,44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FFFFF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1,31</w:t>
            </w:r>
          </w:p>
        </w:tc>
      </w:tr>
      <w:tr>
        <w:tc>
          <w:tcPr>
            <w:tcW w:type="dxa" w:w="3515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Комиссия, % эквайринга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1,53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1,48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1,50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1,49</w:t>
            </w:r>
          </w:p>
        </w:tc>
        <w:tc>
          <w:tcPr>
            <w:tcW w:type="dxa" w:w="879"/>
            <w:tcBorders>
              <w:top w:val="single" w:sz="4" w:color="B0B0B0"/>
              <w:left w:val="single" w:sz="4" w:color="B0B0B0"/>
              <w:bottom w:val="single" w:sz="4" w:color="B0B0B0"/>
              <w:right w:val="single" w:sz="4" w:color="B0B0B0"/>
            </w:tcBorders>
            <w:shd w:fill="F2F2F2" w:val="clear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0,00</w:t>
            </w:r>
          </w:p>
        </w:tc>
      </w:tr>
    </w:tbl>
    <w:p>
      <w:pPr>
        <w:spacing w:after="160" w:before="120" w:line="276" w:lineRule="auto"/>
      </w:pPr>
      <w:r>
        <w:rPr>
          <w:rFonts w:ascii="Times New Roman" w:hAnsi="Times New Roman" w:eastAsia="Times New Roman"/>
          <w:b w:val="0"/>
          <w:sz w:val="20"/>
        </w:rPr>
        <w:t>Единицы: клиенты, поток, точки и терминалы — штуки; сумма транзакций — млрд руб.; ЧОД, финрезультат, АУР, амортизация, IRF и комиссия в месяц — млн руб.; процент эквайринга — проценты.</w:t>
      </w:r>
    </w:p>
    <w:p>
      <w:pPr>
        <w:sectPr>
          <w:pgSz w:w="23811" w:h="16838" w:orient="landscape"/>
          <w:pgMar w:top="794" w:right="680" w:bottom="794" w:left="680" w:header="720" w:footer="720" w:gutter="0"/>
          <w:cols w:space="720"/>
          <w:docGrid w:linePitch="360"/>
        </w:sectPr>
      </w:pP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3. Где сверка уже сошлась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 совпадает все семь месяцев. В июле на компактном листе остаётся −0,02 млрд руб., это около 20 тыс. руб. при обороте 5,94 млрд.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Процент эквайринга совпадает каждый месяц, разница 0,00. Считается он как сумма комиссии с операций, делённая на сумму операций, а не как среднее процента по договорам.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IRF отличается на 0,03–0,77 млн руб. при уровне 55–74 млн. Для ЧОД это сотые и десятые, не основной разрыв.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Активные клиенты. На дашборде активный договор — тот, у кого в месяце есть активный терминал (active_terms больше нуля). Если посчитать на тех же данных методом коллеги, то есть по числу транзакций больше нуля, январь–июль дают то же самое число. От отчёта оба способа отстают на 0 договоров в январе и на 4 в июле. Весь минус по строке «Всего клиентов» (−3 в январе и феврале, −4 в марте–мае, −10 в июне, −14 в июле) сидит в неактивных.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Приток и отток февраля сошлись: 278 и 242 с обеих сторон. Даты отчёта за февраль записаны как день.месяц.год; при чтении наоборот день попадал в номер месяца, и февральские договоры уезжали в другие месяцы. Январский и мартовский отток тоже совпали, мартовский и майский приток тоже.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4. Почему расходятся ЧОД и финансовый результат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На дашборде ЧОД равен сумме трёх величин: комиссия с операций, комиссия в месяц и IRF. IRF входит со знаком минус. Финансовый результат равен ЧОД минус АУР минус амортизация.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Комиссия с операций в мае и июне с отчётом совпала: совпали и оборот, и процент эквайринга. Месячная комиссия на дашборде выше, и это правило дашборда, а не потерянные операции. В final_df_script_3_1 она равна DOC_OPER без НДС: сумма c_calc_summ по всем видам документа за месяц отнесения, делённая на 1,22 и округлённая до копейки. Пустой DOC_OPER даёт 0, аренда MPOS в эту колонку не подставляется. В отчёте это колонка «Комиссия (₽ в месяц)».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4"/>
        </w:rPr>
        <w:t>Май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 5,50 млрд руб. с обеих сторон, процент эквайринга 1,50 и 1,50. IRF −68,80 против −68,83 млн, дашборд выше на 0,03. Комиссия в месяц 6,01 против 4,31 млн, дашборд выше на 1,70. ЧОД получается 20,20 против 18,33, дашборд выше на 1,87. Из 1,87 млн на месячную комиссию приходится 1,70, на IRF — 0,03, остаток — округление комиссии с операций в компактном виде.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Финрезультат мая раскладывается так. Дашборд: 20,20 − 15,00 − 1,41 = 3,79 млн. Отчёт: 18,33 − 16,09 − 1,12 = 1,12 млн. Разница 2,67 млн складывается из трёх вкладов: ЧОД даёт +1,87, более низкий АУР даёт ещё +1,09, более высокая амортизация забирает 0,29.</w:t>
      </w:r>
    </w:p>
    <w:p>
      <w:pPr>
        <w:spacing w:after="80" w:before="160" w:line="276" w:lineRule="auto"/>
      </w:pPr>
      <w:r>
        <w:rPr>
          <w:rFonts w:ascii="Times New Roman" w:hAnsi="Times New Roman" w:eastAsia="Times New Roman"/>
          <w:b/>
          <w:sz w:val="24"/>
        </w:rPr>
        <w:t>Июнь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 5,70 млрд руб., процент 1,50 и 1,50. IRF −70,68 против −71,00, дашборд выше на 0,32. Комиссия в месяц 5,39 против 4,05, выше на 1,34. ЧОД 20,36 против 18,74, выше на 1,62. Сумма 1,34 и 0,32 равна 1,66; на листе 1,62, разница в округлении.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Финрезультат июня. Дашборд: 20,36 − 15,41 − 1,58 = 3,37 млн. Отчёт: 18,74 − 16,42 − 1,26 = 1,06 млн. Разница 2,31 млн: ЧОД +1,62, АУР +1,01 к финрезультату, потому что АУР дашборда ниже, амортизация −0,32.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Та же тройка действует и в остальные месяцы. Месячная комиссия выше на 1,3–3,4 млн и тянет ЧОД вверх. Сильнее всего в марте: 6,35 против 3,00. АУР дашборда ниже и добавляет к финрезультату. Амортизация дашборда выше и часть этого плюса забирает. Крупнее всего финрезультат расходится в феврале, там самый большой разрыв АУР: 14,96 против 19,56 млн.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5. АУР и точки без терминала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Ставка одна и там, и там: 1 926 руб. на точку в месяц. На дашборде в эту ставку входят только точки, на которых в месяце установлен хотя бы один терминал. Оборот для этого не нужен. Точки без терминала в АУР дашборда не входят. В сборке это поле retl_with_term_cnt, умноженное на 1 926.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Проверка отчёта считается так. Число точек, заложенных в АУР отчёта, равно АУР отчёта, делённому на 1 926. Если это число совпало со строкой «Кол-во ТТ» отчёта, отчёт начислил АУР на все точки, включая точки без терминала. Лишние точки — разность: все точки отчёта минус точки с терминалом на дашборде. В рублях тот же список равен (АУР отчёта − АУР дашборда) / 1 926.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Январь эту проверку проходит точно. В отчёте 8 770 точек. 8 770 × 1 926 = 16 890 020 руб., на листе 16,89 млн. Дашборд: 14,84 млн / 1 926 = 7 705 точек с терминалом. Лишние точки без терминала: 8 770 − 7 705 = 1 065. Разрыв АУР 2,05 млн / 1 926 даёт те же 1 065 точек.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Тот же счёт стоит повторить по каждому месяцу. Частное АУР отчёта / 1 926 сравнивается с «Кол-во ТТ» отчёта. В январе числа совпали. В марте 17,44 млн / 1 926 даёт 9 055 точек при 9 054 в отчёте: это то же правило с округлением до 0,01 млн. В феврале, апреле, мае, июне и июле частное и число точек уже не совпадают, поэтому весь рублёвый разрыв этих месяцев нельзя читать как список точек без терминала. Деление разрыва на 1 926 там показывает только, скольким точкам по ставке 1 926 равен рублёвый разрыв.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Апрель отдельно и по самим точкам: 9 137 на дашборде против 9 427 в отчёте, минус 290. В соседних месяцах точки расходятся на единицы. Пока списки точек апреля не сведены, разрыв АУР апреля не стоит целиком относить на точки без терминала.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6. Амортизация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Амортизация на дашборде — модель озера. Терминал списывается как цена модели, делённая на 48, и только 48 месяцев с даты поставки. Поверх этого амортизация обнуляется у брендов Tactilion, VeriFone, Ingenico и IRAS и у моделей Pax s80, s90 и D210. В отчёте это собственная колонка «Амортизация». После обнуления брендов дашборд всё ещё выше отчёта: в мае на 0,29 млн (1,41 против 1,12), в июне на 0,32 млн (1,58 против 1,26). К колонке отчёта эту модель не подгоняем.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7. Клиенты, приток и отток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После февраля крупный остаток — отток. Апрель: дашборд 308, отчёт 330, минус 22. Июнь: 217 против 230, минус 13. Июль: 354 против 368, минус 14. По списку договоров это в основном договоры, которые закрыты в отчёте этого месяца и отсутствуют в снимке final_df.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По списку договоров июля часть закрытий приходится на 1 июля 2026: договор есть в снимках января–июня и отсутствует в июле. В сборке final_df_script_3_1 и договор, и терминал типа P входят в месяц, если дата закрытия пустая или не раньше первого числа. Отчёт считает день закрытия июлем. Оставшийся минус — договоры отчёта, которых в этом месячном снимке нет.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Приток после февраля меньше: апрель −1, июнь −5, июль −4. Это единицы договоров, которые есть только в одной из двух таблиц, и пара договоров, у которых месяц открытия в final_df на месяц раньше, чем в отчёте.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Терминалы расходятся на десятки штук. В июле минус 24 при стоке около 10,5 тыс. Торговые точки, кроме апреля, лежат в пределах от −2 до +7.</w:t>
      </w:r>
    </w:p>
    <w:p>
      <w:pPr>
        <w:spacing w:after="120" w:before="280" w:line="276" w:lineRule="auto"/>
      </w:pPr>
      <w:r>
        <w:rPr>
          <w:rFonts w:ascii="Times New Roman" w:hAnsi="Times New Roman" w:eastAsia="Times New Roman"/>
          <w:b/>
          <w:sz w:val="28"/>
        </w:rPr>
        <w:t>8. Итог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Оборот, процент эквайринга и активные клиенты у дашборда и отчёта уже совпадают. IRF отличается на доли миллиона. Февральский приток и отток сошлись.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ЧОД выше из-за месячной комиссии. Это DOC_OPER без НДС, его к колонке отчёта не приводим. Финансовый результат выше ещё и потому, что АУР дашборда меньше, и ниже потому, что амортизация дашборда больше. На мае это +1,87, +1,09 и −0,29 млн, итог +2,67. На июне +1,62, +1,01 и −0,32, итог +2,31.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АУР дашборда — точки с установленным терминалом по 1 926 руб. В январе отчёт начисляет те же 1 926 руб. на все 8 770 точек, и 1 065 из них — точки без терминала. Амортизация — модель озера с обнулением названных брендов, не колонка отчёта. Оба правила выбраны и к отчёту не подгоняются.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Оставшийся отток апреля, июня и июля — договоры отчёта, которых нет в месячном снимке final_df_script_3_1.</w:t>
      </w:r>
    </w:p>
    <w:sectPr w:rsidR="00FC693F" w:rsidRPr="0006063C" w:rsidSect="00034616">
      <w:pgSz w:w="11906" w:h="16838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