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0000"/>
          <w:sz w:val="40"/>
        </w:rPr>
        <w:t>Отчёт по дополнительным проверкам</w:t>
        <w:br/>
        <w:t>(воссоздано по фото 1-9)</w:t>
      </w:r>
    </w:p>
    <w:p>
      <w:pPr>
        <w:jc w:val="center"/>
      </w:pPr>
      <w:r>
        <w:rPr>
          <w:color w:val="000000"/>
          <w:sz w:val="28"/>
        </w:rPr>
        <w:t>Период анализа: 2023–2025</w:t>
      </w:r>
    </w:p>
    <w:p>
      <w:pPr>
        <w:jc w:val="center"/>
      </w:pPr>
      <w:r>
        <w:rPr>
          <w:i/>
          <w:color w:val="000000"/>
          <w:sz w:val="22"/>
        </w:rPr>
        <w:t>Источник: результаты новых проверок из скриншотов (фото 1-9)</w:t>
      </w:r>
    </w:p>
    <w:p>
      <w:r>
        <w:br w:type="page"/>
      </w:r>
    </w:p>
    <w:p>
      <w:pPr>
        <w:pStyle w:val="Heading1"/>
      </w:pPr>
      <w:r>
        <w:rPr>
          <w:color w:val="000000"/>
        </w:rPr>
        <w:t>Оглавление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i/>
          <w:color w:val="808080"/>
          <w:sz w:val="20"/>
        </w:rPr>
        <w:t>(Оглавление — нажмите Ctrl+A, затем F9 для обновления)</w:t>
      </w:r>
      <w:r>
        <w:fldChar w:fldCharType="end"/>
      </w:r>
    </w:p>
    <w:p>
      <w:r>
        <w:br w:type="page"/>
      </w:r>
    </w:p>
    <w:p>
      <w:pPr>
        <w:pStyle w:val="Heading1"/>
      </w:pPr>
      <w:r>
        <w:rPr>
          <w:color w:val="000000"/>
        </w:rPr>
        <w:t>1. Новые проверки логики дефолтов ДМУКП (фото 1-2)</w:t>
      </w:r>
    </w:p>
    <w:p>
      <w:pPr>
        <w:pStyle w:val="Heading2"/>
      </w:pPr>
      <w:r>
        <w:rPr>
          <w:color w:val="000000"/>
        </w:rPr>
        <w:t>1.1. TOP-20 ФП с максимальной вероятностью дефолта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Код ФП/СФП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Тип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наблюдений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дефолтов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 дефолтов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Флаг редкости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29.14.11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44.1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50.2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29.13.11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0.714300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14.3.2.1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0.500000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41.3.2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0.500000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29.2.1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15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0.466700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34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23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0.434800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57.1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19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0.368400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29.14.3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0.333300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43.2У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0.333300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67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17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0.253700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13.1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40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0.250000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29.14.2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0.250000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29.13.21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0.250000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29.6.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0.250000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26.1.1.1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29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0.241400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29.1.1.2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35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0.228600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42.1.1.1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18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0.222200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29.1.1.1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69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15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0.217400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</w:tbl>
    <w:p/>
    <w:p>
      <w:r>
        <w:rPr>
          <w:rFonts w:ascii="Calibri" w:hAnsi="Calibri"/>
          <w:b/>
          <w:i/>
          <w:color w:val="000000"/>
          <w:sz w:val="20"/>
        </w:rPr>
        <w:t xml:space="preserve">Вывод: </w:t>
      </w:r>
      <w:r>
        <w:rPr>
          <w:rFonts w:ascii="Calibri" w:hAnsi="Calibri"/>
          <w:i/>
          <w:color w:val="000000"/>
          <w:sz w:val="20"/>
        </w:rPr>
        <w:t>Верхние позиции содержат как редкие экстремальные факторы (кол-во наблюдений = 1-2), так и более устойчивые по частоте ФП (29.2, 29.1.1.1, 34). Для управленческих выводов приоритетнее факторы с большей поддержкой.</w:t>
      </w:r>
    </w:p>
    <w:p>
      <w:pPr>
        <w:pStyle w:val="Heading2"/>
      </w:pPr>
      <w:r>
        <w:rPr>
          <w:color w:val="000000"/>
        </w:rPr>
        <w:t>1.2. TOP-10 ФП/СФП по частоте, которые никогда не приводили к дефолту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Код ФП/СФП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Тип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наблюдений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дефолтов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 дефолтов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Флаг редкости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42.1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100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29.2У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82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59У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75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26.1У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69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КМ.2_3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62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28.9.2.1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56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23.2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61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43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39.1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38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КМ.7_НС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37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Код ФП/СФП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Тип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наблюдений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дефолтов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 дефолтов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Флаг редкости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52.0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17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44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44.3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48.2У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22.1У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12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35.2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48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50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9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47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50.1У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</w:tbl>
    <w:p/>
    <w:p>
      <w:r>
        <w:rPr>
          <w:rFonts w:ascii="Calibri" w:hAnsi="Calibri"/>
          <w:b/>
          <w:i/>
          <w:color w:val="000000"/>
          <w:sz w:val="20"/>
        </w:rPr>
        <w:t xml:space="preserve">Вывод: </w:t>
      </w:r>
      <w:r>
        <w:rPr>
          <w:rFonts w:ascii="Calibri" w:hAnsi="Calibri"/>
          <w:i/>
          <w:color w:val="000000"/>
          <w:sz w:val="20"/>
        </w:rPr>
        <w:t>Даже среди частых факторов есть группа с нулевой дефолтностью. Такие ФП/СФП — кандидаты на пересмотр порогов существенности и уточнение логики эскалации.</w:t>
      </w:r>
    </w:p>
    <w:p>
      <w:pPr>
        <w:pStyle w:val="Heading1"/>
      </w:pPr>
      <w:r>
        <w:rPr>
          <w:color w:val="000000"/>
        </w:rPr>
        <w:t>2. Сегментация (фото 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386"/>
        <w:gridCol w:w="2268"/>
      </w:tblGrid>
      <w:tr>
        <w:tc>
          <w:tcPr>
            <w:tcW w:w="5386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Показатель</w:t>
            </w:r>
          </w:p>
        </w:tc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Всего в справочнике (код+тип)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343</w:t>
            </w:r>
          </w:p>
        </w:tc>
      </w:tr>
      <w:tr>
        <w:tc>
          <w:tcPr>
            <w:tcW w:w="5386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Выявлено фактически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281</w:t>
            </w:r>
          </w:p>
        </w:tc>
      </w:tr>
      <w:tr>
        <w:tc>
          <w:tcPr>
            <w:tcW w:w="5386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Никогда не выявлялись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114</w:t>
            </w:r>
          </w:p>
        </w:tc>
      </w:tr>
      <w:tr>
        <w:tc>
          <w:tcPr>
            <w:tcW w:w="5386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 (никогда не выявлялись)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63</w:t>
            </w:r>
          </w:p>
        </w:tc>
      </w:tr>
    </w:tbl>
    <w:p/>
    <w:p>
      <w:r>
        <w:rPr>
          <w:rFonts w:ascii="Calibri" w:hAnsi="Calibri"/>
          <w:b/>
          <w:i/>
          <w:color w:val="000000"/>
          <w:sz w:val="20"/>
        </w:rPr>
        <w:t xml:space="preserve">Вывод: </w:t>
      </w:r>
      <w:r>
        <w:rPr>
          <w:rFonts w:ascii="Calibri" w:hAnsi="Calibri"/>
          <w:i/>
          <w:color w:val="000000"/>
          <w:sz w:val="20"/>
        </w:rPr>
        <w:t>Наблюдается существенный разрыв между справочником и фактическими выявлениями. Это подтверждает необходимость ревизии неактивных/неиспользуемых кодов (в т.ч. СФП 53, как отмечено в задаче).</w:t>
      </w:r>
    </w:p>
    <w:p>
      <w:pPr>
        <w:pStyle w:val="Heading1"/>
      </w:pPr>
      <w:r>
        <w:rPr>
          <w:color w:val="000000"/>
        </w:rPr>
        <w:t>3. Результаты мониторинга (фото 4-7)</w:t>
      </w:r>
    </w:p>
    <w:p>
      <w:pPr>
        <w:pStyle w:val="Heading2"/>
      </w:pPr>
      <w:r>
        <w:rPr>
          <w:color w:val="000000"/>
        </w:rPr>
        <w:t>3.1. Проверка 2: TOP-10 ФП/СФП с положительным исходом на этапе сценариев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Код ФП/СФП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Тип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наблюдений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целевых исходов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 целевых исходов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Флаг редкости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24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7959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6748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0.847800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26.1.1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8701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6602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0.758800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28.9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7115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5974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0.839600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16.1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4308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4171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0.968200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3638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3487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0.958500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53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2074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1686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0.812900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16.4У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1587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1552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0.977900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22.1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2307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1462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0.633700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2109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1415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0.670900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1305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1259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0.964800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Код ФП/СФП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Тип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наблюдений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целевых исходов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 целевых исходов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Флаг редкости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40.1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136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136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22.2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74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42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0.567600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48.1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26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17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0.653800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33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15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0.454500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44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22.1У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12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0.916700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48.2У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0.909100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48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9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0.900000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50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15.2У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0.875000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</w:tbl>
    <w:p/>
    <w:p>
      <w:pPr>
        <w:pStyle w:val="Heading2"/>
      </w:pPr>
      <w:r>
        <w:rPr>
          <w:color w:val="000000"/>
        </w:rPr>
        <w:t>3.2. Проверка 3: TOP-10 ФП/СФП с отрицательным исходом на этапе сценариев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Код ФП/СФП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Тип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наблюдений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целевых исходов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 целевых исходов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Флаг редкости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28.9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7115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15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0.002100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15.1.2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587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12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0.020400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24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7959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0.001300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16.1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4308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0.001400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16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899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0.005600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1166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0.004300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22.1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2307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0.002200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53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2074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0.001900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15.1.3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0.130400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60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76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0.039500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Код ФП/СФП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Тип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наблюдений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целевых исходов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 целевых исходов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Флаг редкости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47.1.2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67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52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0.776100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22.2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74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26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0.351400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18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0.545500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50.1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19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0.684200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52.0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19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12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0.631600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48.1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26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0.307700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35.2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0.600000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35.3У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0.833300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47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0.666700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48.1.1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0.750000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</w:tbl>
    <w:p/>
    <w:p>
      <w:pPr>
        <w:pStyle w:val="Heading2"/>
      </w:pPr>
      <w:r>
        <w:rPr>
          <w:color w:val="000000"/>
        </w:rPr>
        <w:t>3.3. Проверка 4: TOP-10 ФП/СФП с положительным исходом на этапе ИПУ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Код ФП/СФП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Тип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наблюдений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целевых исходов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 целевых исходов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Флаг редкости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24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1343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1238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0.921800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1222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1142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0.934500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28.9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835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810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0.970100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28.2У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707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693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0.980200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26.1.2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823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679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0.825000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28.9.3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743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652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0.877500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714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561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0.785700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53.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602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551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0.915300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53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569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513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0.901600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625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480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0.768000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Код ФП/СФП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Тип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наблюдений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целевых исходов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 целевых исходов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Флаг редкости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35.2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0.666700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</w:tbl>
    <w:p/>
    <w:p>
      <w:pPr>
        <w:pStyle w:val="Heading2"/>
      </w:pPr>
      <w:r>
        <w:rPr>
          <w:color w:val="000000"/>
        </w:rPr>
        <w:t>3.4. Проверка 5: TOP-10 ФП/СФП с отрицательным исходом на этапе ИПУ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Код ФП/СФП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Тип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наблюдений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целевых исходов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 целевых исходов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Флаг редкости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29.2.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221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24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0.108600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53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569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0.036900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24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1343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15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0.011200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16.1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144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0.076400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1222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9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0.007400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26.1.2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823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0.009700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16.2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0.094300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22.1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246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0.020300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28.9.3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743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0.005400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28.9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835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0.004800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Код ФП/СФП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Тип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наблюдений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целевых исходов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 целевых исходов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Флаг редкости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35.2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</w:tbl>
    <w:p/>
    <w:p>
      <w:r>
        <w:rPr>
          <w:rFonts w:ascii="Calibri" w:hAnsi="Calibri"/>
          <w:b/>
          <w:i/>
          <w:color w:val="000000"/>
          <w:sz w:val="20"/>
        </w:rPr>
        <w:t xml:space="preserve">Вывод: </w:t>
      </w:r>
      <w:r>
        <w:rPr>
          <w:rFonts w:ascii="Calibri" w:hAnsi="Calibri"/>
          <w:i/>
          <w:color w:val="000000"/>
          <w:sz w:val="20"/>
        </w:rPr>
        <w:t>Мониторинг показывает высокую долю положительных исходов для массовых ФП, но при этом сохраняется пул факторов с устойчиво отрицательными исходами (особенно в сценариях), требующий таргетированной донастройки правил.</w:t>
      </w:r>
    </w:p>
    <w:p>
      <w:pPr>
        <w:pStyle w:val="Heading1"/>
      </w:pPr>
      <w:r>
        <w:rPr>
          <w:color w:val="000000"/>
        </w:rPr>
        <w:t>4. Логика Департамента рисков (фото 8-9)</w:t>
      </w:r>
    </w:p>
    <w:p>
      <w:pPr>
        <w:pStyle w:val="Heading2"/>
      </w:pPr>
      <w:r>
        <w:rPr>
          <w:color w:val="000000"/>
        </w:rPr>
        <w:t>4.1. TOP-20 ФП с максимальной вероятностью дефолта (логика ДР)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Код ФП/СФП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Тип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наблюдений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дефолтов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 дефолтов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Флаг редкости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29.1.3.1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15.1.3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16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0.687500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29.14.3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0.666700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44.1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0.500000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29.1.3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0.333300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29.13.11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0.250000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14.3.2.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70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16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0.228600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15.1.1У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29131III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13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364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0.167600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13У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0.166700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14.1.3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0.166700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29.9.1У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0.166700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14.3.2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49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0.163300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14.1.1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41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0.146300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29.1.1..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0.142900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15.1.2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260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34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0.130800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37.2.2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33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0.121200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29.1.1.3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17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0.117600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29.2.1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17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0.117600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</w:tbl>
    <w:p/>
    <w:p>
      <w:pPr>
        <w:pStyle w:val="Heading2"/>
      </w:pPr>
      <w:r>
        <w:rPr>
          <w:color w:val="000000"/>
        </w:rPr>
        <w:t>4.2. TOP-10 ФП/СФП по частоте, которые никогда не приводили к дефолту (логика ДР)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Код ФП/СФП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Тип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наблюдений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дефолтов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 дефолтов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Флаг редкости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16.4У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808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22У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304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266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14.3.1У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139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39.3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134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16.5У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128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42.1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101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53.1У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97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61У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87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59У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75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Код ФП/СФП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Тип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наблюдений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дефолтов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 дефолтов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Флаг редкости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15.2У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42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35.2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23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44.3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22.1У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48.2У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50.1У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35.3У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40У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48.1.1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15.2.1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</w:tbl>
    <w:p/>
    <w:p>
      <w:r>
        <w:rPr>
          <w:rFonts w:ascii="Calibri" w:hAnsi="Calibri"/>
          <w:b/>
          <w:i/>
          <w:color w:val="000000"/>
          <w:sz w:val="20"/>
        </w:rPr>
        <w:t xml:space="preserve">Вывод: </w:t>
      </w:r>
      <w:r>
        <w:rPr>
          <w:rFonts w:ascii="Calibri" w:hAnsi="Calibri"/>
          <w:i/>
          <w:color w:val="000000"/>
          <w:sz w:val="20"/>
        </w:rPr>
        <w:t>Логика ДР подтверждает наличие группы часто выявляемых, но бездефолтных факторов, а также узкого пула высокорисковых ФП. Это основание для раздельной калибровки порогов по частоте и по риску.</w:t>
      </w:r>
    </w:p>
    <w:p>
      <w:pPr>
        <w:pStyle w:val="Heading1"/>
      </w:pPr>
      <w:r>
        <w:rPr>
          <w:color w:val="000000"/>
        </w:rPr>
        <w:t>5. Итоговые наблюдения</w:t>
      </w:r>
    </w:p>
    <w:p>
      <w:r>
        <w:rPr>
          <w:color w:val="000000"/>
        </w:rPr>
        <w:t>1) По ДМУКП и ДР одновременно наблюдаются как высокорисковые, так и «бездефолтные» частые факторы.</w:t>
        <w:br/>
        <w:t>2) Мониторинг демонстрирует высокий массив положительных исходов, но отдельные ФП/СФП остаются точками устойчивого негатива.</w:t>
        <w:br/>
        <w:t>3) Редкие факторы (флаг редкости = «Да») требуют осторожной интерпретации и накопления наблюдений до принятия регуляторных решений.</w:t>
      </w:r>
    </w:p>
    <w:sectPr w:rsidR="00FC693F" w:rsidRPr="0006063C" w:rsidSect="00034616">
      <w:pgSz w:w="12240" w:h="15840"/>
      <w:pgMar w:top="567" w:right="567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