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rFonts w:ascii="Calibri" w:hAnsi="Calibri" w:eastAsia="Calibri"/>
          <w:b/>
          <w:color w:val="1F3A5F"/>
          <w:sz w:val="36"/>
        </w:rPr>
        <w:t>Месячная комиссия: MPOS_RENT vs ЦФТ</w:t>
      </w:r>
    </w:p>
    <w:p>
      <w:r>
        <w:rPr>
          <w:rFonts w:ascii="Calibri" w:hAnsi="Calibri" w:eastAsia="Calibri"/>
          <w:b w:val="0"/>
          <w:color w:val="555555"/>
          <w:sz w:val="24"/>
        </w:rPr>
        <w:t>Сверка с отчётами эквайринга за май–июль 2026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Сверили месячную комиссию за май–июль с отчётами эквайринга (колонка «Комиссия ₽ в месяц»).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Источники: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• MPOS_RENT (Альфа) — n_amt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• ЦФТ DOG_OPER — c_calc_summ по всем видам, без фильтра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Периметр: 19 942 договора-месяца, из них 4 234 с ненулевой месячной в отчёте (~21%).</w:t>
      </w:r>
    </w:p>
    <w:p>
      <w:r>
        <w:rPr>
          <w:rFonts w:ascii="Calibri" w:hAnsi="Calibri" w:eastAsia="Calibri"/>
          <w:b/>
          <w:sz w:val="22"/>
        </w:rPr>
        <w:t xml:space="preserve">Коротко. </w:t>
      </w:r>
      <w:r>
        <w:rPr>
          <w:rFonts w:ascii="Calibri" w:hAnsi="Calibri" w:eastAsia="Calibri"/>
          <w:b w:val="0"/>
          <w:sz w:val="22"/>
        </w:rPr>
        <w:t>Все три месяца выигрывает MPOS. ЦФТ хорошо ловит ненули отчёта, но ставит сумму туда, где в отчёте месячная = 0. Это не месячная, а смесь видов комиссий.</w:t>
      </w:r>
    </w:p>
    <w:p>
      <w:pPr>
        <w:spacing w:before="240" w:after="160"/>
      </w:pPr>
      <w:r>
        <w:rPr>
          <w:rFonts w:ascii="Calibri" w:hAnsi="Calibri" w:eastAsia="Calibri"/>
          <w:b/>
          <w:color w:val="1F3A5F"/>
          <w:sz w:val="28"/>
        </w:rPr>
        <w:t>1. Сходится с отчётом (флаг «есть / нет месячной»)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Месяц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Договоров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≠0 в отчёте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MPOS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ЦФТ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Май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6 468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1 405 (21,7%)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99,4%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78,9%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Июнь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6 685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1 420 (21,2%)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99,7%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80,1%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Июль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6 789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1 409 (20,8%)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99,5%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81,2%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Май–июль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19 942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4 234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99,5%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80,1%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sz w:val="22"/>
        </w:rPr>
        <w:t>Ненули отчёта находят оба: MPOS 98–99%, ЦФТ 95–96%. Ломается ЦФТ на нулях.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Precision к ненулям отчёта: MPOS 98,5–99,9%, ЦФТ 51–53%. Каждый второй ненулевой ключ ЦФТ — не месячная из отчёта.</w:t>
      </w:r>
    </w:p>
    <w:p>
      <w:pPr>
        <w:spacing w:before="240" w:after="160"/>
      </w:pPr>
      <w:r>
        <w:rPr>
          <w:rFonts w:ascii="Calibri" w:hAnsi="Calibri" w:eastAsia="Calibri"/>
          <w:b/>
          <w:color w:val="1F3A5F"/>
          <w:sz w:val="28"/>
        </w:rPr>
        <w:t>2. Не сходится</w:t>
      </w:r>
    </w:p>
    <w:p>
      <w:pPr>
        <w:spacing w:before="240" w:after="160"/>
      </w:pPr>
      <w:r>
        <w:rPr>
          <w:rFonts w:ascii="Calibri" w:hAnsi="Calibri" w:eastAsia="Calibri"/>
          <w:b/>
          <w:color w:val="1F3A5F"/>
          <w:sz w:val="24"/>
        </w:rPr>
        <w:t>Заполнено в источнике, в отчёте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Источник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Май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Июнь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Июль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Итого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MPOS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21 / 105 тыс. ₽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 / 6 тыс.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 / 8 тыс.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28 / 119 тыс.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ЦФТ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1 308 / 2,66 млн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1 271 / 2,60 млн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1 215 / 2,50 млн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3 794 / 7,75 млн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sz w:val="22"/>
        </w:rPr>
        <w:t>У ЦФТ это 18–20% договоров отчёта каждый месяц (около 24% нулей отчёта). Часто тариф «Стандарт».</w:t>
      </w:r>
    </w:p>
    <w:p>
      <w:pPr>
        <w:spacing w:before="240" w:after="160"/>
      </w:pPr>
      <w:r>
        <w:rPr>
          <w:rFonts w:ascii="Calibri" w:hAnsi="Calibri" w:eastAsia="Calibri"/>
          <w:b/>
          <w:color w:val="1F3A5F"/>
          <w:sz w:val="24"/>
        </w:rPr>
        <w:t>В отчёте есть, в источнике нет /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Источник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Май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Июнь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Июль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Итого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MPOS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18 / 200 тыс.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19 / 291 тыс.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29 / 641 тыс.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66 / 1,13 млн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ЦФТ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60 / 119 тыс.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58 / 505 тыс.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65 / 381 тыс.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183 / 1,00 млн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sz w:val="22"/>
        </w:rPr>
        <w:t>У MPOS все пропуски — нет строки, нулей нет. У ЦФТ часть строк есть, но c_calc_summ = 0.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Июльский хвост MPOS крупнее обычного: 29 договоров, 641 тыс. ₽. Два договора «По Акту индивидуальный» без строки в MPOS — 340 тыс. и 243 тыс. Это не смена картины, а точечный недогруз.</w:t>
      </w:r>
    </w:p>
    <w:p>
      <w:pPr>
        <w:spacing w:before="240" w:after="160"/>
      </w:pPr>
      <w:r>
        <w:rPr>
          <w:rFonts w:ascii="Calibri" w:hAnsi="Calibri" w:eastAsia="Calibri"/>
          <w:b/>
          <w:color w:val="1F3A5F"/>
          <w:sz w:val="28"/>
        </w:rPr>
        <w:t>3. Суммы, если оба и отчёт ≠ 0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• MPOS ближе к отчёту без НДС: точное совпадение 73–74%, к ×1,22 не липнет (0%). На пересечении MPOS выше отчёта.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• ЦФТ ближе к отчёту ×1,22: 82–84%. Шкала с НДС.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Источники считают в разных шкалах и не копируют отчёт рубль в рубль.</w:t>
      </w:r>
    </w:p>
    <w:p>
      <w:pPr>
        <w:spacing w:before="240" w:after="160"/>
      </w:pPr>
      <w:r>
        <w:rPr>
          <w:rFonts w:ascii="Calibri" w:hAnsi="Calibri" w:eastAsia="Calibri"/>
          <w:b/>
          <w:color w:val="1F3A5F"/>
          <w:sz w:val="28"/>
        </w:rPr>
        <w:t>Вывод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• Контур commission_monthly как в отчёте — MPOS_RENT. Доля ~21% витрины ожидаема: столько же ненулей в отчёте. Нулевые тарифы в Альфу почти не пишутся.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• ЦФТ c_calc_summ без фильтра видов нельзя класть как месячную. За май–июль это 3 794 ложных заполнения и 7,8 млн ₽ на нулях отчёта. Картина мая, июня и июля одна и та же.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• Если ЦФТ нужен как сумма — только там, где в отчёте уже ≠ 0, и сравнивать с учётом НДС 22%.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• Разобрать точечно: 66 договоров без MPOS (особенно июльские «По Акту») и выборку из 3,8 тыс., где ЦФТ заполнен, а в отчёте 0.</w:t>
      </w:r>
    </w:p>
    <w:p>
      <w:pPr>
        <w:spacing w:before="320"/>
      </w:pPr>
      <w:r>
        <w:rPr>
          <w:rFonts w:ascii="Calibri" w:hAnsi="Calibri" w:eastAsia="Calibri"/>
          <w:b w:val="0"/>
          <w:color w:val="777777"/>
          <w:sz w:val="18"/>
        </w:rPr>
        <w:t>Источник: сверка qc_may_jul_commission_monthly_winner · эталон — отчёты эквайринга 05/06/07_2026.xlsx · MPOS scd1_mrc_pos_rent.n_amt · ЦФТ DOG_OPER o.c_calc_summ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