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Отчёт по EDA:</w:t>
        <w:br/>
        <w:t>сборка аналитического датасета ФП → Дефолт</w:t>
      </w:r>
    </w:p>
    <w:p>
      <w:pPr>
        <w:jc w:val="center"/>
      </w:pPr>
      <w:r>
        <w:rPr>
          <w:color w:val="808080"/>
          <w:sz w:val="24"/>
        </w:rPr>
        <w:t>Период анализа: 2023-02 — 2025-12</w:t>
      </w:r>
    </w:p>
    <w:p>
      <w:r>
        <w:br w:type="page"/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  <w:sz w:val="20"/>
        </w:rPr>
        <w:t>(Оглавление — нажмите Ctrl+A, затем F9 для обновления)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000000"/>
        </w:rPr>
        <w:t>Введение</w:t>
      </w:r>
    </w:p>
    <w:p>
      <w:r>
        <w:rPr>
          <w:color w:val="000000"/>
        </w:rPr>
        <w:t>Настоящий отчёт содержит результаты разведочного анализа данных (EDA) по факторам проблемности (ФП) и связи между ними и дефолтами компаний. Единица наблюдения — компания (ИНН). Итоговый датасет формируется из трёх источников: CRM (факторы проблемности), H2.0 (сегмент), данные о дефолтах.</w:t>
      </w:r>
    </w:p>
    <w:p>
      <w:r>
        <w:rPr>
          <w:color w:val="000000"/>
        </w:rPr>
        <w:t>Анализ выполнен в разрезе трёх бизнес-сегментов: МкБ (микробизнес), МСБ (малый и средний бизнес), ККБ (крупный корпоративный бизнес). Полные таблицы (без ограничения по количеству строк) приведены в Excel-приложении «Приложение к отчету "Анализ дефолтов (логика ДР)".xlsx».</w:t>
      </w:r>
    </w:p>
    <w:p>
      <w:pPr>
        <w:pStyle w:val="Heading1"/>
      </w:pPr>
      <w:r>
        <w:rPr>
          <w:color w:val="000000"/>
        </w:rPr>
        <w:t>1. Анализ исходных данных</w:t>
      </w:r>
    </w:p>
    <w:p>
      <w:r>
        <w:rPr>
          <w:color w:val="000000"/>
        </w:rPr>
        <w:t>Для формирования датасета использованы три источника данных: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1701"/>
        <w:gridCol w:w="1134"/>
        <w:gridCol w:w="2268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w="255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Строк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Колонок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Период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CRM</w:t>
            </w:r>
          </w:p>
        </w:tc>
        <w:tc>
          <w:tcPr>
            <w:tcW w:w="255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Основной (ФП + реестр)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2023-02 — 2025-12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H2.0</w:t>
            </w:r>
          </w:p>
        </w:tc>
        <w:tc>
          <w:tcPr>
            <w:tcW w:w="255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Вспомогательный (сегмент)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2023-02 — 2025-12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Дефолты</w:t>
            </w:r>
          </w:p>
        </w:tc>
        <w:tc>
          <w:tcPr>
            <w:tcW w:w="255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Целевая переменная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2020-01 — 2025-12</w:t>
            </w:r>
          </w:p>
        </w:tc>
      </w:tr>
    </w:tbl>
    <w:p/>
    <w:p>
      <w:r>
        <w:rPr>
          <w:color w:val="000000"/>
        </w:rPr>
        <w:t>Из CRM отобраны записи по трём источникам ФП: Н2.0, Справочник CRM-системы, CRM-система. Временной фильтр: ФП учитываются только если выявлены строго до даты дефолта компании (для недефолтных — до конца периода наблюдения). Это исключает data leakage.</w:t>
      </w:r>
    </w:p>
    <w:p>
      <w:pPr>
        <w:pStyle w:val="Heading2"/>
      </w:pPr>
      <w:r>
        <w:rPr>
          <w:color w:val="000000"/>
        </w:rPr>
        <w:t>1.1. Дедупликация и дефолты</w:t>
      </w:r>
    </w:p>
    <w:p>
      <w:r>
        <w:rPr>
          <w:color w:val="000000"/>
        </w:rPr>
        <w:t>Все компании из выгрузки дефолтов получают метку default_flag = 1. Тяжесть дефолта классифицируется по приоритету: тяжёлый (бессрочный, списание или ликвидация), активный, надзор, вышел из дефолта.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2268"/>
      </w:tblGrid>
      <w:tr>
        <w:tc>
          <w:tcPr>
            <w:tcW w:w="3402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Тяжесть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тяжёлый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активный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надзор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вышел из дефолта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Классификация тяжести позволяет разделить дефолты на необратимые (тяжёлые) и потенциально обратимые (активные, надзор, вышедшие).</w:t>
      </w:r>
    </w:p>
    <w:p>
      <w:pPr>
        <w:pStyle w:val="Heading1"/>
      </w:pPr>
      <w:r>
        <w:rPr>
          <w:color w:val="000000"/>
        </w:rPr>
        <w:t>2. Итоговые данные для анализа</w:t>
      </w:r>
    </w:p>
    <w:p>
      <w:r>
        <w:rPr>
          <w:color w:val="000000"/>
        </w:rPr>
        <w:t>После применения временного фильтра и формирования широкого формата (одна строка = одна компания, колонки = бинарные признаки наличия ФП) сформирован итоговый датасет: TODO компаний × TODO колонок, из которых TODO дефолтных.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2268"/>
        <w:gridCol w:w="2268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Компаний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Дефолтных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 rate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Датасет сформирован корректно: временной фильтр исключает ФП, появившиеся после дефолта. Данные разбиты по трём бизнес-сегментам для детального анализа.</w:t>
      </w:r>
    </w:p>
    <w:p>
      <w:pPr>
        <w:pStyle w:val="Heading1"/>
      </w:pPr>
      <w:r>
        <w:rPr>
          <w:color w:val="000000"/>
        </w:rPr>
        <w:t>3. Распределение ФП: дефолтные vs недефолтные</w:t>
      </w:r>
    </w:p>
    <w:p>
      <w:r>
        <w:rPr>
          <w:color w:val="000000"/>
        </w:rPr>
        <w:t>Для каждого сегмента рассчитано среднее, медианное и максимальное количество уникальных ФП на одну компанию, отдельно для дефолтных и недефолтных.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17"/>
        <w:gridCol w:w="1701"/>
        <w:gridCol w:w="1701"/>
        <w:gridCol w:w="1701"/>
        <w:gridCol w:w="1701"/>
      </w:tblGrid>
      <w:tr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Ср. ФП (деф.)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Ср. ФП (недеф.)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Мед. ФП (деф.)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Мед. ФП (недеф.)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У дефолтных компаний в среднем больше факторов проблемности, чем у недефолтных. Это подтверждает гипотезу о том, что количество ФП может служить индикатором риска дефолта.</w:t>
      </w:r>
    </w:p>
    <w:p>
      <w:pPr>
        <w:pStyle w:val="Heading1"/>
      </w:pPr>
      <w:r>
        <w:rPr>
          <w:color w:val="000000"/>
        </w:rPr>
        <w:t>4. Динамика и длительность дефолтов</w:t>
      </w:r>
    </w:p>
    <w:p>
      <w:r>
        <w:rPr>
          <w:color w:val="000000"/>
        </w:rPr>
        <w:t>Анализ закрытия дефолтов по кварталам и средней длительности нахождения компании в состоянии дефолта. Длительность = дата окончания − дата начала.</w:t>
      </w:r>
    </w:p>
    <w:p>
      <w:pPr>
        <w:pStyle w:val="Heading2"/>
      </w:pPr>
      <w:r>
        <w:rPr>
          <w:color w:val="000000"/>
        </w:rPr>
        <w:t>4.1. Длительность дефолтов по сегментам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17"/>
        <w:gridCol w:w="1417"/>
        <w:gridCol w:w="1701"/>
        <w:gridCol w:w="1701"/>
        <w:gridCol w:w="1134"/>
        <w:gridCol w:w="1417"/>
      </w:tblGrid>
      <w:tr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Записей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Среднее (дни)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Медиана (дни)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Мин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Макс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141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  <w:tr>
        <w:tc>
          <w:tcPr>
            <w:tcW w:w="141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Длительность дефолтов различается по сегментам. Детальная разбивка по тяжести и кварталам представлена в Excel-приложении.</w:t>
      </w:r>
    </w:p>
    <w:p>
      <w:pPr>
        <w:pStyle w:val="Heading1"/>
      </w:pPr>
      <w:r>
        <w:rPr>
          <w:color w:val="000000"/>
        </w:rPr>
        <w:t>5. Влияние ФП на вероятность дефолта (корреляция)</w:t>
      </w:r>
    </w:p>
    <w:p>
      <w:r>
        <w:rPr>
          <w:color w:val="000000"/>
        </w:rPr>
        <w:t>Для оценки взаимосвязи между факторами проблемности используется корреляция Phi (эквивалент Пирсона для бинарных признаков). Тепловые карты построены для ТОП-30 наиболее частых ФП, отдельно для каждого сегмента.</w:t>
      </w:r>
    </w:p>
    <w:p>
      <w:r>
        <w:rPr>
          <w:color w:val="000000"/>
        </w:rPr>
        <w:t>Ориентиры: |r| &gt; 0.3 — умеренная корреляция, |r| &gt; 0.5 — сильная. Положительная корреляция означает, что ФП часто встречаются вместе; отрицательная — что ФП взаимоисключающие.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Тепловые карты по сегментам выявляют различные паттерны взаимосвязи ФП. Пары с высокой корреляцией стоит рассмотреть как кандидатов для группировки при моделировании. Подробные результаты — в Excel-приложении.</w:t>
      </w:r>
    </w:p>
    <w:p>
      <w:pPr>
        <w:pStyle w:val="Heading1"/>
      </w:pPr>
      <w:r>
        <w:rPr>
          <w:color w:val="000000"/>
        </w:rPr>
        <w:t>6. Кросс-таблицы ФП по сегментам</w:t>
      </w:r>
    </w:p>
    <w:p>
      <w:r>
        <w:rPr>
          <w:color w:val="000000"/>
        </w:rPr>
        <w:t>Для каждого ФП рассчитаны: частота встречаемости, доля дефолтов среди носителей, Lift — во сколько раз доля дефолтов с ФП выше базовой (Lift &gt; 1 = ФП повышает риск, Lift &lt; 1 = снижает). Отфильтрованы ФП с ≥3 дефолтами для статистической надёжности.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Кросс-таблицы показывают, какие ФП наиболее «опасны» для каждого сегмента. ФП с Lift &gt; 2 и достаточным количеством наблюдений заслуживают отдельного внимания при моделировании. Полные кросс-таблицы — в Excel-приложении.</w:t>
      </w:r>
    </w:p>
    <w:p>
      <w:pPr>
        <w:pStyle w:val="Heading1"/>
      </w:pPr>
      <w:r>
        <w:rPr>
          <w:color w:val="000000"/>
        </w:rPr>
        <w:t>7. Комбинации ФП по сегментам</w:t>
      </w:r>
    </w:p>
    <w:p>
      <w:r>
        <w:rPr>
          <w:color w:val="000000"/>
        </w:rPr>
        <w:t>Помимо индивидуального Lift, проанализированы пары и тройки ФП. Для каждой комбинации: количество компаний-носителей, дефолтов среди них, default rate и Lift. Пороги: ≥5 компаний, ≥2 дефолта.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Комбинации ФП зачастую имеют более высокий Lift, чем отдельные ФП. Это подтверждает эффект кумулятивного риска: сочетание нескольких факторов проблемности значительно повышает вероятность дефолта. Полные списки — в Excel-приложении.</w:t>
      </w:r>
    </w:p>
    <w:p>
      <w:pPr>
        <w:pStyle w:val="Heading1"/>
      </w:pPr>
      <w:r>
        <w:rPr>
          <w:color w:val="000000"/>
        </w:rPr>
        <w:t>8. Аномалии и паттерны</w:t>
      </w:r>
    </w:p>
    <w:p>
      <w:r>
        <w:rPr>
          <w:color w:val="000000"/>
        </w:rPr>
        <w:t>Выявлены следующие аномалии в данных:</w:t>
      </w:r>
    </w:p>
    <w:p>
      <w:r>
        <w:rPr>
          <w:color w:val="000000"/>
        </w:rPr>
        <w:t>1. ФП с 100% дефолтностью (≥2 компании): TODO. Все носители этих ФП оказались дефолтными — потенциально наиболее «опасные» факторы.</w:t>
      </w:r>
    </w:p>
    <w:p>
      <w:r>
        <w:rPr>
          <w:color w:val="000000"/>
        </w:rPr>
        <w:t>2. ФП с 0% дефолтностью (≥20 компаний): TODO. Ни один носитель не дефолтнул — ФП не связаны с дефолтом или «безопасны».</w:t>
      </w:r>
    </w:p>
    <w:p>
      <w:r>
        <w:rPr>
          <w:color w:val="000000"/>
        </w:rPr>
        <w:t>3. Редкие ФП (&lt; 5 компаний): TODO. По ним невозможно делать статистически значимые выводы; рекомендуется группировка в категории.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Аномалии по сегментам демонстрируют, что «опасность» конкретного ФП может существенно различаться в зависимости от бизнес-сегмента. Детальные таблицы аномалий по каждому сегменту — в Excel-приложении.</w:t>
      </w:r>
    </w:p>
    <w:p>
      <w:pPr>
        <w:pStyle w:val="Heading1"/>
      </w:pPr>
      <w:r>
        <w:rPr>
          <w:color w:val="000000"/>
        </w:rPr>
        <w:t>Итоговый вывод</w:t>
      </w:r>
    </w:p>
    <w:p>
      <w:r>
        <w:rPr>
          <w:color w:val="000000"/>
        </w:rPr>
        <w:t>Разведочный анализ данных подтвердил ключевые гипотезы:</w:t>
      </w:r>
    </w:p>
    <w:p>
      <w:r>
        <w:rPr>
          <w:color w:val="000000"/>
        </w:rPr>
        <w:t>1. Количество факторов проблемности положительно связано с вероятностью дефолта: дефолтные компании имеют в среднем больше ФП, чем недефолтные.</w:t>
      </w:r>
    </w:p>
    <w:p>
      <w:r>
        <w:rPr>
          <w:color w:val="000000"/>
        </w:rPr>
        <w:t>2. Отдельные ФП имеют Lift значительно выше 1, что указывает на их прогностическую ценность при оценке кредитного риска.</w:t>
      </w:r>
    </w:p>
    <w:p>
      <w:r>
        <w:rPr>
          <w:color w:val="000000"/>
        </w:rPr>
        <w:t>3. Комбинации из 2–3 ФП часто демонстрируют кумулятивный эффект — Lift комбинации превышает Lift каждого отдельного ФП.</w:t>
      </w:r>
    </w:p>
    <w:p>
      <w:r>
        <w:rPr>
          <w:color w:val="000000"/>
        </w:rPr>
        <w:t>4. Паттерны различаются по бизнес-сегментам: ФП, значимые для ККБ, могут не быть значимыми для МкБ, и наоборот. Это подтверждает необходимость сегментного подхода к моделированию.</w:t>
      </w:r>
    </w:p>
    <w:p>
      <w:r>
        <w:rPr>
          <w:color w:val="000000"/>
        </w:rPr>
        <w:t>Полные данные для дальнейшего анализа содержатся в Excel-приложении «Приложение к отчету "Анализ дефолтов (логика ДР)".xlsx».</w:t>
      </w:r>
    </w:p>
    <w:sectPr w:rsidR="00FC693F" w:rsidRPr="0006063C" w:rsidSect="00034616">
      <w:pgSz w:w="12240" w:h="15840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