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0"/>
        </w:rPr>
        <w:t>Отчёт по результатам анализа CRM</w:t>
        <w:br/>
        <w:t>по сегментам бизнеса</w:t>
      </w:r>
    </w:p>
    <w:p>
      <w:pPr>
        <w:jc w:val="center"/>
      </w:pPr>
      <w:r>
        <w:rPr>
          <w:color w:val="000000"/>
          <w:sz w:val="28"/>
        </w:rPr>
        <w:t>Период анализа: 2023–2025</w:t>
      </w:r>
    </w:p>
    <w:p>
      <w:pPr>
        <w:jc w:val="center"/>
      </w:pPr>
      <w:r>
        <w:rPr>
          <w:i/>
          <w:sz w:val="22"/>
        </w:rPr>
        <w:t>Сегменты: МкБ (микро) · МСБ (малый + средний) · ККБ (ДКБ)</w:t>
      </w:r>
    </w:p>
    <w:p>
      <w:r>
        <w:br w:type="page"/>
      </w:r>
    </w:p>
    <w:p>
      <w:pPr>
        <w:pStyle w:val="Heading1"/>
      </w:pPr>
      <w:r>
        <w:rPr>
          <w:color w:val="000000"/>
        </w:rPr>
        <w:t>Оглавление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808080"/>
          <w:sz w:val="20"/>
        </w:rPr>
        <w:t>(Оглавление — нажмите Ctrl+A, затем F9 для обновления)</w:t>
      </w:r>
      <w:r>
        <w:fldChar w:fldCharType="end"/>
      </w:r>
    </w:p>
    <w:p>
      <w:r>
        <w:br w:type="page"/>
      </w:r>
    </w:p>
    <w:p>
      <w:pPr>
        <w:pStyle w:val="Heading2"/>
      </w:pPr>
      <w:r>
        <w:rPr>
          <w:color w:val="000000"/>
        </w:rPr>
        <w:t>1. Уникальные ИНН по сегментам</w:t>
      </w:r>
    </w:p>
    <w:p>
      <w:r>
        <w:rPr>
          <w:color w:val="000000"/>
        </w:rPr>
        <w:t>Всего уникальных ИНН за анализируемый период: 9 919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2835"/>
        <w:gridCol w:w="1701"/>
      </w:tblGrid>
      <w:tr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Сегмент</w:t>
            </w:r>
          </w:p>
        </w:tc>
        <w:tc>
          <w:tcPr>
            <w:tcW w:w="2835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Уникальных ИНН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Доля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МкБ</w:t>
            </w:r>
          </w:p>
        </w:tc>
        <w:tc>
          <w:tcPr>
            <w:tcW w:w="2835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6 541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65.9%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МСБ</w:t>
            </w:r>
          </w:p>
        </w:tc>
        <w:tc>
          <w:tcPr>
            <w:tcW w:w="2835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2 267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22.9%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ККБ</w:t>
            </w:r>
          </w:p>
        </w:tc>
        <w:tc>
          <w:tcPr>
            <w:tcW w:w="2835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1 111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11.2%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w="2835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9 919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</w:tr>
    </w:tbl>
    <w:p/>
    <w:p>
      <w:r>
        <w:rPr>
          <w:color w:val="000000"/>
        </w:rPr>
        <w:t>Две трети уникальных ИНН (65,9%) относятся к сегменту микробизнеса (МкБ). Малый и средний бизнес (МСБ) составляет 22,9%, крупный корпоративный бизнес (ККБ) — 11,2%. Такое распределение отражает структуру клиентской базы Банка: основной массив заёмщиков с выявленными факторами проблемности приходится на микро- и малый сегменты.</w:t>
      </w:r>
    </w:p>
    <w:p>
      <w:pPr>
        <w:pStyle w:val="Heading2"/>
      </w:pPr>
      <w:r>
        <w:rPr>
          <w:color w:val="000000"/>
        </w:rPr>
        <w:t>1.1. Обоснование ключа дедупликации</w:t>
      </w:r>
    </w:p>
    <w:p>
      <w:r>
        <w:rPr>
          <w:color w:val="000000"/>
        </w:rPr>
        <w:t>В выгрузке CRM каждая строка — карточка ФП/СФП, привязанная к конкретному кредитному договору (ROW_ID — уникальный идентификатор карточки). При возникновении ФП у компании карточка автоматически тиражируется на все её действующие договоры. Поэтому при подсчёте уникальных событий ФП необходимо выбрать правильный ключ дедупликации.</w:t>
      </w:r>
    </w:p>
    <w:p>
      <w:r>
        <w:rPr>
          <w:color w:val="000000"/>
        </w:rPr>
        <w:t>Ключ дедупликации включает 4 поля: INN + NUMBER_FP_SFP + TYPE_FP + IDENTIFICATION_DATE. Поле TYPE_FP (ФП/СФП) включено в ключ, поскольку ФП и СФП с одним номером — разные события. Также проведено сравнение с расширенным ключом (+ ROW_ID): включение ROW_ID привело бы к завышению числа событий за счёт учёта технических копий карточек по договорам.</w:t>
      </w:r>
    </w:p>
    <w:p>
      <w:pPr>
        <w:pStyle w:val="Heading2"/>
      </w:pPr>
      <w:r>
        <w:rPr>
          <w:color w:val="000000"/>
        </w:rPr>
        <w:t>2. Общая статистика по ФП/СФП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0"/>
        <w:gridCol w:w="2268"/>
      </w:tblGrid>
      <w:tr>
        <w:tc>
          <w:tcPr>
            <w:tcW w:w="567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w="5670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Всего записей (событий)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106 160</w:t>
            </w:r>
          </w:p>
        </w:tc>
      </w:tr>
      <w:tr>
        <w:tc>
          <w:tcPr>
            <w:tcW w:w="5670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   из них ФП</w:t>
            </w:r>
          </w:p>
        </w:tc>
        <w:tc>
          <w:tcPr>
            <w:tcW w:w="2268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105 097</w:t>
            </w:r>
          </w:p>
        </w:tc>
      </w:tr>
      <w:tr>
        <w:tc>
          <w:tcPr>
            <w:tcW w:w="5670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   из них СФП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1 059</w:t>
            </w:r>
          </w:p>
        </w:tc>
      </w:tr>
      <w:tr>
        <w:tc>
          <w:tcPr>
            <w:tcW w:w="5670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Уникальных номеров факторов</w:t>
            </w:r>
          </w:p>
        </w:tc>
        <w:tc>
          <w:tcPr>
            <w:tcW w:w="2268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278</w:t>
            </w:r>
          </w:p>
        </w:tc>
      </w:tr>
      <w:tr>
        <w:tc>
          <w:tcPr>
            <w:tcW w:w="5670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   встречаются как ФП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250</w:t>
            </w:r>
          </w:p>
        </w:tc>
      </w:tr>
      <w:tr>
        <w:tc>
          <w:tcPr>
            <w:tcW w:w="5670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   встречаются как СФП</w:t>
            </w:r>
          </w:p>
        </w:tc>
        <w:tc>
          <w:tcPr>
            <w:tcW w:w="2268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</w:tr>
    </w:tbl>
    <w:p/>
    <w:p>
      <w:r>
        <w:rPr>
          <w:color w:val="000000"/>
        </w:rPr>
        <w:t>За анализируемый период (2023–2025) зафиксировано 106 160 событий, связанных с факторами проблемности. Подавляющее большинство (99.0%) — это факторы проблемности (ФП), тогда как существенные факторы проблемности (СФП) составляют лишь 1.0% от общего числа. Всего выявлено 278 уникальных номеров факторов, из которых 250 фигурируют как ФП и 31 как СФП.</w:t>
      </w:r>
    </w:p>
    <w:p>
      <w:pPr>
        <w:pStyle w:val="Heading2"/>
      </w:pPr>
      <w:r>
        <w:rPr>
          <w:color w:val="000000"/>
        </w:rPr>
        <w:t>3. Количество ФП/СФП по сегментам и среднее на ИНН</w:t>
      </w:r>
    </w:p>
    <w:p>
      <w:pPr>
        <w:pStyle w:val="ListBullet"/>
      </w:pPr>
      <w:r>
        <w:t>Количество событий ФП и СФП по сегментам: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1984"/>
        <w:gridCol w:w="1984"/>
        <w:gridCol w:w="1984"/>
      </w:tblGrid>
      <w:tr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Сегмент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ФП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СФП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Всего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МкБ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56 792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433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57 225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МСБ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35 669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540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36 209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ККБ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12 636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86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12 722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105 097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1 059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106 160</w:t>
            </w:r>
          </w:p>
        </w:tc>
      </w:tr>
    </w:tbl>
    <w:p/>
    <w:p>
      <w:pPr>
        <w:pStyle w:val="ListBullet"/>
      </w:pPr>
      <w:r>
        <w:t>Среднее количество ФП/СФП на один ИНН: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17"/>
        <w:gridCol w:w="1247"/>
        <w:gridCol w:w="1247"/>
        <w:gridCol w:w="1020"/>
        <w:gridCol w:w="1247"/>
        <w:gridCol w:w="1247"/>
        <w:gridCol w:w="1247"/>
        <w:gridCol w:w="1247"/>
      </w:tblGrid>
      <w:tr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Сегмент</w:t>
            </w:r>
          </w:p>
        </w:tc>
        <w:tc>
          <w:tcPr>
            <w:tcW w:w="124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Уник. ИНН</w:t>
            </w:r>
          </w:p>
        </w:tc>
        <w:tc>
          <w:tcPr>
            <w:tcW w:w="124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ФП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СФП</w:t>
            </w:r>
          </w:p>
        </w:tc>
        <w:tc>
          <w:tcPr>
            <w:tcW w:w="124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Всего</w:t>
            </w:r>
          </w:p>
        </w:tc>
        <w:tc>
          <w:tcPr>
            <w:tcW w:w="124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Ср. ФП/ИНН</w:t>
            </w:r>
          </w:p>
        </w:tc>
        <w:tc>
          <w:tcPr>
            <w:tcW w:w="124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Ср. СФП/ИНН</w:t>
            </w:r>
          </w:p>
        </w:tc>
        <w:tc>
          <w:tcPr>
            <w:tcW w:w="124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Ср. всего/ИНН</w:t>
            </w:r>
          </w:p>
        </w:tc>
      </w:tr>
      <w:tr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МкБ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6 541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56 792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433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57 225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8.68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0.07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8.75</w:t>
            </w:r>
          </w:p>
        </w:tc>
      </w:tr>
      <w:tr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МСБ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2 267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35 669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540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36 209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15.73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0.24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15.97</w:t>
            </w:r>
          </w:p>
        </w:tc>
      </w:tr>
      <w:tr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ККБ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1 111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12 636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86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12 722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11.37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0.08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11.45</w:t>
            </w:r>
          </w:p>
        </w:tc>
      </w:tr>
      <w:tr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ИТОГО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9 919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105 097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1 059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106 160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10.60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0.11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10.70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color w:val="000000"/>
        </w:rPr>
        <w:t>МкБ лидирует по абсолютному числу событий (57 225), однако наибольшая средняя нагрузка на одного заёмщика наблюдается в сегменте МСБ — 15,73 ФП на ИНН против 8,68 в МкБ и 11,37 в ККБ. Это свидетельствует о том, что компании малого и среднего бизнеса в среднем имеют больше выявленных факторов проблемности на одного заёмщика, что может быть связано с более сложной структурой кредитных сделок в данном сегменте. СФП крайне редки во всех сегментах: от 0,07 на ИНН в МкБ до 0,24 в МСБ.</w:t>
      </w:r>
    </w:p>
    <w:p>
      <w:pPr>
        <w:pStyle w:val="Heading2"/>
      </w:pPr>
      <w:r>
        <w:rPr>
          <w:color w:val="000000"/>
        </w:rPr>
        <w:t>4. Топ-20 самых частых ФП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1417"/>
        <w:gridCol w:w="1417"/>
        <w:gridCol w:w="170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№ ФП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 от всех ФП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9 647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9.18%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26.1.1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9 097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8.66%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28.9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8 291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7.89%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16.1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6 374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6.06%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1.2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5 036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4.79%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5 014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4.77%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24.4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4 691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4.46%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53.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4 349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4.14%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28.9.3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3 069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2.92%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2 773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2.64%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29.2.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2 739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2.61%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22.1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2 727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2.59%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26.2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2 579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2.45%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28.2У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2 443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2.32%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26.1.2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2 376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2.26%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2 170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2.06%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16.4У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1 805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1.72%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37.2.1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1 716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1.63%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26У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1 458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1.39%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24.3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1 450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1.38%</w:t>
            </w:r>
          </w:p>
        </w:tc>
      </w:tr>
    </w:tbl>
    <w:p/>
    <w:p>
      <w:r>
        <w:rPr>
          <w:color w:val="000000"/>
        </w:rPr>
        <w:t>Лидер среди ФП — фактор 24 (нарушение обязательств по поддержанию оборотов) — 9 647 событий (9.2%). На втором месте — 26.1.1 (непредставление документов, 9 097), на третьем — 28.9 (невыполнение финансовых ковенантов, 8 291). Первая тройка ФП формирует 25.7% от всех событий ФП. В топ-20 также заметно присутствие факторов, связанных с платёжной дисциплиной (16.1), сигнальными индикаторами ДКБ (1.2) и непредставлением документов (26).</w:t>
      </w:r>
    </w:p>
    <w:p>
      <w:pPr>
        <w:pStyle w:val="Heading2"/>
      </w:pPr>
      <w:r>
        <w:rPr>
          <w:color w:val="000000"/>
        </w:rPr>
        <w:t>5. Топ-20 самых частых СФП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1417"/>
        <w:gridCol w:w="1417"/>
        <w:gridCol w:w="170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№ СФП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 от всех СФП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40.1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481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45.42%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15.2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147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13.88%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22.2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76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7.18%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47.1.2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69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6.52%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15.2У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5.48%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48.1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4.15%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50.1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1.89%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52.0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1.79%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1.42%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22.1У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1.32%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44.3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1.32%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35.2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1.32%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48.2У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1.23%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1.13%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0.94%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50.1У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0.66%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48.1.1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0.66%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35.3У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0.66%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0.57%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40У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0.57%</w:t>
            </w:r>
          </w:p>
        </w:tc>
      </w:tr>
    </w:tbl>
    <w:p/>
    <w:p>
      <w:r>
        <w:rPr>
          <w:color w:val="000000"/>
        </w:rPr>
        <w:t>Среди СФП безусловный лидер — фактор 40.1 (прекращение действия лицензии) — 481 событий (45.4% от всех СФП). Второе место — 15.2 (просроченная задолженность &gt; 60 дней, 147), третье — 22.2 (снижение рейтинга до «D», 76). Первая тройка покрывает 66.5% всех СФП-событий. Большинство топовых СФП связаны с критическими событиями в жизни компании: отзыв лицензии, просроченная задолженность, снижение рейтинга.</w:t>
      </w:r>
    </w:p>
    <w:p>
      <w:pPr>
        <w:pStyle w:val="Heading2"/>
      </w:pPr>
      <w:r>
        <w:rPr>
          <w:color w:val="000000"/>
        </w:rPr>
        <w:t>6. Топ-20 ФП по сегментам</w:t>
      </w:r>
    </w:p>
    <w:p>
      <w:pPr>
        <w:pStyle w:val="ListBullet"/>
      </w:pPr>
      <w:r>
        <w:rPr>
          <w:b/>
        </w:rPr>
        <w:t>МкБ — Топ-20 ФП (всего: 56 792)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1417"/>
        <w:gridCol w:w="1417"/>
        <w:gridCol w:w="170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№ ФП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 от ФП сегмента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9 640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16.97%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28.9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8 278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14.58%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4 999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8.80%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26.1.1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4 370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7.69%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16.1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2 986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5.26%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2 766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4.87%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28.2У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2 443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4.30%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22.1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1 874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3.30%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16.4У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1 805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3.18%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29.2.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1 741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3.07%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26У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1 458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2.57%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26.1.2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1 276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2.25%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15.1.1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1 214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2.14%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15.1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1 209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2.13%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53У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1 184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2.08%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1 092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1.92%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28.4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863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1.52%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15.1У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645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1.14%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14.3.1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510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0.90%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26.2У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480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0.85%</w:t>
            </w:r>
          </w:p>
        </w:tc>
      </w:tr>
    </w:tbl>
    <w:p/>
    <w:p>
      <w:pPr>
        <w:pStyle w:val="ListBullet"/>
      </w:pPr>
      <w:r>
        <w:rPr>
          <w:b/>
        </w:rPr>
        <w:t>МСБ — Топ-20 ФП (всего: 35 669)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1417"/>
        <w:gridCol w:w="1417"/>
        <w:gridCol w:w="170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№ ФП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 от ФП сегмента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24.4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4 662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13.07%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53.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4 294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12.04%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26.1.1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4 221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11.83%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16.1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3 122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8.75%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28.9.3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3 033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8.50%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26.2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2 212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6.20%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24.3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1 430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4.01%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37.2.1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1 260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3.53%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26.1.2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1 077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3.02%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53.1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1 015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2.85%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29.2.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994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2.79%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37.1.1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894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2.51%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15.1.2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644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1.81%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22.1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642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1.80%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24.2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617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1.73%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28.9.1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576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1.61%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28.9.2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456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1.28%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29.13.1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375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1.05%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16.3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331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0.93%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24.1.1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320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0.90%</w:t>
            </w:r>
          </w:p>
        </w:tc>
      </w:tr>
    </w:tbl>
    <w:p/>
    <w:p>
      <w:pPr>
        <w:pStyle w:val="ListBullet"/>
      </w:pPr>
      <w:r>
        <w:rPr>
          <w:b/>
        </w:rPr>
        <w:t>ККБ — Топ-20 ФП (всего: 12 636)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1417"/>
        <w:gridCol w:w="1417"/>
        <w:gridCol w:w="170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№ ФП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 от ФП сегмента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1.2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5 036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39.85%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2 170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17.17%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2.2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573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4.53%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26.1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509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4.03%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26.1.1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506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4.00%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29.13.1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494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3.91%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42.1.1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295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2.33%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280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2.22%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16.1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266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2.11%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256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2.03%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22.1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211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1.67%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29.2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207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1.64%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29.13.3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202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1.60%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29.1.1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185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1.46%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39.3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96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0.76%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29.13.2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0.73%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39.2.1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0.73%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29.1.1.1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86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0.68%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23.2.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73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0.58%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13.1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0.47%</w:t>
            </w:r>
          </w:p>
        </w:tc>
      </w:tr>
    </w:tbl>
    <w:p/>
    <w:p>
      <w:r>
        <w:rPr>
          <w:color w:val="000000"/>
        </w:rPr>
        <w:t>Структура топовых ФП существенно различается по сегментам. В МкБ лидирует фактор 24 (обороты, 9 640, 16,97%), далее 28.9 (ковенанты, 8 278) и 26 (отчётность, 4 999). В МСБ первое место — 24.4 (динамика оборотов, 4 662), далее 53. (ковенанты) и 26.1.1 (документы). В ККБ картина кардинально иная: первое место — 1.2 (Сигнальный 2, 5 036, 39,85%), второе — 2.1 (Критический 1, 2 170). Это связано с тем, что крупный бизнес использует отдельную систему классификации факторов (ДКБ).</w:t>
      </w:r>
    </w:p>
    <w:p>
      <w:pPr>
        <w:pStyle w:val="Heading2"/>
      </w:pPr>
      <w:r>
        <w:rPr>
          <w:color w:val="000000"/>
        </w:rPr>
        <w:t>7. Топ-20 СФП по сегментам</w:t>
      </w:r>
    </w:p>
    <w:p>
      <w:pPr>
        <w:pStyle w:val="ListBullet"/>
      </w:pPr>
      <w:r>
        <w:rPr>
          <w:b/>
        </w:rPr>
        <w:t>МкБ — Топ-20 СФП (всего: 433)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1417"/>
        <w:gridCol w:w="1417"/>
        <w:gridCol w:w="170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№ СФП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 от СФП сегмента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15.2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98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22.63%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22.2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14.09%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40.1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13.63%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15.2У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13.39%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52.0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4.39%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48.1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3.93%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3.46%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35.2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3.23%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22.1У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3.23%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48.2У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3.00%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2.77%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2.31%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50.1У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1.62%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35.3У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1.62%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1.39%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40У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1.39%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50.1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1.15%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44.3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0.69%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0.69%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15.2.1У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0.46%</w:t>
            </w:r>
          </w:p>
        </w:tc>
      </w:tr>
    </w:tbl>
    <w:p/>
    <w:p>
      <w:pPr>
        <w:pStyle w:val="ListBullet"/>
      </w:pPr>
      <w:r>
        <w:rPr>
          <w:b/>
        </w:rPr>
        <w:t>МСБ — Топ-20 СФП (всего: 540)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1417"/>
        <w:gridCol w:w="1417"/>
        <w:gridCol w:w="170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№ СФП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 от СФП сегмента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40.1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416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77.04%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15.2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9.07%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48.1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5.00%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47.1.2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2.59%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22.2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2.22%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44.3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1.85%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50.1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1.48%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0.37%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15.2.1.1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0.19%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40.1.1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0.19%</w:t>
            </w:r>
          </w:p>
        </w:tc>
      </w:tr>
    </w:tbl>
    <w:p/>
    <w:p>
      <w:pPr>
        <w:pStyle w:val="ListBullet"/>
      </w:pPr>
      <w:r>
        <w:rPr>
          <w:b/>
        </w:rPr>
        <w:t>ККБ — Топ-20 СФП (всего: 86)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1417"/>
        <w:gridCol w:w="1417"/>
        <w:gridCol w:w="170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№ СФП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 от СФП сегмента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47.1.2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63.95%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50.1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8.14%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48.1.1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8.14%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40.1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6.98%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15.2.1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3.49%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22.2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3.49%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40.1.1.1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3.49%</w:t>
            </w:r>
          </w:p>
        </w:tc>
      </w:tr>
      <w:tr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44.3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1.16%</w:t>
            </w:r>
          </w:p>
        </w:tc>
      </w:tr>
      <w:tr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1.16%</w:t>
            </w:r>
          </w:p>
        </w:tc>
      </w:tr>
    </w:tbl>
    <w:p/>
    <w:p>
      <w:r>
        <w:rPr>
          <w:color w:val="000000"/>
        </w:rPr>
        <w:t>Распределение СФП по сегментам контрастно. В МкБ лидирует фактор 15.2 (просроченная задолженность &gt; 60 дней, 98 из 433 СФП = 22,6%), распределение относительно равномерное. В МСБ — сверхконцентрация: 40.1 (прекращение лицензии) покрывает 77,0% всех СФП сегмента (416 из 540). В ККБ 64,0% СФП приходится на фактор 47.1.2 (возбуждение уголовного дела, 55 из 86). В МСБ только 10 уникальных номеров СФП, а в ККБ — 9, что указывает на узкий спектр критических событий.</w:t>
      </w:r>
    </w:p>
    <w:p>
      <w:pPr>
        <w:pStyle w:val="Heading2"/>
      </w:pPr>
      <w:r>
        <w:rPr>
          <w:color w:val="000000"/>
        </w:rPr>
        <w:t>8. Топ-5 ФП по сегментам с наименованиями</w:t>
      </w:r>
    </w:p>
    <w:p>
      <w:pPr>
        <w:pStyle w:val="ListBullet"/>
      </w:pPr>
      <w:r>
        <w:rPr>
          <w:b/>
        </w:rPr>
        <w:t>МкБ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"/>
        <w:gridCol w:w="1134"/>
        <w:gridCol w:w="6804"/>
        <w:gridCol w:w="1134"/>
      </w:tblGrid>
      <w:tr>
        <w:tc>
          <w:tcPr>
            <w:tcW w:w="45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ФП/СФП</w:t>
            </w:r>
          </w:p>
        </w:tc>
        <w:tc>
          <w:tcPr>
            <w:tcW w:w="68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24-МкБ_Нарушено обязательство по поддержанию оборотов, предусмотренное в рамках кредитной сделки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9 640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28.9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28.9-МкБ_Невыполнение заёмщиком (поручителем, залогодателем, принципалом) обязательств по выполнению финансовых ковенантов, установленных в КОД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8 278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Непредставление заёмщиком (поручителем, залогодателем, принципалом) финансовой отчётности, документов, предусмотренных кредитной/обеспечительной документацией, предоставляемых по требованию Банка, на 10 рабочий день от даты, установленной кредитной/обеспечительной документацией, требованием Банка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4 999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26.1.1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26.1.1-МкБ_Непредставление документов — финансовой отчётности, документов, предусмотренных КОД, включая документы, предоставляемые по требованию Банка. До 10 рабочих дней от даты, установленной КОД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4 370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16.1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16.1-МкБ_Предъявление к расчётному счёту — арестов на движение денежных средств и/или приостановление операций по счетам, инкассовым поручениям, платёжных требований, исполнительных листов. До 30 календарных дней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2 986</w:t>
            </w:r>
          </w:p>
        </w:tc>
      </w:tr>
    </w:tbl>
    <w:p/>
    <w:p>
      <w:pPr>
        <w:pStyle w:val="ListBullet"/>
      </w:pPr>
      <w:r>
        <w:rPr>
          <w:b/>
        </w:rPr>
        <w:t>МСБ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"/>
        <w:gridCol w:w="1134"/>
        <w:gridCol w:w="6804"/>
        <w:gridCol w:w="1134"/>
      </w:tblGrid>
      <w:tr>
        <w:tc>
          <w:tcPr>
            <w:tcW w:w="45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ФП/СФП</w:t>
            </w:r>
          </w:p>
        </w:tc>
        <w:tc>
          <w:tcPr>
            <w:tcW w:w="68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24.4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24.4_МСБ_Изменение в динамике/структуре оборотов по Р/С в Банке. Выявлен любой из 3-х критериев с показ. снижения более чем на 25%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4 662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53.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53._МСБ_Другие условия/ограничения (ковенанты), предусмотренные КОД, не предусмотренные настоящим Приложением, в том числе по полученному согласию Банка (п.2.4 Приложения 5.01.01.01 Альбома инструментов)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4 294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26.1.1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26.1.1_МСБ_Непредставление Клиентом/иными участниками кред. сделки осн. док-тов, необходимых для оценки фин. положения, расчёта фин. ковенантов, оборотов по расчётному счёту (пункты 1.1, 1.2, 1.13 Приложения 1.06.01.01 Альбома инструментов) до 10 рабочих дней от даты, установленной КОД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4 221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16.1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16.1_МСБ_ПЛАТЕЖНАЯ ДИСЦИПЛИНА_Предъявление к Р/С Клиента/ам уч-кам сделки/уч-кам ГСК по совокупности сумм: арестов на дат. ор-на и/или приостановление операций по счетам, инкассовым поручениям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3 122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28.9.3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28.9.3_МСБ_Невыполнение Клиентом/участником сделки обязательств по выполнению финансовых ковенантов, предусмотренных КОД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3 033</w:t>
            </w:r>
          </w:p>
        </w:tc>
      </w:tr>
    </w:tbl>
    <w:p/>
    <w:p>
      <w:pPr>
        <w:pStyle w:val="ListBullet"/>
      </w:pPr>
      <w:r>
        <w:rPr>
          <w:b/>
        </w:rPr>
        <w:t>ККБ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"/>
        <w:gridCol w:w="1134"/>
        <w:gridCol w:w="6804"/>
        <w:gridCol w:w="1134"/>
      </w:tblGrid>
      <w:tr>
        <w:tc>
          <w:tcPr>
            <w:tcW w:w="45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ФП/СФП</w:t>
            </w:r>
          </w:p>
        </w:tc>
        <w:tc>
          <w:tcPr>
            <w:tcW w:w="68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1.2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ДКБ_ИС_1.2 (фП) Сигнальный 2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5 036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2.1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ДКБ_ИС_2.1 (фП) Критический 1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2 170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2.2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ДКБ_ИС_2.2 (фП) Критический 2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573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26.1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ДКБ_ИС_26.1 (фП) Непредоставление в дату, уст. КОД клиентом/иными уч-ками кред. сделки док-тов, предусм. лимитом кред. риска/КОД: документов, требуемых для расчёта ковенант/контроля выполнения условий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509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26.1.1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ДКБ_ИС_26.1.1 (фП) Непредоставление до 10 рабочих дней от даты, установленной КОД клиентом/иными участниками кредитной сделки документов, предусмотренных лимитом кредитного риска/КОД; иных документов, не относящихся к ФП НР 26.1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506</w:t>
            </w:r>
          </w:p>
        </w:tc>
      </w:tr>
    </w:tbl>
    <w:p/>
    <w:p>
      <w:r>
        <w:rPr>
          <w:color w:val="000000"/>
        </w:rPr>
        <w:t>Наименования подтверждают ключевые зоны риска: в МкБ преобладают нарушения обязательств по оборотам (24), невыполнение финансовых ковенантов (28.9) и непредставление документов (26, 26.1.1). В МСБ — изменение структуры оборотов (24.4), прочие ковенанты (53.), и платёжная дисциплина (16.1). В ККБ факторы носят формализованный характер (Сигнальный 2, Критический 1/2) и привязаны к внутренней рейтинговой системе ДКБ.</w:t>
      </w:r>
    </w:p>
    <w:p>
      <w:pPr>
        <w:pStyle w:val="Heading2"/>
      </w:pPr>
      <w:r>
        <w:rPr>
          <w:color w:val="000000"/>
        </w:rPr>
        <w:t>9. Топ-5 СФП по сегментам с наименованиями</w:t>
      </w:r>
    </w:p>
    <w:p>
      <w:pPr>
        <w:pStyle w:val="ListBullet"/>
      </w:pPr>
      <w:r>
        <w:rPr>
          <w:b/>
        </w:rPr>
        <w:t>МкБ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"/>
        <w:gridCol w:w="1134"/>
        <w:gridCol w:w="6804"/>
        <w:gridCol w:w="1134"/>
      </w:tblGrid>
      <w:tr>
        <w:tc>
          <w:tcPr>
            <w:tcW w:w="45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ФП/СФП</w:t>
            </w:r>
          </w:p>
        </w:tc>
        <w:tc>
          <w:tcPr>
            <w:tcW w:w="68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15.2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15.2-МкБ_Наличие просроченной задолженности заёмщика (залогодателя, поручителя, принципала) и/или любой из компаний, входящих в ГСК перед Банком более 60 календарных дней непрерывной просроченной задолженности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98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22.2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22.2-МкБ_Снижение внутреннего кредитного рейтинга заёмщика (принципала) до уровня «D»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61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40.1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40.1-МкБ_Отзыв/прекращение/истечение сроков действия лицензии, разрешения/прекращение деятельности ИП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59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15.2У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15.2У-МкБ_Укр_Наличие непрерывной просроченной задолженности (основной долг и/или проценты, комиссии, штрафы, пени) перед Банком по кредитным/документарным сделкам (свыше 30 кален. дней)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58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52.0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52.0-МкБ_Возбуждение уголовного дела в отношении заёмщика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</w:tr>
    </w:tbl>
    <w:p/>
    <w:p>
      <w:pPr>
        <w:pStyle w:val="ListBullet"/>
      </w:pPr>
      <w:r>
        <w:rPr>
          <w:b/>
        </w:rPr>
        <w:t>МСБ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"/>
        <w:gridCol w:w="1134"/>
        <w:gridCol w:w="6804"/>
        <w:gridCol w:w="1134"/>
      </w:tblGrid>
      <w:tr>
        <w:tc>
          <w:tcPr>
            <w:tcW w:w="45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ФП/СФП</w:t>
            </w:r>
          </w:p>
        </w:tc>
        <w:tc>
          <w:tcPr>
            <w:tcW w:w="68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40.1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40.1_МСБ_Прекращение действия разрешения (лицензии), на основании которого осуществляется основная хозяйственная (профилирующая) деятельность в отношении Клиента/иных участников сделки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416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15.2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15.2_МСБ_ПЛАТЕЖНАЯ ДИСЦИПЛИНА_Наличие непрерывной просроченной задолженности Клиента/иных участников сделки/иных участников ГСК перед Банком по кредитным/документарным сделкам свыше 60 календ. дней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49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48.1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48.1_МСБ_Осущ. процесса ликвидации (принятие решения о ликвидации Клиента без введения проц. банкротства/внесении в ЕГРЮЛ записи о ликвидации Клиента) в отношении Клиента/иных участников сделки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47.1.2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47.1.2_МСБ_Возбуждение уголовного дела в отношении бенефициарного владельца, акционера/участника (от 50% и более акций/долей) Клиента/участников сделки по сделкам, находящимся на сопровождении РФ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22.2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22.2_МСБ_Снижение внутреннего кредитного рейтинга Клиента до уровня «D» по сделкам, находящимся на сопровождении РФ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</w:tr>
    </w:tbl>
    <w:p/>
    <w:p>
      <w:pPr>
        <w:pStyle w:val="ListBullet"/>
      </w:pPr>
      <w:r>
        <w:rPr>
          <w:b/>
        </w:rPr>
        <w:t>ККБ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"/>
        <w:gridCol w:w="1134"/>
        <w:gridCol w:w="6804"/>
        <w:gridCol w:w="1134"/>
      </w:tblGrid>
      <w:tr>
        <w:tc>
          <w:tcPr>
            <w:tcW w:w="45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ФП/СФП</w:t>
            </w:r>
          </w:p>
        </w:tc>
        <w:tc>
          <w:tcPr>
            <w:tcW w:w="68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47.1.2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ДКБ_ИС_47.1.2 (СфП) Возбуждение уголовного дела в отношении бенефициарного владельца, акционера/участника (от 50% и более акций/долей) клиентов/участников сделки по сделкам, находящимся на сопровождении РФ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55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48.1.1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ДКБ_ИС_48.1.1 (СфП) Принятие решения о ликвидации клиента без введения процедур банкротства/внесении в ЕГРЮЛ записи о ликвидации клиента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50.1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ДКБ_ИС_50.1 (СфП) Прекращение (приостановление) финансово-хозяйственной деятельности по собственной инициативе в отн. клиента/участника кредитной сделки по сделкам, находящимся на сопровождении РФ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40.1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ДКБ_ИС_40.1 (СфП) Прекращение действия разрешения (лицензии)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15.2.1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ДКБ_ИС_15.2.1 (СфП) Наличие непрерывной просроченной задолженности свыше 60 календарных дней по сделкам, находящимся на сопровождении РФ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</w:tbl>
    <w:p/>
    <w:p>
      <w:r>
        <w:rPr>
          <w:color w:val="000000"/>
        </w:rPr>
        <w:t>Наименования СФП указывают на критичные события. В МкБ — просроченная задолженность свыше 60 дней (15.2) и снижение рейтинга до «D» (22.2). В МСБ — прекращение лицензии (40.1) и ликвидация (48.1). В ККБ ведущий СФП — возбуждение уголовного дела в отношении бенефициаров (47.1.2), что отражает специфику крупного бизнеса, где персональные риски владельцев играют значительную роль.</w:t>
      </w:r>
    </w:p>
    <w:p>
      <w:pPr>
        <w:pStyle w:val="Heading2"/>
      </w:pPr>
      <w:r>
        <w:rPr>
          <w:color w:val="000000"/>
        </w:rPr>
        <w:t>10. Самые частые комбинации из 2 ФП по сегментам</w:t>
      </w:r>
    </w:p>
    <w:p>
      <w:r>
        <w:rPr>
          <w:color w:val="000000"/>
        </w:rPr>
        <w:t>Для каждого ИНН берутся все уникальные ФП, генерируются пары, подсчитывается частота.</w:t>
      </w:r>
    </w:p>
    <w:p>
      <w:pPr>
        <w:pStyle w:val="ListBullet"/>
      </w:pPr>
      <w:r>
        <w:rPr>
          <w:b/>
        </w:rPr>
        <w:t>МкБ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"/>
        <w:gridCol w:w="737"/>
        <w:gridCol w:w="3288"/>
        <w:gridCol w:w="737"/>
        <w:gridCol w:w="3288"/>
        <w:gridCol w:w="1020"/>
      </w:tblGrid>
      <w:tr>
        <w:tc>
          <w:tcPr>
            <w:tcW w:w="396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ФП 1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1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ФП 2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2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Кол-во ИНН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24-МкБ_Нарушено обязательство по поддержанию оборотов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28.9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28.9-МкБ_Невыполнение заёмщиком обязательств по выполнению финансовых ковенантов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1 814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24-МкБ_Нарушено обязательство по поддержанию оборотов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26.1.1-МкБ_Непредставление документов, предусмотренных КОД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1 764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26.1.1-МкБ_Непредставление документов, предусмотренных КОД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28.9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28.9-МкБ_Невыполнение заёмщиком обязательств по выполнению финансовых ковенантов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1 289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24-МкБ_Нарушено обязательство по поддержанию оборотов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Непредставление заёмщиком финансовой отчётности, на 10 раб. день от даты КОД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1 237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Непредставление заёмщиком финансовой отчётности, на 10 раб. день от даты КОД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28.9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28.9-МкБ_Невыполнение заёмщиком обязательств по выполнению финансовых ковенантов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1 159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22.1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22.1-МкБ_Снижение внутреннего кредитного рейтинга заёмщика на 3 ступени и/или уровня «7»+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24-МкБ_Нарушено обязательство по поддержанию оборотов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1 143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22.1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22.1-МкБ_Снижение внутреннего кредитного рейтинга заёмщика на 3 ступени и/или уровня «7»+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28.9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28.9-МкБ_Невыполнение заёмщиком обязательств по выполнению финансовых ковенантов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1 009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Непредставление заёмщиком финансовой отчётности, на 10 раб. день от даты КОД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26.1.1-МкБ_Непредставление документов, предусмотренных КОД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972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16.1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16.1-МкБ_Предъявление к Р/С арестов/приостановок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28.9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28.9-МкБ_Невыполнение заёмщиком обязательств по выполнению финансовых ковенантов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811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24-МкБ_Нарушено обязательство по поддержанию оборотов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53-МкБ_Другие условия/ограничения (ковенанты)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737</w:t>
            </w:r>
          </w:p>
        </w:tc>
      </w:tr>
    </w:tbl>
    <w:p/>
    <w:p>
      <w:pPr>
        <w:pStyle w:val="ListBullet"/>
      </w:pPr>
      <w:r>
        <w:rPr>
          <w:b/>
        </w:rPr>
        <w:t>МСБ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"/>
        <w:gridCol w:w="737"/>
        <w:gridCol w:w="3288"/>
        <w:gridCol w:w="737"/>
        <w:gridCol w:w="3288"/>
        <w:gridCol w:w="1020"/>
      </w:tblGrid>
      <w:tr>
        <w:tc>
          <w:tcPr>
            <w:tcW w:w="396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ФП 1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1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ФП 2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2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Кол-во ИНН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26.1.1_МСБ_Непредставление Клиентом осн. док-тов для оценки фин. положения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53.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53._МСБ_Другие условия/ограничения (ковенанты), предусмотренные КОД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781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26.1.1_МСБ_Непредставление Клиентом осн. док-тов для оценки фин. положения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28.9.3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28.9.3_МСБ_Невыполнение обязательств по выполнению финансовых ковенантов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769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26.1.1_МСБ_Непредставление Клиентом осн. док-тов для оценки фин. положения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26.2_МСБ_Непредставление док-тов в соответствии с Правилами Альбома инструментов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750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28.9.3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28.9.3_МСБ_Невыполнение обязательств по выполнению финансовых ковенантов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53.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53._МСБ_Другие условия/ограничения (ковенанты), предусмотренные КОД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658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26.1.1_МСБ_Непредставление Клиентом осн. док-тов для оценки фин. положения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16.1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16.1_МСБ_ПЛАТЕЖНАЯ ДИСЦИПЛИНА_Предъявление к Р/С арестов/приостановок ≥25%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655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26.2_МСБ_Непредставление док-тов в соответствии с Правилами Альбома инструментов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53.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53._МСБ_Другие условия/ограничения (ковенанты), предусмотренные КОД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626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28.9.3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28.9.3_МСБ_Невыполнение обязательств по выполнению финансовых ковенантов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26.2_МСБ_Непредставление док-тов в соответствии с Правилами Альбома инструментов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623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16.1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16.1_МСБ_ПЛАТЕЖНАЯ ДИСЦИПЛИНА_Предъявление к Р/С арестов/приостановок ≥25%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53.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53._МСБ_Другие условия/ограничения (ковенанты), предусмотренные КОД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616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16.1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16.1_МСБ_ПЛАТЕЖНАЯ ДИСЦИПЛИНА_Предъявление к Р/С арестов/приостановок ≥25%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26.1.1_МСБ_Непредставление Клиентом осн. док-тов для оценки фин. положения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24.3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24.3_МСБ_Неподдержание кредитных оборотов по счетам Клиента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26.1.1_МСБ_Непредставление Клиентом осн. док-тов для оценки фин. положения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588</w:t>
            </w:r>
          </w:p>
        </w:tc>
      </w:tr>
    </w:tbl>
    <w:p/>
    <w:p>
      <w:pPr>
        <w:pStyle w:val="ListBullet"/>
      </w:pPr>
      <w:r>
        <w:rPr>
          <w:b/>
        </w:rPr>
        <w:t>ККБ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"/>
        <w:gridCol w:w="737"/>
        <w:gridCol w:w="3288"/>
        <w:gridCol w:w="737"/>
        <w:gridCol w:w="3288"/>
        <w:gridCol w:w="1020"/>
      </w:tblGrid>
      <w:tr>
        <w:tc>
          <w:tcPr>
            <w:tcW w:w="396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ФП 1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1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ФП 2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2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Кол-во ИНН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1.2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ДКБ_ИС_1.2 (фП) Сигнальный 2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ДКБ_ИС_2.1 (фП) Критический 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804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ДКБ_ИС_1.2 (фП) Сигнальный 2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ДКБ_ИС_2.2 (фП) Критический 2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417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ДКБ_ИС_2.1 (фП) Критический 1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ДКБ_ИС_2.2 (фП) Критический 2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258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ДКБ_ИС_1.2 (фП) Сигнальный 2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ДКБ_ИС_26.1 (фП) Непредоставление док-тов для расчёта ковенант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211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ДКБ_ИС_2.1 (фП) Критический 1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ДКБ_ИС_26.1 (фП) Непредоставление док-тов для расчёта ковенант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172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ДКБ_ИС_1.2 (фП) Сигнальный 2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ДКБ_ИС_26.1.1 (фП) Непредоставление до 10 рабочих дней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172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1.2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ДКБ_ИС_1.2 (фП) Сигнальный 2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42.1.1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ДКБ_ИС_42.1.1 (фП) Реорганизация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162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ДКБ_ИС_1.2 (фП) Сигнальный 2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29.13.1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ДКБ_ИС_29.13.1 (фП) Нарушение обязательств клиента по оформлению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162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1.2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ДКБ_ИС_1.2 (фП) Сигнальный 2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22.1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ДКБ_ИС_22.1 (фП) Снижение рейтинга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142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ДКБ_ИС_2.1 (фП) Критический 1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ДКБ_ИС_26.1.1 (фП) Непредоставление до 10 рабочих дней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122</w:t>
            </w:r>
          </w:p>
        </w:tc>
      </w:tr>
    </w:tbl>
    <w:p/>
    <w:p>
      <w:r>
        <w:rPr>
          <w:color w:val="000000"/>
        </w:rPr>
        <w:t>В МкБ наиболее частая пара — (24 + 28.9): нарушение обязательств по оборотам совместно с невыполнением ковенантов (1 814 ИНН). В МСБ лидирует пара (26.1.1 + 53.): непредставление документов и нарушение прочих ковенантов (781 ИНН). В ККБ доминирует комбинация (1.2 + 2.1): Сигнальный 2 + Критический 1 (804 ИНН), что указывает на системный характер проблем при одновременном появлении этих индикаторов.</w:t>
      </w:r>
    </w:p>
    <w:p>
      <w:pPr>
        <w:pStyle w:val="Heading2"/>
      </w:pPr>
      <w:r>
        <w:rPr>
          <w:color w:val="000000"/>
        </w:rPr>
        <w:t>11. Самые частые комбинации из 2 СФП по сегментам</w:t>
      </w:r>
    </w:p>
    <w:p>
      <w:pPr>
        <w:pStyle w:val="ListBullet"/>
      </w:pPr>
      <w:r>
        <w:rPr>
          <w:b/>
        </w:rPr>
        <w:t>МкБ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"/>
        <w:gridCol w:w="737"/>
        <w:gridCol w:w="3288"/>
        <w:gridCol w:w="737"/>
        <w:gridCol w:w="3288"/>
        <w:gridCol w:w="1020"/>
      </w:tblGrid>
      <w:tr>
        <w:tc>
          <w:tcPr>
            <w:tcW w:w="396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СФП 1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1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СФП 2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2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Кол-во ИНН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15.2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15.2-МкБ_Наличие просроченной задолженности свыше 60 дней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22.2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22.2-МкБ_Снижение кредитного рейтинга до уровня «D»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15.2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15.2-МкБ_Наличие просроченной задолженности свыше 60 дней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48.1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48.1-МкБ_Осуществление процесса ликвидации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22.2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22.2-МкБ_Снижение кредитного рейтинга до уровня «D»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48.2У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48.2У-МкБ_Осуществление процесса ликвидации ЮЛ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35.2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35.2-МкБ_Установлен факт смерти основного акционера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48.1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48.1-МкБ_Осуществление процесса ликвидации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35.3У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35.3У-МкБ_Установлен факт смерти Заёмщика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50-МкБ_Прекращение финансово-хозяйственной деятельности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40.1-МкБ_Отзыв/прекращение действия лицензии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52.0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52.0-МкБ_Возбуждение уголовного дела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15.2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15.2-МкБ_Наличие просроченной задолженности свыше 60 дней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40.1-МкБ_Отзыв/прекращение действия лицензии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22.2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22.2-МкБ_Снижение кредитного рейтинга до уровня «D»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40.1-МкБ_Отзыв/прекращение действия лицензии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44-МкБ_Возбуждение пр-ва по делу о банкротстве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52.0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52.0-МкБ_Возбуждение уголовного дела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48.1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48.1-МкБ_Осуществление процесса ликвидации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50-МкБ_Прекращение финансово-хозяйственной деятельности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</w:tr>
    </w:tbl>
    <w:p/>
    <w:p>
      <w:pPr>
        <w:pStyle w:val="ListBullet"/>
      </w:pPr>
      <w:r>
        <w:rPr>
          <w:b/>
        </w:rPr>
        <w:t>МСБ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"/>
        <w:gridCol w:w="737"/>
        <w:gridCol w:w="3288"/>
        <w:gridCol w:w="737"/>
        <w:gridCol w:w="3288"/>
        <w:gridCol w:w="1020"/>
      </w:tblGrid>
      <w:tr>
        <w:tc>
          <w:tcPr>
            <w:tcW w:w="396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СФП 1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1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СФП 2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2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Кол-во ИНН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40.1_МСБ_Прекращение действия лицензии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48.1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48.1_МСБ_Осущ. процесса ликвидации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40.1_МСБ_Прекращение действия лицензии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47.1.2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47.1.2_МСБ_Возбуждение уголовного дела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40.1_МСБ_Прекращение действия лицензии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44.3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44.3_МСБ_Определение суда о банкротстве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22.2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22.2_МСБ_Снижение кредитного рейтинга до уровня «D»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48.1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48.1_МСБ_Осущ. процесса ликвидации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22.2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22.2_МСБ_Снижение кредитного рейтинга до уровня «D»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40.1_МСБ_Прекращение действия лицензии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15.2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15.2_МСБ_Наличие просроченной задолженности свыше 60 дней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40.1_МСБ_Прекращение действия лицензии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40.1_МСБ_Прекращение действия лицензии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40.1.1_МСБ_Прекращение действия лицензии (подуровень)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15.2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15.2_МСБ_Наличие просроченной задолженности свыше 60 дней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48.1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48.1_МСБ_Осущ. процесса ликвидации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40.1_МСБ_Прекращение действия лицензии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15.2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15.2_МСБ_Наличие просроченной задолженности свыше 60 дней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15.2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15.2_МСБ_Наличие просроченной задолженности свыше 60 дней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22.2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22.2_МСБ_Снижение кредитного рейтинга до уровня «D»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</w:tr>
    </w:tbl>
    <w:p/>
    <w:p>
      <w:pPr>
        <w:pStyle w:val="ListBullet"/>
      </w:pPr>
      <w:r>
        <w:rPr>
          <w:b/>
        </w:rPr>
        <w:t>ККБ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"/>
        <w:gridCol w:w="737"/>
        <w:gridCol w:w="3288"/>
        <w:gridCol w:w="737"/>
        <w:gridCol w:w="3288"/>
        <w:gridCol w:w="1020"/>
      </w:tblGrid>
      <w:tr>
        <w:tc>
          <w:tcPr>
            <w:tcW w:w="396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СФП 1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1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СФП 2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2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Кол-во ИНН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ДКБ_ИС_40.1 (СфП) Прекращение действия лицензии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50.1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ДКБ_ИС_50.1 (СфП) Прекращение фин.-хоз. деятельности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</w:tbl>
    <w:p/>
    <w:p>
      <w:r>
        <w:rPr>
          <w:color w:val="000000"/>
        </w:rPr>
        <w:t>Комбинации СФП встречаются редко. В МСБ — (40.1 + 48.1): прекращение лицензии и ликвидация (8 ИНН). В ККБ зафиксирована единственная пара (40.1 + 50.1) у 3 ИНН. Малое количество комбинаций свидетельствует о том, что СФП возникают изолированно и связаны с единичными критическими событиями.</w:t>
      </w:r>
    </w:p>
    <w:p>
      <w:pPr>
        <w:pStyle w:val="Heading2"/>
      </w:pPr>
      <w:r>
        <w:rPr>
          <w:color w:val="000000"/>
        </w:rPr>
        <w:t>12. Динамика ФП по месяцам (по сегментам)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1417"/>
        <w:gridCol w:w="1417"/>
        <w:gridCol w:w="1417"/>
        <w:gridCol w:w="1417"/>
      </w:tblGrid>
      <w:tr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Месяц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МкБ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МСБ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ККБ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Итого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452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244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225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921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2023-02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346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261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177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784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462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251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1 021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2023-04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1 812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1 262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506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3 580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3 862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2 083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749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6 694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2023-06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755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604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290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1 649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782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528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281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1 591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2023-08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2 928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1 655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558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5 141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788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541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287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1 616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2023-10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732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451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258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1 441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2023-11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2 178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1 453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454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4 085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2023-12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524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541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287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1 352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600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419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218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1 237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2024-02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512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542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239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1 293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436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405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185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1 026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2024-04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2 610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1 671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453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4 734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3 031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2 077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477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5 585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2024-06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925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642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222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1 789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1 021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660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264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1 945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2024-08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3 457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2 359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466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6 282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978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791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320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2 089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2024-10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1 337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710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255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2 302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2024-11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2 636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1 409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402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4 447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2024-12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851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644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229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1 724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975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466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148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1 589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2025-02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960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626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206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1 792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766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682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168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1 616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2025-04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4 004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1 788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412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6 204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3 637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1 899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614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6 150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2025-06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1 404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735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423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2 562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1 558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781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358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2 697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2025-08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3 293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1 878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619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5 790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1 208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1 009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333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2 550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2025-10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1 354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707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352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2 413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2025-11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2 632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1 749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519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4 900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2025-12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986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1 089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431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2 506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2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намика 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85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color w:val="000000"/>
        </w:rPr>
        <w:t>Динамика ФП демонстрирует выраженную сезонность: пики приходятся на апрель–май и август каждого года. Абсолютный максимум — май 2023 (6 694 ФП: МкБ 3 862, МСБ 2 083, ККБ 749). Аналогичные всплески: август 2024 (6 282), апрель–май 2025 (6 204 и 6 150). Сезонность может быть связана с циклами квартальной отчётности. МкБ стабильно лидирует, формируя 45–55% от общего объёма. ККБ демонстрирует наиболее стабильную динамику в диапазоне 148–749 ФП в месяц.</w:t>
      </w:r>
    </w:p>
    <w:p>
      <w:pPr>
        <w:pStyle w:val="Heading2"/>
      </w:pPr>
      <w:r>
        <w:rPr>
          <w:color w:val="000000"/>
        </w:rPr>
        <w:t>13. Динамика СФП по месяцам (по сегментам)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1417"/>
        <w:gridCol w:w="1417"/>
        <w:gridCol w:w="1417"/>
        <w:gridCol w:w="1417"/>
      </w:tblGrid>
      <w:tr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Месяц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МкБ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МСБ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ККБ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Итого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2023-02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2023-04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2023-06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2023-08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2023-10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2023-11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2023-12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2024-02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2024-04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2024-06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2024-08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2024-10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2024-11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2024-12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70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51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2025-02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47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193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240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69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2025-04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2025-06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2025-08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38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58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2025-10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57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2025-11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2025-12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2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намика 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85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color w:val="000000"/>
        </w:rPr>
        <w:t>Динамика СФП характеризуется низкими абсолютными значениями и аномальными всплесками. Наиболее заметный выброс — МСБ в феврале 2025 (193 события при среднем 10–20), что привело к общему итогу 240 СФП. Также выделяются: МкБ в ноябре–декабре 2024 (54 и 58), ККБ в марте 2025 (42 при обычном уровне 0–6). В целом ККБ демонстрирует практически нулевую динамику СФП, что подтверждает единичный характер существенных факторов в крупном бизнесе.</w:t>
      </w:r>
    </w:p>
    <w:p>
      <w:pPr>
        <w:pStyle w:val="Heading2"/>
      </w:pPr>
      <w:r>
        <w:rPr>
          <w:color w:val="000000"/>
        </w:rPr>
        <w:t>14. Анализ сумм по договорам (APPROVED_SUM)</w:t>
      </w:r>
    </w:p>
    <w:p>
      <w:r>
        <w:rPr>
          <w:color w:val="000000"/>
        </w:rPr>
        <w:t>Анализ проведён по рублёвым договорам (CURCY_CD = RUB): 66 375 записей из 106 160 (62.5% от общего числа). Для каждого уникального ИНН суммируется APPROVED_SUM по всем уникальным договорам. Уникальных пар ИНН + договор: 6 646. Уникальных ИНН с суммой: 6 646 (67.0% от 9 919 ИНН в анализе).</w:t>
      </w:r>
    </w:p>
    <w:p>
      <w:pPr>
        <w:pStyle w:val="ListBullet"/>
      </w:pPr>
      <w:r>
        <w:rPr>
          <w:b/>
        </w:rPr>
        <w:t>Распределение ИНН по корзинам APPROVED_SUM (кол-во / % от сегмента):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84"/>
        <w:gridCol w:w="1701"/>
        <w:gridCol w:w="1701"/>
        <w:gridCol w:w="1701"/>
        <w:gridCol w:w="1701"/>
      </w:tblGrid>
      <w:tr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Корзина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МкБ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МСБ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ККБ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Итого</w:t>
            </w:r>
          </w:p>
        </w:tc>
      </w:tr>
      <w:tr>
        <w:tc>
          <w:tcPr>
            <w:tcW w:w="198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до 100 млн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3 988 (99.9%)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1 633 (91.7%)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335 (38.4%)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5 956 (89.6%)</w:t>
            </w:r>
          </w:p>
        </w:tc>
      </w:tr>
      <w:tr>
        <w:tc>
          <w:tcPr>
            <w:tcW w:w="198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100–500 млн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(0.1%)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128 (7.2%)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251 (28.8%)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383 (5.8%)</w:t>
            </w:r>
          </w:p>
        </w:tc>
      </w:tr>
      <w:tr>
        <w:tc>
          <w:tcPr>
            <w:tcW w:w="198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500 млн – 1 млрд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 (0.0%)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16 (0.9%)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116 (13.3%)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132 (2.0%)</w:t>
            </w:r>
          </w:p>
        </w:tc>
      </w:tr>
      <w:tr>
        <w:tc>
          <w:tcPr>
            <w:tcW w:w="198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1–2 млрд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 (0.0%)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(0.1%)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39 (4.5%)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40 (0.6%)</w:t>
            </w:r>
          </w:p>
        </w:tc>
      </w:tr>
      <w:tr>
        <w:tc>
          <w:tcPr>
            <w:tcW w:w="198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2–5 млрд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 (0.0%)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(0.2%)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56 (6.4%)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59 (0.9%)</w:t>
            </w:r>
          </w:p>
        </w:tc>
      </w:tr>
      <w:tr>
        <w:tc>
          <w:tcPr>
            <w:tcW w:w="198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5–10 млрд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 (0.0%)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 (0.0%)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27 (3.1%)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27 (0.4%)</w:t>
            </w:r>
          </w:p>
        </w:tc>
      </w:tr>
      <w:tr>
        <w:tc>
          <w:tcPr>
            <w:tcW w:w="198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10–20 млрд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 (0.0%)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 (0.0%)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29 (3.3%)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29 (0.4%)</w:t>
            </w:r>
          </w:p>
        </w:tc>
      </w:tr>
      <w:tr>
        <w:tc>
          <w:tcPr>
            <w:tcW w:w="198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свыше 20 млрд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 (0.0%)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 (0.0%)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20 (2.3%)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20 (0.3%)</w:t>
            </w:r>
          </w:p>
        </w:tc>
      </w:tr>
      <w:tr>
        <w:tc>
          <w:tcPr>
            <w:tcW w:w="198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ИТОГО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3 992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1 781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873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6 646</w:t>
            </w:r>
          </w:p>
        </w:tc>
      </w:tr>
    </w:tbl>
    <w:p/>
    <w:p>
      <w:r>
        <w:rPr>
          <w:color w:val="000000"/>
        </w:rPr>
        <w:t>Подавляющее большинство ИНН (89.6%) сконцентрировано в корзине «до 100 млн руб.». Наибольшая концентрация — в МкБ (99.9%) и МСБ (91.7%). ККБ демонстрирует наиболее равномерное распределение: лишь 38.4% ИНН в первой корзине, при значительной доле крупных сделок (28,8% в корзине 100–500 млн, 13,3% в 500 млн – 1 млрд). Это отражает фундаментальное различие в масштабе кредитования между сегментами.</w:t>
      </w:r>
    </w:p>
    <w:p>
      <w:r>
        <w:br w:type="page"/>
      </w:r>
    </w:p>
    <w:p>
      <w:pPr>
        <w:pStyle w:val="Heading1"/>
      </w:pPr>
      <w:r>
        <w:rPr>
          <w:color w:val="000000"/>
        </w:rPr>
        <w:t>Заключение</w:t>
      </w:r>
    </w:p>
    <w:p>
      <w:r>
        <w:rPr>
          <w:color w:val="000000"/>
        </w:rPr>
        <w:t>По результатам анализа CRM за период 2023–2025 выявлено 106 160 событий по факторам проблемности у 9 919 уникальных ИНН в трёх сегментах бизнеса. Основные выводы:</w:t>
      </w:r>
    </w:p>
    <w:p>
      <w:pPr>
        <w:pStyle w:val="ListBullet"/>
      </w:pPr>
      <w:r>
        <w:t>За период 2023–2025 зафиксировано 106 160 событий по факторам проблемности у 9 919 уникальных ИНН. ФП составляют 99.0% событий (105 097), СФП — 1.0% (1 059).</w:t>
      </w:r>
    </w:p>
    <w:p>
      <w:pPr>
        <w:pStyle w:val="ListBullet"/>
      </w:pPr>
      <w:r>
        <w:t>Микробизнес (МкБ) формирует основной массив заёмщиков — 6 541 из 9 919 ИНН (65.9%), однако наименьшую среднюю нагрузку (8.75 событий на ИНН). Наибольшая нагрузка — в МСБ (15.97 событий на ИНН).</w:t>
      </w:r>
    </w:p>
    <w:p>
      <w:pPr>
        <w:pStyle w:val="ListBullet"/>
      </w:pPr>
      <w:r>
        <w:t>Высокая концентрация ФП: топ-3 фактора покрывают 25.7% всех событий ФП. Лидер — ФП 24 (9.2%). Среди СФП концентрация ещё выше: топ-3 покрывают 66.5% событий.</w:t>
      </w:r>
    </w:p>
    <w:p>
      <w:pPr>
        <w:pStyle w:val="ListBullet"/>
      </w:pPr>
      <w:r>
        <w:t>Лидирующие факторы существенно различаются: в МкБ — нарушение обязательств по оборотам (24), в МСБ — изменение структуры оборотов (24.4), в ККБ — сигнальные индикаторы рейтинговой системы (1.2). Это подтверждает необходимость посегментного подхода к мониторингу кредитного качества.</w:t>
      </w:r>
    </w:p>
    <w:p>
      <w:pPr>
        <w:pStyle w:val="ListBullet"/>
      </w:pPr>
      <w:r>
        <w:t>Динамика ФП демонстрирует выраженную сезонность с пиками в апреле–мае и августе. Динамика СФП менее стабильна, с аномальным всплеском в МСБ в феврале 2025 (193 события).</w:t>
      </w:r>
    </w:p>
    <w:p>
      <w:pPr>
        <w:pStyle w:val="ListBullet"/>
      </w:pPr>
      <w:r>
        <w:t>Рублёвые договоры составляют 62.5% выборки. У 6 646 ИНН (67.0%) заполнена сумма. В МкБ и МСБ свыше 90% ИНН в корзине «до 100 млн руб.»; в ККБ распределение значительно равномернее с существенной долей крупных сделок.</w:t>
      </w:r>
    </w:p>
    <w:p>
      <w:r>
        <w:rPr>
          <w:color w:val="000000"/>
        </w:rPr>
        <w:t>Полные данные доступны в файле приложения: Приложение к отчету "Анализ динамики ФП по сегментам бизнеса".xlsx.</w:t>
      </w:r>
    </w:p>
    <w:sectPr w:rsidR="00FC693F" w:rsidRPr="0006063C" w:rsidSect="00034616">
      <w:pgSz w:w="12240" w:h="15840"/>
      <w:pgMar w:top="1134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