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Отчёт по результатам анализа CRM</w:t>
        <w:br/>
        <w:t>по сегментам бизнеса</w:t>
      </w:r>
    </w:p>
    <w:p>
      <w:pPr>
        <w:jc w:val="center"/>
      </w:pPr>
      <w:r>
        <w:rPr>
          <w:color w:val="1F4E79"/>
          <w:sz w:val="28"/>
        </w:rPr>
        <w:t>Период анализа: 2023–2025</w:t>
      </w:r>
    </w:p>
    <w:p>
      <w:pPr>
        <w:jc w:val="center"/>
      </w:pPr>
      <w:r>
        <w:rPr>
          <w:i/>
          <w:sz w:val="22"/>
        </w:rPr>
        <w:t>Сегменты: МкБ (микро) · МСБ (малый + средний) · ККБ (ДКБ)</w:t>
      </w:r>
    </w:p>
    <w:p>
      <w:r>
        <w:br w:type="page"/>
      </w:r>
    </w:p>
    <w:p>
      <w:pPr>
        <w:pStyle w:val="Heading2"/>
      </w:pPr>
      <w:r>
        <w:rPr>
          <w:color w:val="1F4E79"/>
        </w:rPr>
        <w:t>3. Уникальные ИНН по сегментам</w:t>
      </w:r>
    </w:p>
    <w:p>
      <w:r>
        <w:t>Всего уникальных ИНН за анализируемый период: 12 552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Уникальных ИНН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</w:t>
            </w:r>
          </w:p>
        </w:tc>
      </w:tr>
      <w:tr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МкБ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7 109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56.6%</w:t>
            </w:r>
          </w:p>
        </w:tc>
      </w:tr>
      <w:tr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МСБ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3 441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27.4%</w:t>
            </w:r>
          </w:p>
        </w:tc>
      </w:tr>
      <w:tr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ККБ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2 007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16.0%</w:t>
            </w:r>
          </w:p>
        </w:tc>
      </w:tr>
      <w:tr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12 552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100%</w:t>
            </w:r>
          </w:p>
        </w:tc>
      </w:tr>
    </w:tbl>
    <w:p/>
    <w:p>
      <w:pPr>
        <w:pStyle w:val="Heading2"/>
      </w:pPr>
      <w:r>
        <w:rPr>
          <w:color w:val="1F4E79"/>
        </w:rPr>
        <w:t>4. Общая статистика по ФП/СФП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5128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alibri" w:hAnsi="Calibri"/>
                <w:b w:val="0"/>
                <w:sz w:val="18"/>
              </w:rPr>
              <w:t>Всего записей (событий)</w:t>
            </w:r>
          </w:p>
        </w:tc>
        <w:tc>
          <w:tcPr>
            <w:tcW w:type="dxa" w:w="512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131 183</w:t>
            </w:r>
          </w:p>
        </w:tc>
      </w:tr>
      <w:tr>
        <w:tc>
          <w:tcPr>
            <w:tcW w:type="dxa" w:w="5128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из них ФП</w:t>
            </w:r>
          </w:p>
        </w:tc>
        <w:tc>
          <w:tcPr>
            <w:tcW w:type="dxa" w:w="5128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129 063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из них СФП</w:t>
            </w:r>
          </w:p>
        </w:tc>
        <w:tc>
          <w:tcPr>
            <w:tcW w:type="dxa" w:w="512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2 120</w:t>
            </w:r>
          </w:p>
        </w:tc>
      </w:tr>
      <w:tr>
        <w:tc>
          <w:tcPr>
            <w:tcW w:type="dxa" w:w="5128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Уникальных номеров факторов</w:t>
            </w:r>
          </w:p>
        </w:tc>
        <w:tc>
          <w:tcPr>
            <w:tcW w:type="dxa" w:w="5128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278</w:t>
            </w:r>
          </w:p>
        </w:tc>
      </w:tr>
      <w:tr>
        <w:tc>
          <w:tcPr>
            <w:tcW w:type="dxa" w:w="5128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встречаются как ФП</w:t>
            </w:r>
          </w:p>
        </w:tc>
        <w:tc>
          <w:tcPr>
            <w:tcW w:type="dxa" w:w="512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251</w:t>
            </w:r>
          </w:p>
        </w:tc>
      </w:tr>
      <w:tr>
        <w:tc>
          <w:tcPr>
            <w:tcW w:type="dxa" w:w="5128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встречаются как СФП</w:t>
            </w:r>
          </w:p>
        </w:tc>
        <w:tc>
          <w:tcPr>
            <w:tcW w:type="dxa" w:w="5128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31</w:t>
            </w:r>
          </w:p>
        </w:tc>
      </w:tr>
    </w:tbl>
    <w:p/>
    <w:p>
      <w:pPr>
        <w:pStyle w:val="Heading2"/>
      </w:pPr>
      <w:r>
        <w:rPr>
          <w:color w:val="1F4E79"/>
        </w:rPr>
        <w:t>5. Количество ФП/СФП по сегментам и среднее на ИНН</w:t>
      </w:r>
    </w:p>
    <w:p>
      <w:pPr>
        <w:pStyle w:val="ListBullet"/>
      </w:pPr>
      <w:r>
        <w:t>Количество событий ФП и СФП по сегментам: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ФП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СФП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Всего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8"/>
              </w:rPr>
              <w:t>МкБ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66 762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872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67 634</w:t>
            </w:r>
          </w:p>
        </w:tc>
      </w:tr>
      <w:tr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МСБ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46 156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1 162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47 318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8"/>
              </w:rPr>
              <w:t>ККБ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16 145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86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16 231</w:t>
            </w:r>
          </w:p>
        </w:tc>
      </w:tr>
      <w:tr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129 063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2 120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131 183</w:t>
            </w:r>
          </w:p>
        </w:tc>
      </w:tr>
    </w:tbl>
    <w:p/>
    <w:p>
      <w:pPr>
        <w:pStyle w:val="ListBullet"/>
      </w:pPr>
      <w:r>
        <w:t>Среднее количество ФП/СФП на один ИНН: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82"/>
        <w:gridCol w:w="1282"/>
        <w:gridCol w:w="1282"/>
        <w:gridCol w:w="1282"/>
        <w:gridCol w:w="1282"/>
        <w:gridCol w:w="1282"/>
        <w:gridCol w:w="1282"/>
        <w:gridCol w:w="1282"/>
      </w:tblGrid>
      <w:tr>
        <w:tc>
          <w:tcPr>
            <w:tcW w:type="dxa" w:w="128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Сегмент</w:t>
            </w:r>
          </w:p>
        </w:tc>
        <w:tc>
          <w:tcPr>
            <w:tcW w:type="dxa" w:w="128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Уник. ИНН</w:t>
            </w:r>
          </w:p>
        </w:tc>
        <w:tc>
          <w:tcPr>
            <w:tcW w:type="dxa" w:w="128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ФП</w:t>
            </w:r>
          </w:p>
        </w:tc>
        <w:tc>
          <w:tcPr>
            <w:tcW w:type="dxa" w:w="128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СФП</w:t>
            </w:r>
          </w:p>
        </w:tc>
        <w:tc>
          <w:tcPr>
            <w:tcW w:type="dxa" w:w="128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Всего</w:t>
            </w:r>
          </w:p>
        </w:tc>
        <w:tc>
          <w:tcPr>
            <w:tcW w:type="dxa" w:w="128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ФП/ИНН</w:t>
            </w:r>
          </w:p>
        </w:tc>
        <w:tc>
          <w:tcPr>
            <w:tcW w:type="dxa" w:w="128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СФП/ИНН</w:t>
            </w:r>
          </w:p>
        </w:tc>
        <w:tc>
          <w:tcPr>
            <w:tcW w:type="dxa" w:w="1282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всего/ИНН</w:t>
            </w:r>
          </w:p>
        </w:tc>
      </w:tr>
      <w:tr>
        <w:tc>
          <w:tcPr>
            <w:tcW w:type="dxa" w:w="1282"/>
          </w:tcPr>
          <w:p>
            <w:r/>
            <w:r>
              <w:rPr>
                <w:rFonts w:ascii="Calibri" w:hAnsi="Calibri"/>
                <w:b w:val="0"/>
                <w:sz w:val="16"/>
              </w:rPr>
              <w:t>МкБ</w:t>
            </w:r>
          </w:p>
        </w:tc>
        <w:tc>
          <w:tcPr>
            <w:tcW w:type="dxa" w:w="128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7 109</w:t>
            </w:r>
          </w:p>
        </w:tc>
        <w:tc>
          <w:tcPr>
            <w:tcW w:type="dxa" w:w="128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66 762</w:t>
            </w:r>
          </w:p>
        </w:tc>
        <w:tc>
          <w:tcPr>
            <w:tcW w:type="dxa" w:w="128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872</w:t>
            </w:r>
          </w:p>
        </w:tc>
        <w:tc>
          <w:tcPr>
            <w:tcW w:type="dxa" w:w="128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67 634</w:t>
            </w:r>
          </w:p>
        </w:tc>
        <w:tc>
          <w:tcPr>
            <w:tcW w:type="dxa" w:w="128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9.39</w:t>
            </w:r>
          </w:p>
        </w:tc>
        <w:tc>
          <w:tcPr>
            <w:tcW w:type="dxa" w:w="128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0.12</w:t>
            </w:r>
          </w:p>
        </w:tc>
        <w:tc>
          <w:tcPr>
            <w:tcW w:type="dxa" w:w="128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9.51</w:t>
            </w:r>
          </w:p>
        </w:tc>
      </w:tr>
      <w:tr>
        <w:tc>
          <w:tcPr>
            <w:tcW w:type="dxa" w:w="1282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МСБ</w:t>
            </w:r>
          </w:p>
        </w:tc>
        <w:tc>
          <w:tcPr>
            <w:tcW w:type="dxa" w:w="1282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3 441</w:t>
            </w:r>
          </w:p>
        </w:tc>
        <w:tc>
          <w:tcPr>
            <w:tcW w:type="dxa" w:w="1282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46 156</w:t>
            </w:r>
          </w:p>
        </w:tc>
        <w:tc>
          <w:tcPr>
            <w:tcW w:type="dxa" w:w="1282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1 162</w:t>
            </w:r>
          </w:p>
        </w:tc>
        <w:tc>
          <w:tcPr>
            <w:tcW w:type="dxa" w:w="1282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47 318</w:t>
            </w:r>
          </w:p>
        </w:tc>
        <w:tc>
          <w:tcPr>
            <w:tcW w:type="dxa" w:w="1282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13.41</w:t>
            </w:r>
          </w:p>
        </w:tc>
        <w:tc>
          <w:tcPr>
            <w:tcW w:type="dxa" w:w="1282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0.34</w:t>
            </w:r>
          </w:p>
        </w:tc>
        <w:tc>
          <w:tcPr>
            <w:tcW w:type="dxa" w:w="1282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13.75</w:t>
            </w:r>
          </w:p>
        </w:tc>
      </w:tr>
      <w:tr>
        <w:tc>
          <w:tcPr>
            <w:tcW w:type="dxa" w:w="1282"/>
          </w:tcPr>
          <w:p>
            <w:r/>
            <w:r>
              <w:rPr>
                <w:rFonts w:ascii="Calibri" w:hAnsi="Calibri"/>
                <w:b w:val="0"/>
                <w:sz w:val="16"/>
              </w:rPr>
              <w:t>ККБ</w:t>
            </w:r>
          </w:p>
        </w:tc>
        <w:tc>
          <w:tcPr>
            <w:tcW w:type="dxa" w:w="128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2 007</w:t>
            </w:r>
          </w:p>
        </w:tc>
        <w:tc>
          <w:tcPr>
            <w:tcW w:type="dxa" w:w="128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16 145</w:t>
            </w:r>
          </w:p>
        </w:tc>
        <w:tc>
          <w:tcPr>
            <w:tcW w:type="dxa" w:w="128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86</w:t>
            </w:r>
          </w:p>
        </w:tc>
        <w:tc>
          <w:tcPr>
            <w:tcW w:type="dxa" w:w="128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16 231</w:t>
            </w:r>
          </w:p>
        </w:tc>
        <w:tc>
          <w:tcPr>
            <w:tcW w:type="dxa" w:w="128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8.04</w:t>
            </w:r>
          </w:p>
        </w:tc>
        <w:tc>
          <w:tcPr>
            <w:tcW w:type="dxa" w:w="128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0.04</w:t>
            </w:r>
          </w:p>
        </w:tc>
        <w:tc>
          <w:tcPr>
            <w:tcW w:type="dxa" w:w="128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8.09</w:t>
            </w:r>
          </w:p>
        </w:tc>
      </w:tr>
      <w:tr>
        <w:tc>
          <w:tcPr>
            <w:tcW w:type="dxa" w:w="1282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ИТОГО</w:t>
            </w:r>
          </w:p>
        </w:tc>
        <w:tc>
          <w:tcPr>
            <w:tcW w:type="dxa" w:w="1282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12 552</w:t>
            </w:r>
          </w:p>
        </w:tc>
        <w:tc>
          <w:tcPr>
            <w:tcW w:type="dxa" w:w="1282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129 063</w:t>
            </w:r>
          </w:p>
        </w:tc>
        <w:tc>
          <w:tcPr>
            <w:tcW w:type="dxa" w:w="1282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2 120</w:t>
            </w:r>
          </w:p>
        </w:tc>
        <w:tc>
          <w:tcPr>
            <w:tcW w:type="dxa" w:w="1282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131 183</w:t>
            </w:r>
          </w:p>
        </w:tc>
        <w:tc>
          <w:tcPr>
            <w:tcW w:type="dxa" w:w="1282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10.28</w:t>
            </w:r>
          </w:p>
        </w:tc>
        <w:tc>
          <w:tcPr>
            <w:tcW w:type="dxa" w:w="1282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0.17</w:t>
            </w:r>
          </w:p>
        </w:tc>
        <w:tc>
          <w:tcPr>
            <w:tcW w:type="dxa" w:w="1282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10.45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1F4E79"/>
        </w:rPr>
        <w:t>6. Топ-20 самых частых 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18 050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9 647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9 097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28.9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8 291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42.1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6 686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6 374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1.2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5 037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5 015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24.4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4 691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53.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4 350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28.9.3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3 069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2 773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2 728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2 579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28.2У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2 443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2 376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15.1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2 270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2 171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16.4У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1 805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37.2.1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1 716</w:t>
            </w:r>
          </w:p>
        </w:tc>
      </w:tr>
    </w:tbl>
    <w:p/>
    <w:p>
      <w:pPr>
        <w:pStyle w:val="Heading2"/>
      </w:pPr>
      <w:r>
        <w:rPr>
          <w:color w:val="1F4E79"/>
        </w:rPr>
        <w:t>7. Топ-20 самых частых СФП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44.1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623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481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451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150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76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69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15.2У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58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52.0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35.2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22.1У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48.2У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48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50.1У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35.3У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48.1.1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</w:tr>
    </w:tbl>
    <w:p/>
    <w:p>
      <w:pPr>
        <w:pStyle w:val="Heading2"/>
      </w:pPr>
      <w:r>
        <w:rPr>
          <w:color w:val="1F4E79"/>
        </w:rPr>
        <w:t>8. Топ-20 ФП по сегментам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10 127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9 640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28.9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8 278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5 000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4 370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2 986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53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2 766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28.2У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2 443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15.1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2 266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1 874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16.4У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1 805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26У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1 458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1 276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1 214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53У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1 184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1 093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28.4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863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15.1У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646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14.3.1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510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26.2У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480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7 913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24.4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4 662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53.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4 294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4 221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42.1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3 411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3 122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28.9.3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3 033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2 212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24.3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1 430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37.2.1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1 260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1 077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1 015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37.1.1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894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15.1.2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833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643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24.2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617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28.9.1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576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28.9.2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456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29.13.1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375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16.3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331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1.2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5 037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42.1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3 248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2 171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2.2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573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26.1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509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506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29.13.1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494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42.1.1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297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1.1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281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266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256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211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29.2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207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29.13.3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202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44.1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186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185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39.3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97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39.2.1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92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29.13.2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92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29.1.1.1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87</w:t>
            </w:r>
          </w:p>
        </w:tc>
      </w:tr>
    </w:tbl>
    <w:p/>
    <w:p>
      <w:pPr>
        <w:pStyle w:val="Heading2"/>
      </w:pPr>
      <w:r>
        <w:rPr>
          <w:color w:val="1F4E79"/>
        </w:rPr>
        <w:t>9. Топ-20 СФП по сегментам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451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101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61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59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15.2У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58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52.0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35.2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22.1У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48.2У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48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50.1У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35.3У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40У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45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15.2.1У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44.1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622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416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27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15.2.1.1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40.1.1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type="dxa" w:w="341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55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48.1.1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15.2.1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40.1.1.1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3419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type="dxa" w:w="341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  <w:tr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3419"/>
          </w:tcPr>
          <w:p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type="dxa" w:w="341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</w:tbl>
    <w:p/>
    <w:p>
      <w:pPr>
        <w:pStyle w:val="Heading2"/>
      </w:pPr>
      <w:r>
        <w:rPr>
          <w:color w:val="1F4E79"/>
        </w:rPr>
        <w:t>11. Топ-5 ФП по сегментам с наименованиями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29.2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29.2-МкБ_Снижение объема обеспечения: Договоры страхования залогового имущества признаны недействительными или расторгнуты; изменён выгодоприобретатель по указанным договорам без письменного согласия Банка, отсутствие заключённых договоров страхования на новый срок, отсутствие документов, подтверждающих полную или частичную оплату страховой премии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10 127</w:t>
            </w:r>
          </w:p>
        </w:tc>
      </w:tr>
      <w:tr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24-МкБ_Нарушено обязательство по поддержанию оборотов, предусмотренное в рамках кредитной сделки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9 640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28.9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28.9-МкБ_Невыполнение заёмщиком (поручителем, залогодателем, принципалом) обязательств по выполнению финансовых ковенантов, установленных в КОД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8 278</w:t>
            </w:r>
          </w:p>
        </w:tc>
      </w:tr>
      <w:tr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Непредставление заёмщиком (поручителем, залогодателем, принципалом) финансовой отчётности, документов, предусмотренных кредитной/обеспечительной документацией, предоставляемых по требованию Банка, на 10 рабочий день от даты, установленной кредитной/обеспечительной документацией, требованием Банка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5 000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26.1.1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26.1.1-МкБ_Непредставление документов — финансовой отчётности, документов, предусмотренных КОД, включая документы, предоставляемые по требованию Банка. До 10 рабочих дней от даты, установленной КОД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4 370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29.2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29.2._МСБ_Нарушение условий страхования, отсутствие страховой защиты (в т.ч. вследствие ликвидации, банкротства страховой компании)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7 913</w:t>
            </w:r>
          </w:p>
        </w:tc>
      </w:tr>
      <w:tr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24.4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24.4_МСБ_Изменение в режиме динамики структуры оборотов по Р/С в Банке. Выявлен любой из 3-х критериев: снижение более чем на 25%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4 662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53.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53._МСБ_Другие условия/ограничения (ковенанты), предусмотренные КОД, не предусмотренные настоящим Приложением, в том числе по полученному согласию Банка (п.2.4 Приложения 5.01.01.01 Альбома инструментов)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4 294</w:t>
            </w:r>
          </w:p>
        </w:tc>
      </w:tr>
      <w:tr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26.1.1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26.1.1_МСБ_Непредставление Клиентом/иными участниками кред. сделки осн. док-тов, необходимых для оценки фин. положения, расчёта фин. ковенантов, оборотов по расчётному счёту (пункты 1.1, 1.2, 1.13 Приложения 1.06.01.01 Альбома инструментов) до 10 рабочих дней от даты, установленной КОД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4 221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42.1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42.1_МСБ_Реорганизация Клиента/иных участников сделки, осуществляемая в форме слияния, присоединения, разделения, выделения или преобразования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3 411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1.2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ДКБ_ИС_1.2 (фП) Сигнальный 2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5 037</w:t>
            </w:r>
          </w:p>
        </w:tc>
      </w:tr>
      <w:tr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42.1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ДКБ_Т42.1 (фП) Сигнал о реорганизации Клиента/иных участников сделки, осуществляемой в форме слияния, присоединения, разделения, выделения или преобразования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3 248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2.1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ДКБ_ИС_2.1 (фП) Критический 1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2 171</w:t>
            </w:r>
          </w:p>
        </w:tc>
      </w:tr>
      <w:tr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2.2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ДКБ_ИС_2.2 (фП) Критический 2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573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26.1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ДКБ_ИС_26.1 (фП) Непредоставление в дату, уст. КОД клиентом/иными уч-ками кред. сделки док-тов, предусм. лимитом кред. риска/КОД: документов, требуемых для расчёта ковенант/контроля выполнения условий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509</w:t>
            </w:r>
          </w:p>
        </w:tc>
      </w:tr>
    </w:tbl>
    <w:p/>
    <w:p>
      <w:pPr>
        <w:pStyle w:val="Heading2"/>
      </w:pPr>
      <w:r>
        <w:rPr>
          <w:color w:val="1F4E79"/>
        </w:rPr>
        <w:t>12. Топ-5 СФП по сегментам с наименованиями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44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Возбуждение пр-ва по делу о банкротстве, признание Банкротом: А. заёмщика (залогодат., поручит., принципала), и/или В. любой из компаний ГСК, С. рук. состава заёмщика и участников/акционеров/бенефициаров, и/или осущ. процесс ликвидации в отношении заёмщика — юридических лиц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451</w:t>
            </w:r>
          </w:p>
        </w:tc>
      </w:tr>
      <w:tr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15.2-МкБ_Наличие просроченной задолженности заёмщика (залогодателя, поручителя, принципала) и/или любой из компаний, входящих в ГСК перед Банком более 60 календарных дней непрерывной просроченной задолженности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101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22.2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22.2-МкБ_Снижение внутреннего кредитного рейтинга заёмщика (принципала) до уровня «D»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61</w:t>
            </w:r>
          </w:p>
        </w:tc>
      </w:tr>
      <w:tr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40.1-МкБ_Отзыв/прекращение/истечение сроков действия лицензии, разрешения/прекращение деятельности ИП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59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15.2У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15.2У-МкБ_Укр_Наличие непрерывной просроченной задолженности (основной долг и/или проценты, комиссии, штрафы, пени) перед Банком по кредитным/документарным сделкам (свыше 30 кален. дней)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58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44.1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44.1_МСБ_Определение суда/решение суда о введении процедуры банкротства в отношении Клиента/иных участников сделки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622</w:t>
            </w:r>
          </w:p>
        </w:tc>
      </w:tr>
      <w:tr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40.1_МСБ_Прекращение действия разрешения (лицензии), на основании которого осуществляется основная хозяйственная (профилирующая) деятельность в отношении Клиента/иных участников сделки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416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15.2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15.2_МСБ_ПЛАТЕЖНАЯ ДИСЦИПЛИНА_Наличие непрерывной просроченной задолженности Клиента/иных участников сделки/иных участников ГСК перед Банком по кредитным/документарным сделкам свыше 60 календ. дней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49</w:t>
            </w:r>
          </w:p>
        </w:tc>
      </w:tr>
      <w:tr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48.1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48.1_МСБ_Осущ. процесса ликвидации (принятие решения о ликвидации Клиента без введения проц. банкротства/внесении в ЕГРЮЛ записи о ликвидации Клиента) в отношении Клиента/иных участников сделки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47.1.2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47.1.2_МСБ_Возбуждение уголовного дела в отношении бенефициарного владельца, акционера/участника (от 50% и более акций/долей) Клиента/участников сделки по сделкам, находящимся на сопровождении РФ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2564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47.1.2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ДКБ_ИС_47.1.2 (СфП) Возбуждение уголовного дела в отношении бенефициарного владельца, акционера/участника (от 50% и более акций/долей) клиентов/участников сделки по сделкам, находящимся на сопровождении РФ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55</w:t>
            </w:r>
          </w:p>
        </w:tc>
      </w:tr>
      <w:tr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50.1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ДКБ_ИС_50.1 (СфП) Прекращение (приостановление) финансово-хозяйственной деятельности по собственной инициативе в отн. клиента/участника кредитной сделки по сделкам, находящимся на сопровождении РФ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48.1.1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ДКБ_ИС_48.1.1 (СфП) Принятие решения о ликвидации клиента без введения процедур банкротства/внесении в ЕГРЮЛ записи о ликвидации клиента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</w:tr>
      <w:tr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type="dxa" w:w="2564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ДКБ_ИС_40.1 (СфП) Прекращение действия разрешения (лицензии)</w:t>
            </w:r>
          </w:p>
        </w:tc>
        <w:tc>
          <w:tcPr>
            <w:tcW w:type="dxa" w:w="2564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</w:tr>
      <w:tr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15.2.1</w:t>
            </w:r>
          </w:p>
        </w:tc>
        <w:tc>
          <w:tcPr>
            <w:tcW w:type="dxa" w:w="2564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ДКБ_ИС_15.2.1 (СфП) Наличие непрерывной просроченной задолженности свыше 60 календарных дней по сделкам, находящимся на сопровождении РФ</w:t>
            </w:r>
          </w:p>
        </w:tc>
        <w:tc>
          <w:tcPr>
            <w:tcW w:type="dxa" w:w="25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</w:tr>
    </w:tbl>
    <w:p/>
    <w:p>
      <w:pPr>
        <w:pStyle w:val="Heading2"/>
      </w:pPr>
      <w:r>
        <w:rPr>
          <w:color w:val="1F4E79"/>
        </w:rPr>
        <w:t>13. Самые частые комбинации из 2 ФП по сегментам</w:t>
      </w:r>
    </w:p>
    <w:p>
      <w:r>
        <w:t>Для каждого ИНН берутся все уникальные ФП, генерируются пары, подсчитывается частота встречаемости пар.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1 814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1 764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1 754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1 319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1 289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1 237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1 200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1 143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1 129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22.1-МкБ_Снижение внутреннего кредитного рейтинга заёмщика на 3 ступени и/или уровня «7»+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1 009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781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769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750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658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655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26.2_МСБ_Непредставление док-тов в соответствии с Правилами Альбома инструментов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626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623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16.1_МСБ_ПЛАТЕЖНАЯ ДИСЦИПЛИНА_Предъявление к Р/С арестов/приостановок ≥25%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616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26.2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26.2_МСБ_Непредставление док-тов в соответствии с Правилами Альбома инструментов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600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16.1_МСБ_ПЛАТЕЖНАЯ ДИСЦИПЛИНА_Предъявление к Р/С арестов/приостановок ≥25%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588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422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417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334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259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211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189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172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164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103</w:t>
            </w:r>
          </w:p>
        </w:tc>
      </w:tr>
    </w:tbl>
    <w:p/>
    <w:p>
      <w:pPr>
        <w:pStyle w:val="Heading2"/>
      </w:pPr>
      <w:r>
        <w:rPr>
          <w:color w:val="1F4E79"/>
        </w:rPr>
        <w:t>14. Самые частые комбинации из 2 СФП по сегментам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35.2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35.2-МкБ_Установлен факт смерти основного акционера/Бенефициарного владельца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15.2-МкБ_Наличие просроченной задолженности свыше 60 кален. дней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48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48-МкБ_Наличие просроченной задолженности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22.2-МкБ_Снижение кредитного рейтинга до уровня «D»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35.3У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35.3У-МкБ_Установлен факт смерти Заёмщика/Залогодателя (ИП)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50-МкБ_Прекращение финансово-хозяйственной деятельности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22.2-МкБ_Снижение кредитного рейтинга до уровня «D»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48.2У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48.2У-МкБ_Осуществление процесса ликвидации ЮЛ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44-МкБ_Возбуждение пр-ва по делу о банкротстве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52.0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52.0-МкБ_Возбуждение уголовного дела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44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44-МкБ_Возбуждение пр-ва по делу о банкротстве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44.1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44.1-МкБ_Определение суда о введении процедуры банкротства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44.1-МкБ_Определение суда о введении процедуры банкротства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44.3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44.3-МкБ_Определение суда о введении процедуры банкротства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44.1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44.1-МкБ_Определение суда о введении процедуры банкротства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45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45-МкБ_Определение суда/решение суда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50-МкБ_Прекращение финансово-хозяйственной деятельности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47.1.2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47.1.2_МСБ_Возбуждение уголовного дела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44.3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44.3_МСБ_Определение суда о банкротстве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40.1.1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40.1.1_МСБ_Прекращение действия лицензии (подуровень)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type="dxa" w:w="1709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type="dxa" w:w="1709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type="dxa" w:w="1709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ДКБ_ИС_40.1 (СфП) Прекращение действия лицензии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50.1</w:t>
            </w:r>
          </w:p>
        </w:tc>
        <w:tc>
          <w:tcPr>
            <w:tcW w:type="dxa" w:w="1709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ДКБ_ИС_50.1 (СфП) Прекращение фин.-хоз. деятельности</w:t>
            </w:r>
          </w:p>
        </w:tc>
        <w:tc>
          <w:tcPr>
            <w:tcW w:type="dxa" w:w="1709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</w:tbl>
    <w:p/>
    <w:p>
      <w:pPr>
        <w:pStyle w:val="Heading2"/>
      </w:pPr>
      <w:r>
        <w:rPr>
          <w:color w:val="1F4E79"/>
        </w:rPr>
        <w:t>15. Динамика ФП по месяцам (по сегментам)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2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намика Ф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1F4E79"/>
        </w:rPr>
        <w:t>16. Динамика СФП по месяцам (по сегментам)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2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намика 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