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Отчёт по результатам анализа CRM</w:t>
        <w:br/>
        <w:t>по сегментам бизнеса</w:t>
      </w:r>
    </w:p>
    <w:p>
      <w:pPr>
        <w:jc w:val="center"/>
      </w:pPr>
      <w:r>
        <w:rPr>
          <w:color w:val="000000"/>
          <w:sz w:val="28"/>
        </w:rPr>
        <w:t>Период анализа: 2023–2025</w:t>
      </w:r>
    </w:p>
    <w:p>
      <w:pPr>
        <w:jc w:val="center"/>
      </w:pPr>
      <w:r>
        <w:rPr>
          <w:i/>
          <w:sz w:val="22"/>
        </w:rPr>
        <w:t>Сегменты: МкБ (микро) · МСБ (малый + средний) · ККБ (ДКБ)</w:t>
      </w:r>
    </w:p>
    <w:p>
      <w:r>
        <w:br w:type="page"/>
      </w:r>
    </w:p>
    <w:p>
      <w:pPr>
        <w:pStyle w:val="Heading1"/>
      </w:pPr>
      <w:r>
        <w:rPr>
          <w:color w:val="000000"/>
        </w:rPr>
        <w:t>Оглавление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  <w:sz w:val="20"/>
        </w:rPr>
        <w:t>(Оглавление — нажмите Ctrl+A, затем F9 для обновления)</w:t>
      </w:r>
      <w:r>
        <w:fldChar w:fldCharType="end"/>
      </w:r>
    </w:p>
    <w:p>
      <w:r>
        <w:br w:type="page"/>
      </w:r>
    </w:p>
    <w:p>
      <w:pPr>
        <w:pStyle w:val="Heading2"/>
      </w:pPr>
      <w:r>
        <w:rPr>
          <w:color w:val="000000"/>
        </w:rPr>
        <w:t>3. Уникальные ИНН по сегментам</w:t>
      </w:r>
    </w:p>
    <w:p>
      <w:r>
        <w:t>Всего уникальных ИНН за анализируемый период: 12 552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2835"/>
        <w:gridCol w:w="1701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2835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Уникальных ИНН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МкБ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7 109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56.6%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МСБ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3 441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27.4%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ККБ</w:t>
            </w:r>
          </w:p>
        </w:tc>
        <w:tc>
          <w:tcPr>
            <w:tcW w:w="2835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2 007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16.0%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w="2835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12 552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</w:tr>
    </w:tbl>
    <w:p/>
    <w:p>
      <w:r>
        <w:t>Более половины всех уникальных ИНН (56,6%) относятся к сегменту микробизнеса (МкБ). Малый и средний бизнес (МСБ) составляет 27,4%, крупный корпоративный бизнес (ККБ) — 16,0%. Такое распределение отражает структуру клиентской базы Банка: основной массив заёмщиков с выявленными факторами проблемности приходится на микро- и малый сегменты.</w:t>
      </w:r>
    </w:p>
    <w:p>
      <w:pPr>
        <w:pStyle w:val="Heading2"/>
      </w:pPr>
      <w:r>
        <w:rPr>
          <w:color w:val="000000"/>
        </w:rPr>
        <w:t>4. Общая статистика по ФП/СФП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0"/>
        <w:gridCol w:w="2268"/>
      </w:tblGrid>
      <w:tr>
        <w:tc>
          <w:tcPr>
            <w:tcW w:w="567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Всего записей (событий)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131 183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   из них ФП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129 063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   из них СФП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2 120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Уникальных номеров факторов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278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   встречаются как ФП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251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   встречаются как СФП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</w:tr>
    </w:tbl>
    <w:p/>
    <w:p>
      <w:r>
        <w:t>За анализируемый период (2023–2025) зафиксировано 131 183 события, связанных с факторами проблемности. Подавляющее большинство (98,4%) — это факторы проблемности (ФП), тогда как существенные факторы проблемности (СФП) составляют лишь 1,6% от общего числа. Всего выявлено 278 уникальных номеров факторов, из которых 251 фигурирует как ФП и 31 как СФП. Часть номеров может встречаться в обоих типах, поэтому сумма превышает 278.</w:t>
      </w:r>
    </w:p>
    <w:p>
      <w:pPr>
        <w:pStyle w:val="Heading2"/>
      </w:pPr>
      <w:r>
        <w:rPr>
          <w:color w:val="000000"/>
        </w:rPr>
        <w:t>5. Количество ФП/СФП по сегментам и среднее на ИНН</w:t>
      </w:r>
    </w:p>
    <w:p>
      <w:pPr>
        <w:pStyle w:val="ListBullet"/>
      </w:pPr>
      <w:r>
        <w:t>Количество событий ФП и СФП по сегментам: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1984"/>
        <w:gridCol w:w="1984"/>
        <w:gridCol w:w="1984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СФП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Всего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МкБ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66 762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872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67 634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МСБ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46 156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1 162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47 318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ККБ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16 145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86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16 231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129 063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2 120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131 183</w:t>
            </w:r>
          </w:p>
        </w:tc>
      </w:tr>
    </w:tbl>
    <w:p/>
    <w:p>
      <w:pPr>
        <w:pStyle w:val="ListBullet"/>
      </w:pPr>
      <w:r>
        <w:t>Среднее количество ФП/СФП на один ИНН: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17"/>
        <w:gridCol w:w="1247"/>
        <w:gridCol w:w="1247"/>
        <w:gridCol w:w="1020"/>
        <w:gridCol w:w="1247"/>
        <w:gridCol w:w="1247"/>
        <w:gridCol w:w="1247"/>
        <w:gridCol w:w="1247"/>
      </w:tblGrid>
      <w:tr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Уник. ИНН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ФП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СФП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Всего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Ср. ФП/ИНН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Ср. СФП/ИНН</w:t>
            </w:r>
          </w:p>
        </w:tc>
        <w:tc>
          <w:tcPr>
            <w:tcW w:w="124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Ср. всего/ИНН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МкБ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7 109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66 762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872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67 634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9.39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0.12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9.51</w:t>
            </w:r>
          </w:p>
        </w:tc>
      </w:tr>
      <w:tr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МСБ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3 441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46 156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1 162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47 318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13.41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0.34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13.75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ККБ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2 007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16 145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16 231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8.04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0.04</w:t>
            </w:r>
          </w:p>
        </w:tc>
        <w:tc>
          <w:tcPr>
            <w:tcW w:w="124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8.09</w:t>
            </w:r>
          </w:p>
        </w:tc>
      </w:tr>
      <w:tr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ИТОГО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12 552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129 063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2 120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131 183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10.28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0.17</w:t>
            </w:r>
          </w:p>
        </w:tc>
        <w:tc>
          <w:tcPr>
            <w:tcW w:w="124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10.45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МкБ лидирует по абсолютному числу событий (67 634), однако наибольшая средняя нагрузка на одного заёмщика наблюдается в сегменте МСБ — 13,41 ФП на ИНН против 9,39 в МкБ и 8,04 в ККБ. Это свидетельствует о том, что компании малого и среднего бизнеса в среднем имеют больше выявленных факторов проблемности на одного заёмщика, что может быть связано с более сложной структурой кредитных сделок в данном сегменте. СФП крайне редки во всех сегментах: от 0,04 на ИНН в ККБ до 0,34 в МСБ.</w:t>
      </w:r>
    </w:p>
    <w:p>
      <w:pPr>
        <w:pStyle w:val="Heading2"/>
      </w:pPr>
      <w:r>
        <w:rPr>
          <w:color w:val="000000"/>
        </w:rPr>
        <w:t>6. Топ-20 самых частых ФП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1701"/>
      </w:tblGrid>
      <w:tr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29.2.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18 050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9 647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26.1.1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9 097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28.9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8 291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42.1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6 686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16.1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6 374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5 037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5 015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24.4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4 691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53.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4 350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28.9.3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3 069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2 773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2 728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2 579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28.2У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2 443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26.1.2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2 376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2 270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2 171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16.4У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1 805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37.2.1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1 716</w:t>
            </w:r>
          </w:p>
        </w:tc>
      </w:tr>
    </w:tbl>
    <w:p/>
    <w:p>
      <w:r>
        <w:t>Безусловным лидером среди ФП является фактор 29.2. (снижение объёма обеспечения / нарушение условий страхования) — 18 050 событий, что составляет 14,0% от всех ФП. На втором месте — фактор 24 (нарушение обязательств по поддержанию оборотов, 9 647), на третьем — 26.1.1 (непредставление документов, 9 097). Первая тройка ФП в совокупности формирует 28,5% от всех событий ФП. В топ-20 также заметно присутствие факторов, связанных с невыполнением финансовых ковенантов (28.9, 28.9.3), реорганизацией (42.1) и платёжной дисциплиной (16.1).</w:t>
      </w:r>
    </w:p>
    <w:p>
      <w:pPr>
        <w:pStyle w:val="Heading2"/>
      </w:pPr>
      <w:r>
        <w:rPr>
          <w:color w:val="000000"/>
        </w:rPr>
        <w:t>7. Топ-20 самых частых СФП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1701"/>
      </w:tblGrid>
      <w:tr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СФП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623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40.1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481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451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76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47.1.2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15.2У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48.1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50.1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52.0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44.3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35.2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22.1У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48.2У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50.1У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35.3У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48.1.1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</w:tbl>
    <w:p/>
    <w:p>
      <w:r>
        <w:t>Среди СФП лидирует фактор 44.1 (определение суда о введении процедуры банкротства) — 623 события (29,4% от всех СФП). Второе место — 40.1 (прекращение действия лицензии, 481), третье — 44 (возбуждение производства по делу о банкротстве, 451). Первая тройка покрывает 73,3% всех СФП-событий. Характерно, что большинство топовых СФП связаны с критическими событиями в жизни компании: банкротство, ликвидация, отзыв лицензии.</w:t>
      </w:r>
    </w:p>
    <w:p>
      <w:pPr>
        <w:pStyle w:val="Heading2"/>
      </w:pPr>
      <w:r>
        <w:rPr>
          <w:color w:val="000000"/>
        </w:rPr>
        <w:t>8. Топ-20 ФП по сегментам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1701"/>
      </w:tblGrid>
      <w:tr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29.2.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10 127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9 640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8 278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5 000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26.1.1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4 370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16.1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2 986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2 766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28.2У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2 443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2 266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1 874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16.4У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1 805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1 458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26.1.2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1 276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15.1.1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1 214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53У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1 184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1 093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863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15.1У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646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14.3.1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510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26.2У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480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1701"/>
      </w:tblGrid>
      <w:tr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29.2.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7 913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24.4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4 662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53.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4 294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26.1.1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4 221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42.1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3 411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16.1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3 122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28.9.3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3 033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2 212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24.3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1 430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37.2.1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1 260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26.1.2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1 077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53.1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1 015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37.1.1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894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15.1.2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833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643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24.2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617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28.9.1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576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28.9.2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456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29.13.1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375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16.3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331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1701"/>
      </w:tblGrid>
      <w:tr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5 037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42.1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3 248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2 171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573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26.1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509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26.1.1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506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29.13.1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494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42.1.1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297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281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16.1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266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256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211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29.13.3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202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186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29.1.1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185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39.3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39.2.1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92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29.13.2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92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29.1.1.1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87</w:t>
            </w:r>
          </w:p>
        </w:tc>
      </w:tr>
    </w:tbl>
    <w:p/>
    <w:p>
      <w:r>
        <w:t>Структура топовых ФП существенно различается по сегментам. В МкБ и МСБ лидером остаётся фактор 29.2. (нарушение условий страхования), однако второе место в МкБ занимает фактор 24 (обороты, 9 640), а в МСБ — 24.4 (динамика оборотов, 4 662). В ККБ картина кардинально иная: первое место — фактор 1.2 (Сигнальный 2, 5 037), второе — 42.1 (реорганизация, 3 248). Это связано с тем, что крупный бизнес использует отдельную систему классификации факторов (ДКБ).</w:t>
      </w:r>
    </w:p>
    <w:p>
      <w:pPr>
        <w:pStyle w:val="Heading2"/>
      </w:pPr>
      <w:r>
        <w:rPr>
          <w:color w:val="000000"/>
        </w:rPr>
        <w:t>9. Топ-20 СФП по сегментам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1701"/>
      </w:tblGrid>
      <w:tr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СФП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451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101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40.1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15.2У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52.0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35.2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22.1У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48.2У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50.1У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35.3У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40У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50.1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44.3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15.2.1У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1701"/>
      </w:tblGrid>
      <w:tr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СФП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622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40.1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416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48.1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47.1.2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44.3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50.1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15.2.1.1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40.1.1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1701"/>
      </w:tblGrid>
      <w:tr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№ СФП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47.1.2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50.1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48.1.1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40.1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15.2.1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22.2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40.1.1.1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8"/>
              </w:rPr>
              <w:t>44.3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/>
    <w:p>
      <w:r>
        <w:t>Распределение СФП по сегментам ещё более контрастно. В МкБ лидирует фактор 44 (банкротство, 451 из 872 СФП = 51,7%), в МСБ — фактор 44.1 (решение суда о банкротстве, 622 из 1 162 СФП = 53,5%). Оба сегмента демонстрируют высокую концентрацию СФП на банкротных процедурах. В ККБ 63,9% всех СФП приходится на фактор 47.1.2 (возбуждение уголовного дела, 55 из 86). Стоит отметить, что в МСБ только 11 уникальных номеров СФП, а в ККБ — 9, что указывает на узкий спектр критических событий в этих сегментах.</w:t>
      </w:r>
    </w:p>
    <w:p>
      <w:pPr>
        <w:pStyle w:val="Heading2"/>
      </w:pPr>
      <w:r>
        <w:rPr>
          <w:color w:val="000000"/>
        </w:rPr>
        <w:t>11. Топ-5 ФП по сегментам с наименованиями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29.2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29.2-МкБ_Снижение объема обеспечения: Договоры страхования залогового имущества признаны недействительными или расторгнуты; изменён выгодоприобретатель по указанным договорам без письменного согласия Банка, отсутствие заключённых договоров страхования на новый срок, отсутствие документов, подтверждающих полную или частичную оплату страховой премии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10 127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24-МкБ_Нарушено обязательство по поддержанию оборотов, предусмотренное в рамках кредитной сделки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9 640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28.9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28.9-МкБ_Невыполнение заёмщиком (поручителем, залогодателем, принципалом) обязательств по выполнению финансовых ковенантов, установленных в КОД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8 278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Непредставление заёмщиком (поручителем, залогодателем, принципалом) финансовой отчётности, документов, предусмотренных кредитной/обеспечительной документацией, предоставляемых по требованию Банка, на 10 рабочий день от даты, установленной кредитной/обеспечительной документацией, требованием Банка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5 000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26.1.1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26.1.1-МкБ_Непредставление документов — финансовой отчётности, документов, предусмотренных КОД, включая документы, предоставляемые по требованию Банка. До 10 рабочих дней от даты, установленной КОД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4 370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29.2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29.2._МСБ_Нарушение условий страхования, отсутствие страховой защиты (в т.ч. вследствие ликвидации, банкротства страховой компании)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7 913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24.4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24.4_МСБ_Изменение в режиме динамики структуры оборотов по Р/С в Банке. Выявлен любой из 3-х критериев: снижение более чем на 25%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4 662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53.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53._МСБ_Другие условия/ограничения (ковенанты), предусмотренные КОД, не предусмотренные настоящим Приложением, в том числе по полученному согласию Банка (п.2.4 Приложения 5.01.01.01 Альбома инструментов)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4 294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26.1.1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26.1.1_МСБ_Непредставление Клиентом/иными участниками кред. сделки осн. док-тов, необходимых для оценки фин. положения, расчёта фин. ковенантов, оборотов по расчётному счёту (пункты 1.1, 1.2, 1.13 Приложения 1.06.01.01 Альбома инструментов) до 10 рабочих дней от даты, установленной КОД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4 221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42.1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42.1_МСБ_Реорганизация Клиента/иных участников сделки, осуществляемая в форме слияния, присоединения, разделения, выделения или преобразования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3 411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ДКБ_ИС_1.2 (фП) Сигнальный 2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5 037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42.1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ДКБ_Т42.1 (фП) Сигнал о реорганизации Клиента/иных участников сделки, осуществляемой в форме слияния, присоединения, разделения, выделения или преобразования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3 248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ДКБ_ИС_2.1 (фП) Критический 1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2 171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2.2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ДКБ_ИС_2.2 (фП) Критический 2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573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26.1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ДКБ_ИС_26.1 (фП) Непредоставление в дату, уст. КОД клиентом/иными уч-ками кред. сделки док-тов, предусм. лимитом кред. риска/КОД: документов, требуемых для расчёта ковенант/контроля выполнения условий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509</w:t>
            </w:r>
          </w:p>
        </w:tc>
      </w:tr>
    </w:tbl>
    <w:p/>
    <w:p>
      <w:r>
        <w:t>Наименования топовых ФП подтверждают ключевые зоны риска по сегментам. В МкБ и МСБ преобладают факторы, связанные с нарушением страховых условий (29.2), невыполнением ковенантов (28.9), непредставлением документов (26, 26.1.1) и нарушением обязательств по оборотам (24). Эти факторы носят преимущественно операционный характер и связаны с текущим обслуживанием кредитных обязательств. В ККБ факторы носят более формализованный характер (Сигнальный 2, Критический 1/2) и привязаны к внутренней рейтинговой системе ДКБ.</w:t>
      </w:r>
    </w:p>
    <w:p>
      <w:pPr>
        <w:pStyle w:val="Heading2"/>
      </w:pPr>
      <w:r>
        <w:rPr>
          <w:color w:val="000000"/>
        </w:rPr>
        <w:t>12. Топ-5 СФП по сегментам с наименованиями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Возбуждение пр-ва по делу о банкротстве, признание Банкротом: А. заёмщика (залогодат., поручит., принципала), и/или В. любой из компаний ГСК, С. рук. состава заёмщика и участников/акционеров/бенефициаров, и/или осущ. процесс ликвидации в отношении заёмщика — юридических лиц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451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15.2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15.2-МкБ_Наличие просроченной задолженности заёмщика (залогодателя, поручителя, принципала) и/или любой из компаний, входящих в ГСК перед Банком более 60 календарных дней непрерывной просроченной задолженности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101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22.2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22.2-МкБ_Снижение внутреннего кредитного рейтинга заёмщика (принципала) до уровня «D»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61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40.1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40.1-МкБ_Отзыв/прекращение/истечение сроков действия лицензии, разрешения/прекращение деятельности ИП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59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15.2У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15.2У-МкБ_Укр_Наличие непрерывной просроченной задолженности (основной долг и/или проценты, комиссии, штрафы, пени) перед Банком по кредитным/документарным сделкам (свыше 30 кален. дней)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44.1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44.1_МСБ_Определение суда/решение суда о введении процедуры банкротства в отношении Клиента/иных участников сделки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622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40.1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40.1_МСБ_Прекращение действия разрешения (лицензии), на основании которого осуществляется основная хозяйственная (профилирующая) деятельность в отношении Клиента/иных участников сделки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416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15.2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15.2_МСБ_ПЛАТЕЖНАЯ ДИСЦИПЛИНА_Наличие непрерывной просроченной задолженности Клиента/иных участников сделки/иных участников ГСК перед Банком по кредитным/документарным сделкам свыше 60 календ. дней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49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48.1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48.1_МСБ_Осущ. процесса ликвидации (принятие решения о ликвидации Клиента без введения проц. банкротства/внесении в ЕГРЮЛ записи о ликвидации Клиента) в отношении Клиента/иных участников сделки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47.1.2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47.1.2_МСБ_Возбуждение уголовного дела в отношении бенефициарного владельца, акционера/участника (от 50% и более акций/долей) Клиента/участников сделки по сделкам, находящимся на сопровождении РФ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6804"/>
        <w:gridCol w:w="1134"/>
      </w:tblGrid>
      <w:tr>
        <w:tc>
          <w:tcPr>
            <w:tcW w:w="45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ФП/СФП</w:t>
            </w:r>
          </w:p>
        </w:tc>
        <w:tc>
          <w:tcPr>
            <w:tcW w:w="68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47.1.2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ДКБ_ИС_47.1.2 (СфП) Возбуждение уголовного дела в отношении бенефициарного владельца, акционера/участника (от 50% и более акций/долей) клиентов/участников сделки по сделкам, находящимся на сопровождении РФ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50.1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ДКБ_ИС_50.1 (СфП) Прекращение (приостановление) финансово-хозяйственной деятельности по собственной инициативе в отн. клиента/участника кредитной сделки по сделкам, находящимся на сопровождении РФ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48.1.1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ДКБ_ИС_48.1.1 (СфП) Принятие решения о ликвидации клиента без введения процедур банкротства/внесении в ЕГРЮЛ записи о ликвидации клиента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w="45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13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40.1</w:t>
            </w:r>
          </w:p>
        </w:tc>
        <w:tc>
          <w:tcPr>
            <w:tcW w:w="6804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ДКБ_ИС_40.1 (СфП) Прекращение действия разрешения (лицензии)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w="45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13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15.2.1</w:t>
            </w:r>
          </w:p>
        </w:tc>
        <w:tc>
          <w:tcPr>
            <w:tcW w:w="6804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ДКБ_ИС_15.2.1 (СфП) Наличие непрерывной просроченной задолженности свыше 60 календарных дней по сделкам, находящимся на сопровождении РФ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/>
    <w:p>
      <w:r>
        <w:t>Наименования топовых СФП указывают на наиболее критичные события в жизненном цикле заёмщиков. В МкБ — это возбуждение дел о банкротстве (44) и наличие длительной просроченной задолженности (15.2, свыше 60 дней). В МСБ — определения судов о банкротстве (44.1) и прекращение действия лицензий (40.1). В ККБ ведущий СФП — возбуждение уголовного дела в отношении бенефициаров (47.1.2), что отражает специфику крупного бизнеса, где персональные риски владельцев играют значительную роль.</w:t>
      </w:r>
    </w:p>
    <w:p>
      <w:pPr>
        <w:pStyle w:val="Heading2"/>
      </w:pPr>
      <w:r>
        <w:rPr>
          <w:color w:val="000000"/>
        </w:rPr>
        <w:t>13. Самые частые комбинации из 2 ФП по сегментам</w:t>
      </w:r>
    </w:p>
    <w:p>
      <w:r>
        <w:t>Для каждого ИНН берутся все уникальные ФП, генерируются пары, подсчитывается частота встречаемости пар.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29.2-МкБ_Снижение объема обеспечения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1 814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28.9-МкБ_Невыполнение заёмщиком обязательств по выполнению финансовых ковенантов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1 764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28.9-МкБ_Невыполнение заёмщиком обязательств по выполнению финансовых ковенантов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29.2-МкБ_Снижение объема обеспечения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1 754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Непредставление заёмщиком финансовой отчётности, на 10 раб. день от даты КОД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29.2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29.2-МкБ_Снижение объема обеспечения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1 319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26.1.1-МкБ_Непредставление документов, предусмотренных КОД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29.2-МкБ_Снижение объема обеспечения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1 289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26.1.1-МкБ_Непредставление документов, предусмотренных КОД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1 237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Непредставление заёмщиком финансовой отчётности, на 10 раб. день от даты КОД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1 200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Непредставление заёмщиком финансовой отчётности, на 10 раб. день от даты КОД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28.9-МкБ_Невыполнение заёмщиком обязательств по выполнению финансовых ковенантов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1 143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Непредставление заёмщиком финансовой отчётности, на 10 раб. день от даты КОД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26.1.1-МкБ_Непредставление документов, предусмотренных КОД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1 129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22.1-МкБ_Снижение внутреннего кредитного рейтинга заёмщика на 3 ступени и/или уровня «7»+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24-МкБ_Нарушено обязательство по поддержанию оборотов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1 009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53.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53._МСБ_Другие условия/ограничения (ковенанты), предусмотренные КОД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781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29.2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29.2._МСБ_Нарушение условий страхования, отсутствие страховой защиты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769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29.2._МСБ_Нарушение условий страхования, отсутствие страховой защиты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53.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53._МСБ_Другие условия/ограничения (ковенанты), предусмотренные КОД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750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28.9.3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28.9.3_МСБ_Невыполнение обязательств по выполнению финансовых ковенантов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29.2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29.2._МСБ_Нарушение условий страхования, отсутствие страховой защиты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658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28.9.3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28.9.3_МСБ_Невыполнение обязательств по выполнению финансовых ковенантов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655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26.2_МСБ_Непредставление док-тов в соответствии с Правилами Альбома инструментов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626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28.9.3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28.9.3_МСБ_Невыполнение обязательств по выполнению финансовых ковенантов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53.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53._МСБ_Другие условия/ограничения (ковенанты), предусмотренные КОД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623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16.1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16.1_МСБ_ПЛАТЕЖНАЯ ДИСЦИПЛИНА_Предъявление к Р/С арестов/приостановок ≥25%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53.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53._МСБ_Другие условия/ограничения (ковенанты), предусмотренные КОД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616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26.2_МСБ_Непредставление док-тов в соответствии с Правилами Альбома инструментов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29.2._МСБ_Нарушение условий страхования, отсутствие страховой защиты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16.1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16.1_МСБ_ПЛАТЕЖНАЯ ДИСЦИПЛИНА_Предъявление к Р/С арестов/приостановок ≥25%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26.1.1_МСБ_Непредставление Клиентом осн. док-тов для оценки фин. положения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588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ДКБ_Т42.1 (фП) Сигнал о реорганизации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422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ДКБ_ИС_2.1 (фП) Критический 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417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ДКБ_ИС_2.1 (фП) Критический 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ДКБ_Т42.1 (фП) Сигнал о реорганизации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334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ДКБ_ИС_2.2 (фП) Критический 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259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ДКБ_ИС_2.1 (фП) Критический 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ДКБ_ИС_2.2 (фП) Критический 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211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ДКБ_ИС_1.2 (фП) Сигнальный 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26.1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ДКБ_ИС_26.1 (фП) Непредоставление док-тов для расчёта ковенант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ДКБ_ИС_2.1 (фП) Критический 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ДКБ_ИС_26.1 (фП) Непредоставление док-тов для расчёта ковенант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172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ДКБ_ИС_2.2 (фП) Критический 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42.1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ДКБ_Т42.1 (фП) Сигнал о реорганизации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164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26.1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ДКБ_ИС_26.1 (фП) Непредоставление док-тов для расчёта ковенант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42.1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ДКБ_Т42.1 (фП) Сигнал о реорганизации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</w:tr>
    </w:tbl>
    <w:p/>
    <w:p>
      <w:r>
        <w:t>Анализ комбинаций ФП позволяет выявить типичные «связки» факторов, одновременно присутствующих у одного заёмщика. В МкБ наиболее частая пара — (24 + 29.2): нарушение обязательств по оборотам совместно со снижением обеспечения (1 814 ИНН). Это характерный паттерн ухудшения финансового состояния микрозаёмщика. В МСБ лидирует пара (26.1.1 + 53.): непредставление документов в сочетании с нарушением прочих ковенантов (781 ИНН). В ККБ самая частая комбинация — (1.2 + 42.1): сигнальный фактор и реорганизация (422 ИНН), что указывает на связь реструктуризации бизнеса с появлением сигнальных индикаторов риска.</w:t>
      </w:r>
    </w:p>
    <w:p>
      <w:pPr>
        <w:pStyle w:val="Heading2"/>
      </w:pPr>
      <w:r>
        <w:rPr>
          <w:color w:val="000000"/>
        </w:rPr>
        <w:t>14. Самые частые комбинации из 2 СФП по сегментам</w:t>
      </w:r>
    </w:p>
    <w:p>
      <w:pPr>
        <w:pStyle w:val="ListBullet"/>
      </w:pPr>
      <w:r>
        <w:rPr>
          <w:b/>
        </w:rPr>
        <w:t>МкБ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35.2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35.2-МкБ_Установлен факт смерти основного акционера/Бенефициарного владельца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48.1-МкБ_Осуществление процесса ликвидации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15.2-МкБ_Наличие просроченной задолженности свыше 60 кален. дней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48.1-МкБ_Осуществление процесса ликвидации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48-МкБ_Наличие просроченной задолженности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22.2-МкБ_Снижение кредитного рейтинга до уровня «D»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35.3У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35.3У-МкБ_Установлен факт смерти Заёмщика/Залогодателя (ИП)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50-МкБ_Прекращение финансово-хозяйственной деятельности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22.2-МкБ_Снижение кредитного рейтинга до уровня «D»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48.2У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48.2У-МкБ_Осуществление процесса ликвидации ЮЛ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44-МкБ_Возбуждение пр-ва по делу о банкротстве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52.0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52.0-МкБ_Возбуждение уголовного дела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44-МкБ_Возбуждение пр-ва по делу о банкротстве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44.1-МкБ_Определение суда о введении процедуры банкротства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44.1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44.1-МкБ_Определение суда о введении процедуры банкротства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44.3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44.3-МкБ_Определение суда о введении процедуры банкротства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44.1-МкБ_Определение суда о введении процедуры банкротства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45-МкБ_Определение суда/решение суда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48.1-МкБ_Осуществление процесса ликвидации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50-МкБ_Прекращение финансово-хозяйственной деятельности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</w:tr>
    </w:tbl>
    <w:p/>
    <w:p>
      <w:pPr>
        <w:pStyle w:val="ListBullet"/>
      </w:pPr>
      <w:r>
        <w:rPr>
          <w:b/>
        </w:rPr>
        <w:t>МСБ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48.1_МСБ_Осущ. процесса ликвидации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47.1.2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47.1.2_МСБ_Возбуждение уголовного дела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44.3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44.3_МСБ_Определение суда о банкротстве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22.2_МСБ_Снижение кредитного рейтинга до уровня «D»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48.1_МСБ_Осущ. процесса ликвидации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22.2_МСБ_Снижение кредитного рейтинга до уровня «D»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15.2_МСБ_Наличие просроченной задолженности свыше 60 дней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40.1.1_МСБ_Прекращение действия лицензии (подуровень)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15.2_МСБ_Наличие просроченной задолженности свыше 60 дней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48.1_МСБ_Осущ. процесса ликвидации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40.1_МСБ_Прекращение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15.2_МСБ_Наличие просроченной задолженности свыше 60 дней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w="396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15.2_МСБ_Наличие просроченной задолженности свыше 60 дней</w:t>
            </w:r>
          </w:p>
        </w:tc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</w:t>
            </w:r>
          </w:p>
        </w:tc>
        <w:tc>
          <w:tcPr>
            <w:tcW w:w="3288" w:type="dxa"/>
            <w:shd w:fill="D6E4F0"/>
          </w:tcPr>
          <w:p>
            <w:r/>
            <w:r>
              <w:rPr>
                <w:rFonts w:ascii="Calibri" w:hAnsi="Calibri"/>
                <w:b w:val="0"/>
                <w:sz w:val="14"/>
              </w:rPr>
              <w:t>22.2_МСБ_Снижение кредитного рейтинга до уровня «D»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</w:tbl>
    <w:p/>
    <w:p>
      <w:pPr>
        <w:pStyle w:val="ListBullet"/>
      </w:pPr>
      <w:r>
        <w:rPr>
          <w:b/>
        </w:rPr>
        <w:t>ККБ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"/>
        <w:gridCol w:w="737"/>
        <w:gridCol w:w="3288"/>
        <w:gridCol w:w="737"/>
        <w:gridCol w:w="3288"/>
        <w:gridCol w:w="1020"/>
      </w:tblGrid>
      <w:tr>
        <w:tc>
          <w:tcPr>
            <w:tcW w:w="39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1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1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СФП 2</w:t>
            </w:r>
          </w:p>
        </w:tc>
        <w:tc>
          <w:tcPr>
            <w:tcW w:w="328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Наименование 2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ИНН</w:t>
            </w:r>
          </w:p>
        </w:tc>
      </w:tr>
      <w:tr>
        <w:tc>
          <w:tcPr>
            <w:tcW w:w="396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40.1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ДКБ_ИС_40.1 (СфП) Прекращение действия лицензии</w:t>
            </w:r>
          </w:p>
        </w:tc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50.1</w:t>
            </w:r>
          </w:p>
        </w:tc>
        <w:tc>
          <w:tcPr>
            <w:tcW w:w="3288" w:type="dxa"/>
          </w:tcPr>
          <w:p>
            <w:r/>
            <w:r>
              <w:rPr>
                <w:rFonts w:ascii="Calibri" w:hAnsi="Calibri"/>
                <w:b w:val="0"/>
                <w:sz w:val="14"/>
              </w:rPr>
              <w:t>ДКБ_ИС_50.1 (СфП) Прекращение фин.-хоз. деятельности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</w:tbl>
    <w:p/>
    <w:p>
      <w:r>
        <w:t>Комбинации СФП встречаются значительно реже, чем комбинации ФП, что объясняется низкой частотой СФП в целом. В МкБ наиболее частая пара — (35.2 + 48.1): смерть бенефициара и ликвидация (5 ИНН). В МСБ — (40.1 + 48.1): прекращение лицензии и ликвидация (8 ИНН). В ККБ зафиксирована только одна пара СФП — (40.1 + 50.1) у 3 ИНН, что отражает крайне низкую распространённость СФП в крупном бизнесе. Малое количество комбинаций свидетельствует о том, что СФП, как правило, возникают изолированно и связаны с единичными критическими событиями.</w:t>
      </w:r>
    </w:p>
    <w:p>
      <w:pPr>
        <w:pStyle w:val="Heading2"/>
      </w:pPr>
      <w:r>
        <w:rPr>
          <w:color w:val="000000"/>
        </w:rPr>
        <w:t>15. Динамика ФП по месяцам (по сегментам)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1417"/>
        <w:gridCol w:w="1417"/>
        <w:gridCol w:w="1417"/>
        <w:gridCol w:w="1417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Месяц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МкБ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МСБ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ККБ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676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286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1 337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733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627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1 604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1 235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834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2 440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2 521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1 764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619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4 904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4 432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2 583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878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7 893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1 296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1 118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2 816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1 149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950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440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2 539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3 412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2 269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724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6 405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1 099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981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423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2 503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994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778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2 178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2 455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1 837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4 903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926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975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515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2 416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835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689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1 903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666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890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438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1 994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738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779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1 875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2 880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2 079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663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5 622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3 364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2 458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654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6 476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1 222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1 007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2 635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1 282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1 043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458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2 783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3 781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2 706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651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7 138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1 254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1 080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462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2 796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1 707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1 089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461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3 257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2 868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1 656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483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5 007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1 200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229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2 339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1 085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585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1 818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1 064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732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2 002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835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737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168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1 740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4 004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1 788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6 204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3 637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1 899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614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6 150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1 404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735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423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2 562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1 558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781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2 697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3 403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2 019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619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6 041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1 389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1 201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2 923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1 548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883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2 783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2 799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1 947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519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5 265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1 311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1 372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432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3 115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2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намика 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Динамика ФП демонстрирует выраженную сезонность с устойчивым паттерном: пиковые значения приходятся на апрель–май и август каждого года. Абсолютный максимум зафиксирован в мае 2023 года — 7 893 ФП (МкБ: 4 432, МСБ: 2 583, ККБ: 878). Аналогичные всплески наблюдаются в августе 2024 (7 138) и апреле–мае 2025 (6 204 и 6 150). Сезонность может быть обусловлена циклами квартальной отчётности и плановыми проверками. Сегмент МкБ стабильно лидирует по количеству ФП, формируя 45–55% от общего объёма. Сегмент ККБ демонстрирует наиболее стабильную динамику в диапазоне 150–880 ФП в месяц.</w:t>
      </w:r>
    </w:p>
    <w:p>
      <w:pPr>
        <w:pStyle w:val="Heading2"/>
      </w:pPr>
      <w:r>
        <w:rPr>
          <w:color w:val="000000"/>
        </w:rPr>
        <w:t>16. Динамика СФП по месяцам (по сегментам)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1417"/>
        <w:gridCol w:w="1417"/>
        <w:gridCol w:w="1417"/>
        <w:gridCol w:w="1417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Месяц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МкБ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МСБ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ККБ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62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66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83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76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2023-11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2023-12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54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49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48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61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2024-11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105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2024-12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193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240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69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2025-08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2025-09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57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sz w:val="16"/>
              </w:rPr>
              <w:t>2025-11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sz w:val="16"/>
              </w:rPr>
              <w:t>2025-12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2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намика 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Динамика СФП характеризуется низкими абсолютными значениями (в среднем 40–80 в месяц) и единичными аномальными всплесками. Наиболее заметный выброс — резкий рост СФП в сегменте МСБ в феврале 2025 года (193 события при среднем уровне 20–40 в месяц), что привело к общему итогу 240 СФП за месяц. Данный всплеск требует отдельного расследования и может быть связан с массовым пересмотром статусов заёмщиков. Также обращают на себя внимание повышенные значения МкБ в ноябре–декабре 2024 (54 и 58) и аномальный всплеск ККБ в марте 2025 (42 при обычном уровне 0–6). В целом сегмент ККБ демонстрирует практически нулевую динамику СФП, что подтверждает единичный характер существенных факторов в крупном бизнесе.</w:t>
      </w:r>
    </w:p>
    <w:sectPr w:rsidR="00FC693F" w:rsidRPr="0006063C" w:rsidSect="00034616">
      <w:pgSz w:w="12240" w:h="15840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