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20" w:line="240" w:lineRule="auto"/>
      </w:pPr>
      <w:r>
        <w:rPr>
          <w:rFonts w:ascii="Liberation Sans" w:hAnsi="Liberation Sans" w:eastAsia="Liberation Sans"/>
          <w:b/>
          <w:color w:val="000000"/>
          <w:sz w:val="40"/>
        </w:rPr>
        <w:t>Atbalsts platformas kiberdrošības stāvoklis</w:t>
      </w:r>
    </w:p>
    <w:p>
      <w:pPr>
        <w:pStyle w:val="Subtitle"/>
        <w:keepNext/>
        <w:spacing w:before="0" w:after="100" w:line="240" w:lineRule="auto"/>
      </w:pPr>
      <w:r>
        <w:rPr>
          <w:rFonts w:ascii="Liberation Sans" w:hAnsi="Liberation Sans" w:eastAsia="Liberation Sans"/>
          <w:color w:val="6B7280"/>
          <w:sz w:val="18"/>
        </w:rPr>
        <w:t>Stāvoklis 2026. gada 10. septembrī</w:t>
      </w:r>
    </w:p>
    <w:p>
      <w:pPr>
        <w:keepNext w:val="0"/>
        <w:spacing w:before="0" w:after="80" w:line="259" w:lineRule="auto"/>
      </w:pPr>
      <w:r>
        <w:rPr>
          <w:rFonts w:ascii="Liberation Sans" w:hAnsi="Liberation Sans" w:eastAsia="Liberation Sans"/>
          <w:b/>
          <w:color w:val="000000"/>
          <w:sz w:val="20"/>
        </w:rPr>
        <w:t xml:space="preserve">Galvenais secinājums  </w:t>
      </w:r>
      <w:r>
        <w:rPr>
          <w:rFonts w:ascii="Liberation Sans" w:hAnsi="Liberation Sans" w:eastAsia="Liberation Sans"/>
          <w:color w:val="000000"/>
          <w:sz w:val="20"/>
        </w:rPr>
        <w:t>Platforma ir gatava skaidri marķētai demonstrācijai, un papildu tehnisku prezentācijas šķēršļu nav. PR #73 ir apvienots pēc sekmīgas CI pārbaudes, publiskajā vidē darbojas tieši apstiprinātais galvenā zara laidiens 664b5e5, sensitīvā diagnostika ir slēgta, bet atgriešanās un abu procesu automātiska atjaunošanās ir praktiski pārbaudīta. Tas vēl nav pilnīgas gatavības darbam ražošanas vidē vai juridiskas atbilstības apliecinājums.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216"/>
        <w:gridCol w:w="5216"/>
      </w:tblGrid>
      <w:tr>
        <w:tc>
          <w:tcPr>
            <w:tcW w:type="dxa" w:w="5159"/>
            <w:tcMar>
              <w:top w:w="35" w:type="dxa"/>
              <w:start w:w="40" w:type="dxa"/>
              <w:bottom w:w="35" w:type="dxa"/>
              <w:end w:w="40" w:type="dxa"/>
            </w:tcMar>
            <w:vAlign w:val="center"/>
          </w:tcPr>
          <w:p>
            <w:pPr>
              <w:keepNext w:val="0"/>
              <w:spacing w:before="0" w:after="0" w:line="240" w:lineRule="auto"/>
            </w:pPr>
            <w:r>
              <w:rPr>
                <w:rFonts w:ascii="Liberation Sans" w:hAnsi="Liberation Sans" w:eastAsia="Liberation Sans"/>
                <w:b/>
                <w:color w:val="000000"/>
                <w:sz w:val="18"/>
              </w:rPr>
              <w:t>Prezentācijas gatavība</w:t>
            </w:r>
          </w:p>
        </w:tc>
        <w:tc>
          <w:tcPr>
            <w:tcW w:type="dxa" w:w="5159"/>
            <w:tcMar>
              <w:top w:w="35" w:type="dxa"/>
              <w:start w:w="40" w:type="dxa"/>
              <w:bottom w:w="35" w:type="dxa"/>
              <w:end w:w="40" w:type="dxa"/>
            </w:tcMar>
            <w:vAlign w:val="center"/>
          </w:tcPr>
          <w:p>
            <w:pPr>
              <w:keepNext w:val="0"/>
              <w:spacing w:before="0" w:after="0" w:line="240" w:lineRule="auto"/>
            </w:pPr>
            <w:r>
              <w:rPr>
                <w:rFonts w:ascii="Liberation Sans" w:hAnsi="Liberation Sans" w:eastAsia="Liberation Sans"/>
                <w:b/>
                <w:color w:val="000000"/>
                <w:sz w:val="18"/>
              </w:rPr>
              <w:t>Ražošanas vides drošības gatavība</w:t>
            </w:r>
          </w:p>
        </w:tc>
      </w:tr>
      <w:tr>
        <w:tc>
          <w:tcPr>
            <w:tcW w:type="dxa" w:w="5159"/>
            <w:tcMar>
              <w:top w:w="35" w:type="dxa"/>
              <w:start w:w="40" w:type="dxa"/>
              <w:bottom w:w="35" w:type="dxa"/>
              <w:end w:w="40" w:type="dxa"/>
            </w:tcMar>
            <w:vAlign w:val="center"/>
          </w:tcPr>
          <w:p>
            <w:pPr>
              <w:keepNext w:val="0"/>
              <w:spacing w:before="0" w:after="0" w:line="240" w:lineRule="auto"/>
            </w:pPr>
            <w:r>
              <w:rPr>
                <w:rFonts w:ascii="Liberation Mono" w:hAnsi="Liberation Mono" w:eastAsia="Liberation Mono"/>
                <w:b/>
                <w:color w:val="1F6F5C"/>
                <w:sz w:val="21"/>
              </w:rPr>
              <w:t>■■■■■■■■■</w:t>
            </w:r>
            <w:r>
              <w:rPr>
                <w:rFonts w:ascii="Liberation Mono" w:hAnsi="Liberation Mono" w:eastAsia="Liberation Mono"/>
                <w:b/>
                <w:color w:val="DDE2E7"/>
                <w:sz w:val="21"/>
              </w:rPr>
              <w:t>■</w:t>
            </w:r>
            <w:r>
              <w:rPr>
                <w:rFonts w:ascii="Liberation Sans" w:hAnsi="Liberation Sans" w:eastAsia="Liberation Sans"/>
                <w:b/>
                <w:color w:val="000000"/>
                <w:sz w:val="21"/>
              </w:rPr>
              <w:t xml:space="preserve">  93%</w:t>
            </w:r>
          </w:p>
        </w:tc>
        <w:tc>
          <w:tcPr>
            <w:tcW w:type="dxa" w:w="5159"/>
            <w:tcMar>
              <w:top w:w="35" w:type="dxa"/>
              <w:start w:w="40" w:type="dxa"/>
              <w:bottom w:w="35" w:type="dxa"/>
              <w:end w:w="40" w:type="dxa"/>
            </w:tcMar>
            <w:vAlign w:val="center"/>
          </w:tcPr>
          <w:p>
            <w:pPr>
              <w:keepNext w:val="0"/>
              <w:spacing w:before="0" w:after="0" w:line="240" w:lineRule="auto"/>
            </w:pPr>
            <w:r>
              <w:rPr>
                <w:rFonts w:ascii="Liberation Mono" w:hAnsi="Liberation Mono" w:eastAsia="Liberation Mono"/>
                <w:b/>
                <w:color w:val="2F6B8A"/>
                <w:sz w:val="21"/>
              </w:rPr>
              <w:t>■■■■■■■</w:t>
            </w:r>
            <w:r>
              <w:rPr>
                <w:rFonts w:ascii="Liberation Mono" w:hAnsi="Liberation Mono" w:eastAsia="Liberation Mono"/>
                <w:b/>
                <w:color w:val="DDE2E7"/>
                <w:sz w:val="21"/>
              </w:rPr>
              <w:t>■■■</w:t>
            </w:r>
            <w:r>
              <w:rPr>
                <w:rFonts w:ascii="Liberation Sans" w:hAnsi="Liberation Sans" w:eastAsia="Liberation Sans"/>
                <w:b/>
                <w:color w:val="000000"/>
                <w:sz w:val="21"/>
              </w:rPr>
              <w:t xml:space="preserve">  66%</w:t>
            </w:r>
          </w:p>
        </w:tc>
      </w:tr>
    </w:tbl>
    <w:p>
      <w:pPr>
        <w:keepNext w:val="0"/>
        <w:spacing w:before="0" w:after="80" w:line="240" w:lineRule="auto"/>
      </w:pPr>
      <w:r>
        <w:rPr>
          <w:rFonts w:ascii="Liberation Sans" w:hAnsi="Liberation Sans" w:eastAsia="Liberation Sans"/>
          <w:i/>
          <w:color w:val="6B7280"/>
          <w:sz w:val="15"/>
        </w:rPr>
        <w:t>Procenti ir kontroles gatavības novērtējums pēc koda, publiskās vides, procesa un pierādījumu stāvokļa. Tie nav sertifikācija, incidenta varbūtība vai juridisks atzinums.</w:t>
      </w:r>
    </w:p>
    <w:p>
      <w:pPr>
        <w:pStyle w:val="Heading1"/>
        <w:keepNext/>
        <w:spacing w:before="60" w:after="40" w:line="240" w:lineRule="auto"/>
      </w:pPr>
      <w:r>
        <w:rPr>
          <w:rFonts w:ascii="Liberation Sans" w:hAnsi="Liberation Sans" w:eastAsia="Liberation Sans"/>
          <w:b/>
          <w:color w:val="000000"/>
          <w:sz w:val="26"/>
        </w:rPr>
        <w:t>Pārbaudīts pirms prezentācijas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216"/>
        <w:gridCol w:w="5216"/>
      </w:tblGrid>
      <w:tr>
        <w:trPr>
          <w:tblHeader w:val="true"/>
        </w:trPr>
        <w:tc>
          <w:tcPr>
            <w:tcW w:type="dxa" w:w="1984"/>
            <w:shd w:fill="183B56"/>
            <w:tcMar>
              <w:top w:w="70" w:type="dxa"/>
              <w:start w:w="90" w:type="dxa"/>
              <w:bottom w:w="70" w:type="dxa"/>
              <w:end w:w="90" w:type="dxa"/>
            </w:tcMar>
            <w:vAlign w:val="center"/>
          </w:tcPr>
          <w:p>
            <w:pPr>
              <w:keepNext w:val="0"/>
              <w:spacing w:before="0" w:after="0" w:line="240" w:lineRule="auto"/>
            </w:pPr>
            <w:r>
              <w:rPr>
                <w:rFonts w:ascii="Liberation Sans" w:hAnsi="Liberation Sans" w:eastAsia="Liberation Sans"/>
                <w:b/>
                <w:color w:val="FFFFFF"/>
                <w:sz w:val="17"/>
              </w:rPr>
              <w:t>Kontrole</w:t>
            </w:r>
          </w:p>
        </w:tc>
        <w:tc>
          <w:tcPr>
            <w:tcW w:type="dxa" w:w="8333"/>
            <w:shd w:fill="183B56"/>
            <w:tcMar>
              <w:top w:w="70" w:type="dxa"/>
              <w:start w:w="90" w:type="dxa"/>
              <w:bottom w:w="70" w:type="dxa"/>
              <w:end w:w="90" w:type="dxa"/>
            </w:tcMar>
            <w:vAlign w:val="center"/>
          </w:tcPr>
          <w:p>
            <w:pPr>
              <w:keepNext w:val="0"/>
              <w:spacing w:before="0" w:after="0" w:line="240" w:lineRule="auto"/>
            </w:pPr>
            <w:r>
              <w:rPr>
                <w:rFonts w:ascii="Liberation Sans" w:hAnsi="Liberation Sans" w:eastAsia="Liberation Sans"/>
                <w:b/>
                <w:color w:val="FFFFFF"/>
                <w:sz w:val="17"/>
              </w:rPr>
              <w:t>Pierādītais rezultāts</w:t>
            </w:r>
          </w:p>
        </w:tc>
      </w:tr>
      <w:tr>
        <w:trPr>
          <w:cantSplit/>
        </w:trPr>
        <w:tc>
          <w:tcPr>
            <w:tcW w:type="dxa" w:w="1984"/>
            <w:tcMar>
              <w:top w:w="58" w:type="dxa"/>
              <w:start w:w="85" w:type="dxa"/>
              <w:bottom w:w="58" w:type="dxa"/>
              <w:end w:w="85" w:type="dxa"/>
            </w:tcMar>
            <w:vAlign w:val="center"/>
          </w:tcPr>
          <w:p>
            <w:pPr>
              <w:keepNext w:val="0"/>
              <w:spacing w:before="0" w:after="0" w:line="240" w:lineRule="auto"/>
            </w:pPr>
            <w:r>
              <w:rPr>
                <w:rFonts w:ascii="Liberation Sans" w:hAnsi="Liberation Sans" w:eastAsia="Liberation Sans"/>
                <w:b/>
                <w:color w:val="000000"/>
                <w:sz w:val="16"/>
              </w:rPr>
              <w:t>Izlaidums</w:t>
            </w:r>
          </w:p>
        </w:tc>
        <w:tc>
          <w:tcPr>
            <w:tcW w:type="dxa" w:w="8333"/>
            <w:tcMar>
              <w:top w:w="58" w:type="dxa"/>
              <w:start w:w="85" w:type="dxa"/>
              <w:bottom w:w="58" w:type="dxa"/>
              <w:end w:w="85" w:type="dxa"/>
            </w:tcMar>
            <w:vAlign w:val="center"/>
          </w:tcPr>
          <w:p>
            <w:pPr>
              <w:keepNext w:val="0"/>
              <w:spacing w:before="0" w:after="0" w:line="245" w:lineRule="auto"/>
            </w:pPr>
            <w:r>
              <w:rPr>
                <w:rFonts w:ascii="Liberation Sans" w:hAnsi="Liberation Sans" w:eastAsia="Liberation Sans"/>
                <w:color w:val="000000"/>
                <w:sz w:val="16"/>
              </w:rPr>
              <w:t>PR #73 apvienots pēc sekmīgas CI pārbaudes; publiskajā vidē izvērsts galvenā zara SHA 664b5e58bde2fe39287b806c5606eb573a78c1ae.</w:t>
            </w:r>
          </w:p>
        </w:tc>
      </w:tr>
      <w:tr>
        <w:trPr>
          <w:cantSplit/>
        </w:trPr>
        <w:tc>
          <w:tcPr>
            <w:tcW w:type="dxa" w:w="1984"/>
            <w:shd w:fill="EEF5F8"/>
            <w:tcMar>
              <w:top w:w="58" w:type="dxa"/>
              <w:start w:w="85" w:type="dxa"/>
              <w:bottom w:w="58" w:type="dxa"/>
              <w:end w:w="85" w:type="dxa"/>
            </w:tcMar>
            <w:vAlign w:val="center"/>
          </w:tcPr>
          <w:p>
            <w:pPr>
              <w:keepNext w:val="0"/>
              <w:spacing w:before="0" w:after="0" w:line="240" w:lineRule="auto"/>
            </w:pPr>
            <w:r>
              <w:rPr>
                <w:rFonts w:ascii="Liberation Sans" w:hAnsi="Liberation Sans" w:eastAsia="Liberation Sans"/>
                <w:b/>
                <w:color w:val="000000"/>
                <w:sz w:val="16"/>
              </w:rPr>
              <w:t>Publiskā virsma</w:t>
            </w:r>
          </w:p>
        </w:tc>
        <w:tc>
          <w:tcPr>
            <w:tcW w:type="dxa" w:w="8333"/>
            <w:shd w:fill="EEF5F8"/>
            <w:tcMar>
              <w:top w:w="58" w:type="dxa"/>
              <w:start w:w="85" w:type="dxa"/>
              <w:bottom w:w="58" w:type="dxa"/>
              <w:end w:w="85" w:type="dxa"/>
            </w:tcMar>
            <w:vAlign w:val="center"/>
          </w:tcPr>
          <w:p>
            <w:pPr>
              <w:keepNext w:val="0"/>
              <w:spacing w:before="0" w:after="0" w:line="245" w:lineRule="auto"/>
            </w:pPr>
            <w:r>
              <w:rPr>
                <w:rFonts w:ascii="Liberation Sans" w:hAnsi="Liberation Sans" w:eastAsia="Liberation Sans"/>
                <w:color w:val="000000"/>
                <w:sz w:val="16"/>
              </w:rPr>
              <w:t>Galvenās lapas atbild ar 200; /api/health izdod tikai ok un būvējuma SHA ar no-store; publiskajā notikumu API nav iekšējo lauku.</w:t>
            </w:r>
          </w:p>
        </w:tc>
      </w:tr>
      <w:tr>
        <w:trPr>
          <w:cantSplit/>
        </w:trPr>
        <w:tc>
          <w:tcPr>
            <w:tcW w:type="dxa" w:w="1984"/>
            <w:tcMar>
              <w:top w:w="58" w:type="dxa"/>
              <w:start w:w="85" w:type="dxa"/>
              <w:bottom w:w="58" w:type="dxa"/>
              <w:end w:w="85" w:type="dxa"/>
            </w:tcMar>
            <w:vAlign w:val="center"/>
          </w:tcPr>
          <w:p>
            <w:pPr>
              <w:keepNext w:val="0"/>
              <w:spacing w:before="0" w:after="0" w:line="240" w:lineRule="auto"/>
            </w:pPr>
            <w:r>
              <w:rPr>
                <w:rFonts w:ascii="Liberation Sans" w:hAnsi="Liberation Sans" w:eastAsia="Liberation Sans"/>
                <w:b/>
                <w:color w:val="000000"/>
                <w:sz w:val="16"/>
              </w:rPr>
              <w:t>Piekļuves kontrole</w:t>
            </w:r>
          </w:p>
        </w:tc>
        <w:tc>
          <w:tcPr>
            <w:tcW w:type="dxa" w:w="8333"/>
            <w:tcMar>
              <w:top w:w="58" w:type="dxa"/>
              <w:start w:w="85" w:type="dxa"/>
              <w:bottom w:w="58" w:type="dxa"/>
              <w:end w:w="85" w:type="dxa"/>
            </w:tcMar>
            <w:vAlign w:val="center"/>
          </w:tcPr>
          <w:p>
            <w:pPr>
              <w:keepNext w:val="0"/>
              <w:spacing w:before="0" w:after="0" w:line="245" w:lineRule="auto"/>
            </w:pPr>
            <w:r>
              <w:rPr>
                <w:rFonts w:ascii="Liberation Sans" w:hAnsi="Liberation Sans" w:eastAsia="Liberation Sans"/>
                <w:color w:val="000000"/>
                <w:sz w:val="16"/>
              </w:rPr>
              <w:t>Anonīms /api/center/health un POST /api/live-data/refresh saņem 401.</w:t>
            </w:r>
          </w:p>
        </w:tc>
      </w:tr>
      <w:tr>
        <w:trPr>
          <w:cantSplit/>
        </w:trPr>
        <w:tc>
          <w:tcPr>
            <w:tcW w:type="dxa" w:w="1984"/>
            <w:shd w:fill="EEF5F8"/>
            <w:tcMar>
              <w:top w:w="58" w:type="dxa"/>
              <w:start w:w="85" w:type="dxa"/>
              <w:bottom w:w="58" w:type="dxa"/>
              <w:end w:w="85" w:type="dxa"/>
            </w:tcMar>
            <w:vAlign w:val="center"/>
          </w:tcPr>
          <w:p>
            <w:pPr>
              <w:keepNext w:val="0"/>
              <w:spacing w:before="0" w:after="0" w:line="240" w:lineRule="auto"/>
            </w:pPr>
            <w:r>
              <w:rPr>
                <w:rFonts w:ascii="Liberation Sans" w:hAnsi="Liberation Sans" w:eastAsia="Liberation Sans"/>
                <w:b/>
                <w:color w:val="000000"/>
                <w:sz w:val="16"/>
              </w:rPr>
              <w:t>Atkopšana</w:t>
            </w:r>
          </w:p>
        </w:tc>
        <w:tc>
          <w:tcPr>
            <w:tcW w:type="dxa" w:w="8333"/>
            <w:shd w:fill="EEF5F8"/>
            <w:tcMar>
              <w:top w:w="58" w:type="dxa"/>
              <w:start w:w="85" w:type="dxa"/>
              <w:bottom w:w="58" w:type="dxa"/>
              <w:end w:w="85" w:type="dxa"/>
            </w:tcMar>
            <w:vAlign w:val="center"/>
          </w:tcPr>
          <w:p>
            <w:pPr>
              <w:keepNext w:val="0"/>
              <w:spacing w:before="0" w:after="0" w:line="245" w:lineRule="auto"/>
            </w:pPr>
            <w:r>
              <w:rPr>
                <w:rFonts w:ascii="Liberation Sans" w:hAnsi="Liberation Sans" w:eastAsia="Liberation Sans"/>
                <w:color w:val="000000"/>
                <w:sz w:val="16"/>
              </w:rPr>
              <w:t>Izmēģināta pāreja uz iepriekšējo SHA 6636f6f un atjaunošana uz 664b5e5; abas versijas publiski identificējās pareizi.</w:t>
            </w:r>
          </w:p>
        </w:tc>
      </w:tr>
      <w:tr>
        <w:trPr>
          <w:cantSplit/>
        </w:trPr>
        <w:tc>
          <w:tcPr>
            <w:tcW w:type="dxa" w:w="1984"/>
            <w:tcMar>
              <w:top w:w="58" w:type="dxa"/>
              <w:start w:w="85" w:type="dxa"/>
              <w:bottom w:w="58" w:type="dxa"/>
              <w:end w:w="85" w:type="dxa"/>
            </w:tcMar>
            <w:vAlign w:val="center"/>
          </w:tcPr>
          <w:p>
            <w:pPr>
              <w:keepNext w:val="0"/>
              <w:spacing w:before="0" w:after="0" w:line="240" w:lineRule="auto"/>
            </w:pPr>
            <w:r>
              <w:rPr>
                <w:rFonts w:ascii="Liberation Sans" w:hAnsi="Liberation Sans" w:eastAsia="Liberation Sans"/>
                <w:b/>
                <w:color w:val="000000"/>
                <w:sz w:val="16"/>
              </w:rPr>
              <w:t>Pieejamība</w:t>
            </w:r>
          </w:p>
        </w:tc>
        <w:tc>
          <w:tcPr>
            <w:tcW w:type="dxa" w:w="8333"/>
            <w:tcMar>
              <w:top w:w="58" w:type="dxa"/>
              <w:start w:w="85" w:type="dxa"/>
              <w:bottom w:w="58" w:type="dxa"/>
              <w:end w:w="85" w:type="dxa"/>
            </w:tcMar>
            <w:vAlign w:val="center"/>
          </w:tcPr>
          <w:p>
            <w:pPr>
              <w:keepNext w:val="0"/>
              <w:spacing w:before="0" w:after="0" w:line="245" w:lineRule="auto"/>
            </w:pPr>
            <w:r>
              <w:rPr>
                <w:rFonts w:ascii="Liberation Sans" w:hAnsi="Liberation Sans" w:eastAsia="Liberation Sans"/>
                <w:color w:val="000000"/>
                <w:sz w:val="16"/>
              </w:rPr>
              <w:t>Lietotne un Cloudflare Tunnel darbojas ieslēgtos systemd lietotāja servisos ar Restart=always un pēc piespiedu procesa kļūmes atjaunojās automātiski.</w:t>
            </w:r>
          </w:p>
        </w:tc>
      </w:tr>
    </w:tbl>
    <w:p>
      <w:pPr>
        <w:pStyle w:val="Heading1"/>
        <w:keepNext/>
        <w:spacing w:before="100" w:after="40" w:line="240" w:lineRule="auto"/>
      </w:pPr>
      <w:r>
        <w:rPr>
          <w:rFonts w:ascii="Liberation Sans" w:hAnsi="Liberation Sans" w:eastAsia="Liberation Sans"/>
          <w:b/>
          <w:color w:val="000000"/>
          <w:sz w:val="26"/>
        </w:rPr>
        <w:t>Pašreizējā arhitektūra</w:t>
      </w:r>
    </w:p>
    <w:p>
      <w:pPr>
        <w:keepNext w:val="0"/>
        <w:spacing w:before="0" w:after="40" w:line="250" w:lineRule="auto"/>
      </w:pPr>
      <w:r>
        <w:rPr>
          <w:rFonts w:ascii="Liberation Sans" w:hAnsi="Liberation Sans" w:eastAsia="Liberation Sans"/>
          <w:b/>
          <w:color w:val="183B56"/>
          <w:sz w:val="18"/>
        </w:rPr>
        <w:t>Internets → Cloudflare starpniekserveris → Cloudflare Tunnel → lokāls izcelsmes servers → Vite priekšskatījuma serveris</w:t>
      </w:r>
    </w:p>
    <w:p>
      <w:pPr>
        <w:keepNext w:val="0"/>
        <w:spacing w:before="0" w:after="40" w:line="250" w:lineRule="auto"/>
      </w:pPr>
      <w:r>
        <w:rPr>
          <w:rFonts w:ascii="Liberation Sans" w:hAnsi="Liberation Sans" w:eastAsia="Liberation Sans"/>
          <w:color w:val="000000"/>
          <w:sz w:val="18"/>
        </w:rPr>
        <w:t>Tunelis samazina tiešu servera ekspozīciju, bet neaizstāj WAF, hosta aizsardzību vai vairāku instanču pieejamību. Cloudflare Worker pastāv, taču nav publiskā domēna izcelsmes serveris.</w:t>
      </w:r>
    </w:p>
    <w:p>
      <w:pPr>
        <w:pStyle w:val="Heading1"/>
        <w:keepNext/>
        <w:spacing w:before="80" w:after="20" w:line="240" w:lineRule="auto"/>
      </w:pPr>
      <w:r>
        <w:rPr>
          <w:rFonts w:ascii="Liberation Sans" w:hAnsi="Liberation Sans" w:eastAsia="Liberation Sans"/>
          <w:b/>
          <w:color w:val="000000"/>
          <w:sz w:val="26"/>
        </w:rPr>
        <w:t>Prezentācijā norādāmie ierobežojumi</w:t>
      </w:r>
    </w:p>
    <w:p>
      <w:pPr>
        <w:pStyle w:val="ListBullet"/>
        <w:keepNext w:val="0"/>
        <w:spacing w:before="0" w:after="20" w:line="245" w:lineRule="auto"/>
        <w:ind w:left="255" w:hanging="142"/>
      </w:pPr>
      <w:r>
        <w:rPr>
          <w:rFonts w:ascii="Liberation Sans" w:hAnsi="Liberation Sans" w:eastAsia="Liberation Sans"/>
          <w:b/>
          <w:color w:val="000000"/>
          <w:sz w:val="17"/>
        </w:rPr>
        <w:t xml:space="preserve">Apzināti pieļaujams  </w:t>
      </w:r>
      <w:r>
        <w:rPr>
          <w:rFonts w:ascii="Liberation Sans" w:hAnsi="Liberation Sans" w:eastAsia="Liberation Sans"/>
          <w:color w:val="000000"/>
          <w:sz w:val="17"/>
        </w:rPr>
        <w:t>kopīgā Centra parole, sintētiski dati un Vite priekšskatījuma serveris tikai marķētā demonstrācijas režīmā.</w:t>
      </w:r>
    </w:p>
    <w:p>
      <w:pPr>
        <w:pStyle w:val="ListBullet"/>
        <w:keepNext w:val="0"/>
        <w:spacing w:before="0" w:after="0" w:line="245" w:lineRule="auto"/>
        <w:ind w:left="255" w:hanging="142"/>
      </w:pPr>
      <w:r>
        <w:rPr>
          <w:rFonts w:ascii="Liberation Sans" w:hAnsi="Liberation Sans" w:eastAsia="Liberation Sans"/>
          <w:b/>
          <w:color w:val="000000"/>
          <w:sz w:val="17"/>
        </w:rPr>
        <w:t xml:space="preserve">Nedrīkst apgalvot  </w:t>
      </w:r>
      <w:r>
        <w:rPr>
          <w:rFonts w:ascii="Liberation Sans" w:hAnsi="Liberation Sans" w:eastAsia="Liberation Sans"/>
          <w:color w:val="000000"/>
          <w:sz w:val="17"/>
        </w:rPr>
        <w:t>pilnu produkcijas gatavību, aktīvus pielāgotus Cloudflare WAF noteikumus, darbību piesaisti individuāliem operatoriem vai ISO/IEC 27001 sertifikāciju.</w:t>
      </w:r>
    </w:p>
    <w:p>
      <w:pPr>
        <w:pStyle w:val="Heading1"/>
        <w:keepNext/>
        <w:spacing w:before="0" w:after="60" w:line="240" w:lineRule="auto"/>
      </w:pPr>
      <w:r>
        <w:rPr>
          <w:rFonts w:ascii="Liberation Sans" w:hAnsi="Liberation Sans" w:eastAsia="Liberation Sans"/>
          <w:b/>
          <w:color w:val="000000"/>
          <w:sz w:val="26"/>
        </w:rPr>
        <w:t>Izolēto aspektu drošības stāvoklis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08"/>
        <w:gridCol w:w="2608"/>
        <w:gridCol w:w="2608"/>
        <w:gridCol w:w="2608"/>
      </w:tblGrid>
      <w:tr>
        <w:trPr>
          <w:tblHeader w:val="true"/>
        </w:trPr>
        <w:tc>
          <w:tcPr>
            <w:tcW w:type="dxa" w:w="1927"/>
            <w:shd w:fill="183B56"/>
            <w:tcMar>
              <w:top w:w="65" w:type="dxa"/>
              <w:start w:w="75" w:type="dxa"/>
              <w:bottom w:w="65" w:type="dxa"/>
              <w:end w:w="75" w:type="dxa"/>
            </w:tcMar>
            <w:vAlign w:val="center"/>
          </w:tcPr>
          <w:p>
            <w:pPr>
              <w:keepNext w:val="0"/>
              <w:spacing w:before="0" w:after="0" w:line="240" w:lineRule="auto"/>
              <w:jc w:val="left"/>
            </w:pPr>
            <w:r>
              <w:rPr>
                <w:rFonts w:ascii="Liberation Sans" w:hAnsi="Liberation Sans" w:eastAsia="Liberation Sans"/>
                <w:b/>
                <w:color w:val="FFFFFF"/>
                <w:sz w:val="16"/>
              </w:rPr>
              <w:t>Aspekts</w:t>
            </w:r>
          </w:p>
        </w:tc>
        <w:tc>
          <w:tcPr>
            <w:tcW w:type="dxa" w:w="2040"/>
            <w:shd w:fill="183B56"/>
            <w:tcMar>
              <w:top w:w="65" w:type="dxa"/>
              <w:start w:w="75" w:type="dxa"/>
              <w:bottom w:w="65" w:type="dxa"/>
              <w:end w:w="75" w:type="dxa"/>
            </w:tcMar>
            <w:vAlign w:val="center"/>
          </w:tcPr>
          <w:p>
            <w:pPr>
              <w:keepNext w:val="0"/>
              <w:spacing w:before="0" w:after="0" w:line="240" w:lineRule="auto"/>
              <w:jc w:val="center"/>
            </w:pPr>
            <w:r>
              <w:rPr>
                <w:rFonts w:ascii="Liberation Sans" w:hAnsi="Liberation Sans" w:eastAsia="Liberation Sans"/>
                <w:b/>
                <w:color w:val="FFFFFF"/>
                <w:sz w:val="16"/>
              </w:rPr>
              <w:t>Gatavība</w:t>
            </w:r>
          </w:p>
        </w:tc>
        <w:tc>
          <w:tcPr>
            <w:tcW w:type="dxa" w:w="2948"/>
            <w:shd w:fill="183B56"/>
            <w:tcMar>
              <w:top w:w="65" w:type="dxa"/>
              <w:start w:w="75" w:type="dxa"/>
              <w:bottom w:w="65" w:type="dxa"/>
              <w:end w:w="75" w:type="dxa"/>
            </w:tcMar>
            <w:vAlign w:val="center"/>
          </w:tcPr>
          <w:p>
            <w:pPr>
              <w:keepNext w:val="0"/>
              <w:spacing w:before="0" w:after="0" w:line="240" w:lineRule="auto"/>
              <w:jc w:val="left"/>
            </w:pPr>
            <w:r>
              <w:rPr>
                <w:rFonts w:ascii="Liberation Sans" w:hAnsi="Liberation Sans" w:eastAsia="Liberation Sans"/>
                <w:b/>
                <w:color w:val="FFFFFF"/>
                <w:sz w:val="16"/>
              </w:rPr>
              <w:t>Pierādīts tagad</w:t>
            </w:r>
          </w:p>
        </w:tc>
        <w:tc>
          <w:tcPr>
            <w:tcW w:type="dxa" w:w="3401"/>
            <w:shd w:fill="183B56"/>
            <w:tcMar>
              <w:top w:w="65" w:type="dxa"/>
              <w:start w:w="75" w:type="dxa"/>
              <w:bottom w:w="65" w:type="dxa"/>
              <w:end w:w="75" w:type="dxa"/>
            </w:tcMar>
            <w:vAlign w:val="center"/>
          </w:tcPr>
          <w:p>
            <w:pPr>
              <w:keepNext w:val="0"/>
              <w:spacing w:before="0" w:after="0" w:line="240" w:lineRule="auto"/>
              <w:jc w:val="left"/>
            </w:pPr>
            <w:r>
              <w:rPr>
                <w:rFonts w:ascii="Liberation Sans" w:hAnsi="Liberation Sans" w:eastAsia="Liberation Sans"/>
                <w:b/>
                <w:color w:val="FFFFFF"/>
                <w:sz w:val="16"/>
              </w:rPr>
              <w:t>Atlikušais darbs</w:t>
            </w:r>
          </w:p>
        </w:tc>
      </w:tr>
      <w:tr>
        <w:trPr>
          <w:cantSplit/>
        </w:trPr>
        <w:tc>
          <w:tcPr>
            <w:tcW w:type="dxa" w:w="1927"/>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b/>
                <w:color w:val="000000"/>
                <w:sz w:val="15"/>
              </w:rPr>
              <w:t>Publiskā virsma</w:t>
            </w:r>
          </w:p>
        </w:tc>
        <w:tc>
          <w:tcPr>
            <w:tcW w:type="dxa" w:w="2040"/>
            <w:tcMar>
              <w:top w:w="48" w:type="dxa"/>
              <w:start w:w="62" w:type="dxa"/>
              <w:bottom w:w="48" w:type="dxa"/>
              <w:end w:w="62" w:type="dxa"/>
            </w:tcMar>
            <w:vAlign w:val="center"/>
          </w:tcPr>
          <w:p>
            <w:pPr>
              <w:keepNext w:val="0"/>
              <w:spacing w:before="0" w:after="0" w:line="240" w:lineRule="auto"/>
              <w:jc w:val="center"/>
            </w:pPr>
            <w:r>
              <w:rPr>
                <w:rFonts w:ascii="Liberation Mono" w:hAnsi="Liberation Mono" w:eastAsia="Liberation Mono"/>
                <w:b/>
                <w:color w:val="1F6F5C"/>
                <w:sz w:val="17"/>
              </w:rPr>
              <w:t>■■■■■■■■■</w:t>
            </w:r>
            <w:r>
              <w:rPr>
                <w:rFonts w:ascii="Liberation Mono" w:hAnsi="Liberation Mono" w:eastAsia="Liberation Mono"/>
                <w:b/>
                <w:color w:val="DDE2E7"/>
                <w:sz w:val="17"/>
              </w:rPr>
              <w:t>■</w:t>
            </w:r>
            <w:r>
              <w:rPr>
                <w:rFonts w:ascii="Liberation Sans" w:hAnsi="Liberation Sans" w:eastAsia="Liberation Sans"/>
                <w:b/>
                <w:color w:val="000000"/>
                <w:sz w:val="17"/>
              </w:rPr>
              <w:t xml:space="preserve">  92%</w:t>
            </w:r>
          </w:p>
        </w:tc>
        <w:tc>
          <w:tcPr>
            <w:tcW w:type="dxa" w:w="294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Minimāla /api/health atbilde, noteikts publisko lauku saraksts un sekmīgas anonīmās pārbaudes.</w:t>
            </w:r>
          </w:p>
        </w:tc>
        <w:tc>
          <w:tcPr>
            <w:tcW w:type="dxa" w:w="3401"/>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Perimetra pieprasījumu ierobežojumi un pārējo publisko datu projekciju periodiska pārbaude.</w:t>
            </w:r>
          </w:p>
        </w:tc>
      </w:tr>
      <w:tr>
        <w:trPr>
          <w:cantSplit/>
        </w:trPr>
        <w:tc>
          <w:tcPr>
            <w:tcW w:type="dxa" w:w="1927"/>
            <w:shd w:fill="EEF5F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b/>
                <w:color w:val="000000"/>
                <w:sz w:val="15"/>
              </w:rPr>
              <w:t>Izlaidumi un atkopšana</w:t>
            </w:r>
          </w:p>
        </w:tc>
        <w:tc>
          <w:tcPr>
            <w:tcW w:type="dxa" w:w="2040"/>
            <w:shd w:fill="EEF5F8"/>
            <w:tcMar>
              <w:top w:w="48" w:type="dxa"/>
              <w:start w:w="62" w:type="dxa"/>
              <w:bottom w:w="48" w:type="dxa"/>
              <w:end w:w="62" w:type="dxa"/>
            </w:tcMar>
            <w:vAlign w:val="center"/>
          </w:tcPr>
          <w:p>
            <w:pPr>
              <w:keepNext w:val="0"/>
              <w:spacing w:before="0" w:after="0" w:line="240" w:lineRule="auto"/>
              <w:jc w:val="center"/>
            </w:pPr>
            <w:r>
              <w:rPr>
                <w:rFonts w:ascii="Liberation Mono" w:hAnsi="Liberation Mono" w:eastAsia="Liberation Mono"/>
                <w:b/>
                <w:color w:val="1F6F5C"/>
                <w:sz w:val="17"/>
              </w:rPr>
              <w:t>■■■■■■■■■</w:t>
            </w:r>
            <w:r>
              <w:rPr>
                <w:rFonts w:ascii="Liberation Mono" w:hAnsi="Liberation Mono" w:eastAsia="Liberation Mono"/>
                <w:b/>
                <w:color w:val="DDE2E7"/>
                <w:sz w:val="17"/>
              </w:rPr>
              <w:t>■</w:t>
            </w:r>
            <w:r>
              <w:rPr>
                <w:rFonts w:ascii="Liberation Sans" w:hAnsi="Liberation Sans" w:eastAsia="Liberation Sans"/>
                <w:b/>
                <w:color w:val="000000"/>
                <w:sz w:val="17"/>
              </w:rPr>
              <w:t xml:space="preserve">  90%</w:t>
            </w:r>
          </w:p>
        </w:tc>
        <w:tc>
          <w:tcPr>
            <w:tcW w:type="dxa" w:w="2948"/>
            <w:shd w:fill="EEF5F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Precīzs SHA, nemaināmi laidieni, restartēšana un atgriešanās pārbaudīta.</w:t>
            </w:r>
          </w:p>
        </w:tc>
        <w:tc>
          <w:tcPr>
            <w:tcW w:type="dxa" w:w="3401"/>
            <w:shd w:fill="EEF5F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Aizstāt Vite priekšskatījuma serveri; ieviest otru izcelsmes instanci vai pārbaudītu Worker vidi.</w:t>
            </w:r>
          </w:p>
        </w:tc>
      </w:tr>
      <w:tr>
        <w:trPr>
          <w:cantSplit/>
        </w:trPr>
        <w:tc>
          <w:tcPr>
            <w:tcW w:type="dxa" w:w="1927"/>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b/>
                <w:color w:val="000000"/>
                <w:sz w:val="15"/>
              </w:rPr>
              <w:t>MI un ārkārtas loģika</w:t>
            </w:r>
          </w:p>
        </w:tc>
        <w:tc>
          <w:tcPr>
            <w:tcW w:type="dxa" w:w="2040"/>
            <w:tcMar>
              <w:top w:w="48" w:type="dxa"/>
              <w:start w:w="62" w:type="dxa"/>
              <w:bottom w:w="48" w:type="dxa"/>
              <w:end w:w="62" w:type="dxa"/>
            </w:tcMar>
            <w:vAlign w:val="center"/>
          </w:tcPr>
          <w:p>
            <w:pPr>
              <w:keepNext w:val="0"/>
              <w:spacing w:before="0" w:after="0" w:line="240" w:lineRule="auto"/>
              <w:jc w:val="center"/>
            </w:pPr>
            <w:r>
              <w:rPr>
                <w:rFonts w:ascii="Liberation Mono" w:hAnsi="Liberation Mono" w:eastAsia="Liberation Mono"/>
                <w:b/>
                <w:color w:val="1F6F5C"/>
                <w:sz w:val="17"/>
              </w:rPr>
              <w:t>■■■■■■■■</w:t>
            </w:r>
            <w:r>
              <w:rPr>
                <w:rFonts w:ascii="Liberation Mono" w:hAnsi="Liberation Mono" w:eastAsia="Liberation Mono"/>
                <w:b/>
                <w:color w:val="DDE2E7"/>
                <w:sz w:val="17"/>
              </w:rPr>
              <w:t>■■</w:t>
            </w:r>
            <w:r>
              <w:rPr>
                <w:rFonts w:ascii="Liberation Sans" w:hAnsi="Liberation Sans" w:eastAsia="Liberation Sans"/>
                <w:b/>
                <w:color w:val="000000"/>
                <w:sz w:val="17"/>
              </w:rPr>
              <w:t xml:space="preserve">  82%</w:t>
            </w:r>
          </w:p>
        </w:tc>
        <w:tc>
          <w:tcPr>
            <w:tcW w:type="dxa" w:w="294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Ārkārtas atbilde pirms MI; publicē tikai cilvēks; shēmas un avoti.</w:t>
            </w:r>
          </w:p>
        </w:tc>
        <w:tc>
          <w:tcPr>
            <w:tcW w:type="dxa" w:w="3401"/>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Promptu injekcijas un pretinieka scenāriju pārbaudes, centralizēta telemetrija un drošs pakalpojuma atslēgšanas režīms.</w:t>
            </w:r>
          </w:p>
        </w:tc>
      </w:tr>
      <w:tr>
        <w:trPr>
          <w:cantSplit/>
        </w:trPr>
        <w:tc>
          <w:tcPr>
            <w:tcW w:type="dxa" w:w="1927"/>
            <w:shd w:fill="EEF5F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b/>
                <w:color w:val="000000"/>
                <w:sz w:val="15"/>
              </w:rPr>
              <w:t>Repozitorijs un piegādes ķēde</w:t>
            </w:r>
          </w:p>
        </w:tc>
        <w:tc>
          <w:tcPr>
            <w:tcW w:type="dxa" w:w="2040"/>
            <w:shd w:fill="EEF5F8"/>
            <w:tcMar>
              <w:top w:w="48" w:type="dxa"/>
              <w:start w:w="62" w:type="dxa"/>
              <w:bottom w:w="48" w:type="dxa"/>
              <w:end w:w="62" w:type="dxa"/>
            </w:tcMar>
            <w:vAlign w:val="center"/>
          </w:tcPr>
          <w:p>
            <w:pPr>
              <w:keepNext w:val="0"/>
              <w:spacing w:before="0" w:after="0" w:line="240" w:lineRule="auto"/>
              <w:jc w:val="center"/>
            </w:pPr>
            <w:r>
              <w:rPr>
                <w:rFonts w:ascii="Liberation Mono" w:hAnsi="Liberation Mono" w:eastAsia="Liberation Mono"/>
                <w:b/>
                <w:color w:val="2F6B8A"/>
                <w:sz w:val="17"/>
              </w:rPr>
              <w:t>■■■■■■■</w:t>
            </w:r>
            <w:r>
              <w:rPr>
                <w:rFonts w:ascii="Liberation Mono" w:hAnsi="Liberation Mono" w:eastAsia="Liberation Mono"/>
                <w:b/>
                <w:color w:val="DDE2E7"/>
                <w:sz w:val="17"/>
              </w:rPr>
              <w:t>■■■</w:t>
            </w:r>
            <w:r>
              <w:rPr>
                <w:rFonts w:ascii="Liberation Sans" w:hAnsi="Liberation Sans" w:eastAsia="Liberation Sans"/>
                <w:b/>
                <w:color w:val="000000"/>
                <w:sz w:val="17"/>
              </w:rPr>
              <w:t xml:space="preserve">  74%</w:t>
            </w:r>
          </w:p>
        </w:tc>
        <w:tc>
          <w:tcPr>
            <w:tcW w:type="dxa" w:w="2948"/>
            <w:shd w:fill="EEF5F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CI, 32 pārbaudes, būvējums, kritisku atkarību vārti, Dependabot un CODEOWNERS.</w:t>
            </w:r>
          </w:p>
        </w:tc>
        <w:tc>
          <w:tcPr>
            <w:tcW w:type="dxa" w:w="3401"/>
            <w:shd w:fill="EEF5F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Galvenā zara aizsardzība, drošības brīdinājumi un augsto un vidējo atkarību sasniedzamības analīze.</w:t>
            </w:r>
          </w:p>
        </w:tc>
      </w:tr>
      <w:tr>
        <w:trPr>
          <w:cantSplit/>
        </w:trPr>
        <w:tc>
          <w:tcPr>
            <w:tcW w:type="dxa" w:w="1927"/>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b/>
                <w:color w:val="000000"/>
                <w:sz w:val="15"/>
              </w:rPr>
              <w:t>Dati un Supabase</w:t>
            </w:r>
          </w:p>
        </w:tc>
        <w:tc>
          <w:tcPr>
            <w:tcW w:type="dxa" w:w="2040"/>
            <w:tcMar>
              <w:top w:w="48" w:type="dxa"/>
              <w:start w:w="62" w:type="dxa"/>
              <w:bottom w:w="48" w:type="dxa"/>
              <w:end w:w="62" w:type="dxa"/>
            </w:tcMar>
            <w:vAlign w:val="center"/>
          </w:tcPr>
          <w:p>
            <w:pPr>
              <w:keepNext w:val="0"/>
              <w:spacing w:before="0" w:after="0" w:line="240" w:lineRule="auto"/>
              <w:jc w:val="center"/>
            </w:pPr>
            <w:r>
              <w:rPr>
                <w:rFonts w:ascii="Liberation Mono" w:hAnsi="Liberation Mono" w:eastAsia="Liberation Mono"/>
                <w:b/>
                <w:color w:val="2F6B8A"/>
                <w:sz w:val="17"/>
              </w:rPr>
              <w:t>■■■■■■</w:t>
            </w:r>
            <w:r>
              <w:rPr>
                <w:rFonts w:ascii="Liberation Mono" w:hAnsi="Liberation Mono" w:eastAsia="Liberation Mono"/>
                <w:b/>
                <w:color w:val="DDE2E7"/>
                <w:sz w:val="17"/>
              </w:rPr>
              <w:t>■■■■</w:t>
            </w:r>
            <w:r>
              <w:rPr>
                <w:rFonts w:ascii="Liberation Sans" w:hAnsi="Liberation Sans" w:eastAsia="Liberation Sans"/>
                <w:b/>
                <w:color w:val="000000"/>
                <w:sz w:val="17"/>
              </w:rPr>
              <w:t xml:space="preserve">  65%</w:t>
            </w:r>
          </w:p>
        </w:tc>
        <w:tc>
          <w:tcPr>
            <w:tcW w:type="dxa" w:w="294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Servera atslēgas, noturīga glabātuve, lauku minimizācija un validācija.</w:t>
            </w:r>
          </w:p>
        </w:tc>
        <w:tc>
          <w:tcPr>
            <w:tcW w:type="dxa" w:w="3401"/>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Datu karte, ietekmes uz datu aizsardzību novērtējums, glabāšana un dzēšana, minimālas datubāzes lomas, audits un atjaunošanas tests.</w:t>
            </w:r>
          </w:p>
        </w:tc>
      </w:tr>
    </w:tbl>
    <w:p>
      <w:pPr>
        <w:sectPr>
          <w:pgSz w:w="11906" w:h="16838"/>
          <w:pgMar w:top="567" w:right="737" w:bottom="567" w:left="737" w:header="227" w:footer="227" w:gutter="0"/>
          <w:cols w:space="720"/>
          <w:docGrid w:linePitch="360"/>
        </w:sectPr>
      </w:pPr>
    </w:p>
    <w:p>
      <w:pPr>
        <w:pStyle w:val="Heading2"/>
        <w:keepNext/>
        <w:spacing w:before="0" w:after="60" w:line="240" w:lineRule="auto"/>
      </w:pPr>
      <w:r>
        <w:rPr>
          <w:rFonts w:ascii="Liberation Sans" w:hAnsi="Liberation Sans" w:eastAsia="Liberation Sans"/>
          <w:b/>
          <w:color w:val="000000"/>
          <w:sz w:val="21"/>
        </w:rPr>
        <w:t>Izolēto aspektu drošības stāvoklis — turpinājums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08"/>
        <w:gridCol w:w="2608"/>
        <w:gridCol w:w="2608"/>
        <w:gridCol w:w="2608"/>
      </w:tblGrid>
      <w:tr>
        <w:trPr>
          <w:tblHeader w:val="true"/>
        </w:trPr>
        <w:tc>
          <w:tcPr>
            <w:tcW w:type="dxa" w:w="1927"/>
            <w:shd w:fill="183B56"/>
            <w:tcMar>
              <w:top w:w="65" w:type="dxa"/>
              <w:start w:w="75" w:type="dxa"/>
              <w:bottom w:w="65" w:type="dxa"/>
              <w:end w:w="75" w:type="dxa"/>
            </w:tcMar>
            <w:vAlign w:val="center"/>
          </w:tcPr>
          <w:p>
            <w:pPr>
              <w:keepNext w:val="0"/>
              <w:spacing w:before="0" w:after="0" w:line="240" w:lineRule="auto"/>
              <w:jc w:val="left"/>
            </w:pPr>
            <w:r>
              <w:rPr>
                <w:rFonts w:ascii="Liberation Sans" w:hAnsi="Liberation Sans" w:eastAsia="Liberation Sans"/>
                <w:b/>
                <w:color w:val="FFFFFF"/>
                <w:sz w:val="16"/>
              </w:rPr>
              <w:t>Aspekts</w:t>
            </w:r>
          </w:p>
        </w:tc>
        <w:tc>
          <w:tcPr>
            <w:tcW w:type="dxa" w:w="2040"/>
            <w:shd w:fill="183B56"/>
            <w:tcMar>
              <w:top w:w="65" w:type="dxa"/>
              <w:start w:w="75" w:type="dxa"/>
              <w:bottom w:w="65" w:type="dxa"/>
              <w:end w:w="75" w:type="dxa"/>
            </w:tcMar>
            <w:vAlign w:val="center"/>
          </w:tcPr>
          <w:p>
            <w:pPr>
              <w:keepNext w:val="0"/>
              <w:spacing w:before="0" w:after="0" w:line="240" w:lineRule="auto"/>
              <w:jc w:val="center"/>
            </w:pPr>
            <w:r>
              <w:rPr>
                <w:rFonts w:ascii="Liberation Sans" w:hAnsi="Liberation Sans" w:eastAsia="Liberation Sans"/>
                <w:b/>
                <w:color w:val="FFFFFF"/>
                <w:sz w:val="16"/>
              </w:rPr>
              <w:t>Gatavība</w:t>
            </w:r>
          </w:p>
        </w:tc>
        <w:tc>
          <w:tcPr>
            <w:tcW w:type="dxa" w:w="2948"/>
            <w:shd w:fill="183B56"/>
            <w:tcMar>
              <w:top w:w="65" w:type="dxa"/>
              <w:start w:w="75" w:type="dxa"/>
              <w:bottom w:w="65" w:type="dxa"/>
              <w:end w:w="75" w:type="dxa"/>
            </w:tcMar>
            <w:vAlign w:val="center"/>
          </w:tcPr>
          <w:p>
            <w:pPr>
              <w:keepNext w:val="0"/>
              <w:spacing w:before="0" w:after="0" w:line="240" w:lineRule="auto"/>
              <w:jc w:val="left"/>
            </w:pPr>
            <w:r>
              <w:rPr>
                <w:rFonts w:ascii="Liberation Sans" w:hAnsi="Liberation Sans" w:eastAsia="Liberation Sans"/>
                <w:b/>
                <w:color w:val="FFFFFF"/>
                <w:sz w:val="16"/>
              </w:rPr>
              <w:t>Pierādīts tagad</w:t>
            </w:r>
          </w:p>
        </w:tc>
        <w:tc>
          <w:tcPr>
            <w:tcW w:type="dxa" w:w="3401"/>
            <w:shd w:fill="183B56"/>
            <w:tcMar>
              <w:top w:w="65" w:type="dxa"/>
              <w:start w:w="75" w:type="dxa"/>
              <w:bottom w:w="65" w:type="dxa"/>
              <w:end w:w="75" w:type="dxa"/>
            </w:tcMar>
            <w:vAlign w:val="center"/>
          </w:tcPr>
          <w:p>
            <w:pPr>
              <w:keepNext w:val="0"/>
              <w:spacing w:before="0" w:after="0" w:line="240" w:lineRule="auto"/>
              <w:jc w:val="left"/>
            </w:pPr>
            <w:r>
              <w:rPr>
                <w:rFonts w:ascii="Liberation Sans" w:hAnsi="Liberation Sans" w:eastAsia="Liberation Sans"/>
                <w:b/>
                <w:color w:val="FFFFFF"/>
                <w:sz w:val="16"/>
              </w:rPr>
              <w:t>Atlikušais darbs</w:t>
            </w:r>
          </w:p>
        </w:tc>
      </w:tr>
      <w:tr>
        <w:trPr>
          <w:cantSplit/>
        </w:trPr>
        <w:tc>
          <w:tcPr>
            <w:tcW w:type="dxa" w:w="1927"/>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b/>
                <w:color w:val="000000"/>
                <w:sz w:val="15"/>
              </w:rPr>
              <w:t>Identitāte un sesijas</w:t>
            </w:r>
          </w:p>
        </w:tc>
        <w:tc>
          <w:tcPr>
            <w:tcW w:type="dxa" w:w="2040"/>
            <w:tcMar>
              <w:top w:w="48" w:type="dxa"/>
              <w:start w:w="62" w:type="dxa"/>
              <w:bottom w:w="48" w:type="dxa"/>
              <w:end w:w="62" w:type="dxa"/>
            </w:tcMar>
            <w:vAlign w:val="center"/>
          </w:tcPr>
          <w:p>
            <w:pPr>
              <w:keepNext w:val="0"/>
              <w:spacing w:before="0" w:after="0" w:line="240" w:lineRule="auto"/>
              <w:jc w:val="center"/>
            </w:pPr>
            <w:r>
              <w:rPr>
                <w:rFonts w:ascii="Liberation Mono" w:hAnsi="Liberation Mono" w:eastAsia="Liberation Mono"/>
                <w:b/>
                <w:color w:val="A56A16"/>
                <w:sz w:val="17"/>
              </w:rPr>
              <w:t>■■■■■■</w:t>
            </w:r>
            <w:r>
              <w:rPr>
                <w:rFonts w:ascii="Liberation Mono" w:hAnsi="Liberation Mono" w:eastAsia="Liberation Mono"/>
                <w:b/>
                <w:color w:val="DDE2E7"/>
                <w:sz w:val="17"/>
              </w:rPr>
              <w:t>■■■■</w:t>
            </w:r>
            <w:r>
              <w:rPr>
                <w:rFonts w:ascii="Liberation Sans" w:hAnsi="Liberation Sans" w:eastAsia="Liberation Sans"/>
                <w:b/>
                <w:color w:val="000000"/>
                <w:sz w:val="17"/>
              </w:rPr>
              <w:t xml:space="preserve">  58%</w:t>
            </w:r>
          </w:p>
        </w:tc>
        <w:tc>
          <w:tcPr>
            <w:tcW w:type="dxa" w:w="294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Droši sīkfaili, izcelsmes pārbaudes, iekšējā diagnostika pieejama tikai autentificētā sesijā.</w:t>
            </w:r>
          </w:p>
        </w:tc>
        <w:tc>
          <w:tcPr>
            <w:tcW w:type="dxa" w:w="3401"/>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Individuāli konti, MFA, sesiju atsaukšana, ierīču pārvaldība un darbību attiecināmība.</w:t>
            </w:r>
          </w:p>
        </w:tc>
      </w:tr>
      <w:tr>
        <w:trPr>
          <w:cantSplit/>
        </w:trPr>
        <w:tc>
          <w:tcPr>
            <w:tcW w:type="dxa" w:w="1927"/>
            <w:shd w:fill="EEF5F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b/>
                <w:color w:val="000000"/>
                <w:sz w:val="15"/>
              </w:rPr>
              <w:t>Faili</w:t>
            </w:r>
          </w:p>
        </w:tc>
        <w:tc>
          <w:tcPr>
            <w:tcW w:type="dxa" w:w="2040"/>
            <w:shd w:fill="EEF5F8"/>
            <w:tcMar>
              <w:top w:w="48" w:type="dxa"/>
              <w:start w:w="62" w:type="dxa"/>
              <w:bottom w:w="48" w:type="dxa"/>
              <w:end w:w="62" w:type="dxa"/>
            </w:tcMar>
            <w:vAlign w:val="center"/>
          </w:tcPr>
          <w:p>
            <w:pPr>
              <w:keepNext w:val="0"/>
              <w:spacing w:before="0" w:after="0" w:line="240" w:lineRule="auto"/>
              <w:jc w:val="center"/>
            </w:pPr>
            <w:r>
              <w:rPr>
                <w:rFonts w:ascii="Liberation Mono" w:hAnsi="Liberation Mono" w:eastAsia="Liberation Mono"/>
                <w:b/>
                <w:color w:val="A56A16"/>
                <w:sz w:val="17"/>
              </w:rPr>
              <w:t>■■■■■■</w:t>
            </w:r>
            <w:r>
              <w:rPr>
                <w:rFonts w:ascii="Liberation Mono" w:hAnsi="Liberation Mono" w:eastAsia="Liberation Mono"/>
                <w:b/>
                <w:color w:val="DDE2E7"/>
                <w:sz w:val="17"/>
              </w:rPr>
              <w:t>■■■■</w:t>
            </w:r>
            <w:r>
              <w:rPr>
                <w:rFonts w:ascii="Liberation Sans" w:hAnsi="Liberation Sans" w:eastAsia="Liberation Sans"/>
                <w:b/>
                <w:color w:val="000000"/>
                <w:sz w:val="17"/>
              </w:rPr>
              <w:t xml:space="preserve">  55%</w:t>
            </w:r>
          </w:p>
        </w:tc>
        <w:tc>
          <w:tcPr>
            <w:tcW w:type="dxa" w:w="2948"/>
            <w:shd w:fill="EEF5F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Privāta glabāšana, īpašnieka, izmēra un deklarētā tipa pārbaudes.</w:t>
            </w:r>
          </w:p>
        </w:tc>
        <w:tc>
          <w:tcPr>
            <w:tcW w:type="dxa" w:w="3401"/>
            <w:shd w:fill="EEF5F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Karantīna, ļaunprogrammatūras skenēšana un droša satura pārkodēšana.</w:t>
            </w:r>
          </w:p>
        </w:tc>
      </w:tr>
      <w:tr>
        <w:trPr>
          <w:cantSplit/>
        </w:trPr>
        <w:tc>
          <w:tcPr>
            <w:tcW w:type="dxa" w:w="1927"/>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b/>
                <w:color w:val="000000"/>
                <w:sz w:val="15"/>
              </w:rPr>
              <w:t>Cloudflare perimetrs</w:t>
            </w:r>
          </w:p>
        </w:tc>
        <w:tc>
          <w:tcPr>
            <w:tcW w:type="dxa" w:w="2040"/>
            <w:tcMar>
              <w:top w:w="48" w:type="dxa"/>
              <w:start w:w="62" w:type="dxa"/>
              <w:bottom w:w="48" w:type="dxa"/>
              <w:end w:w="62" w:type="dxa"/>
            </w:tcMar>
            <w:vAlign w:val="center"/>
          </w:tcPr>
          <w:p>
            <w:pPr>
              <w:keepNext w:val="0"/>
              <w:spacing w:before="0" w:after="0" w:line="240" w:lineRule="auto"/>
              <w:jc w:val="center"/>
            </w:pPr>
            <w:r>
              <w:rPr>
                <w:rFonts w:ascii="Liberation Mono" w:hAnsi="Liberation Mono" w:eastAsia="Liberation Mono"/>
                <w:b/>
                <w:color w:val="A13D3D"/>
                <w:sz w:val="17"/>
              </w:rPr>
              <w:t>■■■■</w:t>
            </w:r>
            <w:r>
              <w:rPr>
                <w:rFonts w:ascii="Liberation Mono" w:hAnsi="Liberation Mono" w:eastAsia="Liberation Mono"/>
                <w:b/>
                <w:color w:val="DDE2E7"/>
                <w:sz w:val="17"/>
              </w:rPr>
              <w:t>■■■■■■</w:t>
            </w:r>
            <w:r>
              <w:rPr>
                <w:rFonts w:ascii="Liberation Sans" w:hAnsi="Liberation Sans" w:eastAsia="Liberation Sans"/>
                <w:b/>
                <w:color w:val="000000"/>
                <w:sz w:val="17"/>
              </w:rPr>
              <w:t xml:space="preserve">  45%</w:t>
            </w:r>
          </w:p>
        </w:tc>
        <w:tc>
          <w:tcPr>
            <w:tcW w:type="dxa" w:w="294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Cloudflare reversais starpniekserveris un tunelis; lietotnes pieprasījumu ierobežojumi; anonīma datu atsvaidzināšana ir slēgta.</w:t>
            </w:r>
          </w:p>
        </w:tc>
        <w:tc>
          <w:tcPr>
            <w:tcW w:type="dxa" w:w="3401"/>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R1 MI API un R3 pieteikšanās ātruma ierobežojumi, WAF un Security Events pārbaude.</w:t>
            </w:r>
          </w:p>
        </w:tc>
      </w:tr>
      <w:tr>
        <w:trPr>
          <w:cantSplit/>
        </w:trPr>
        <w:tc>
          <w:tcPr>
            <w:tcW w:type="dxa" w:w="1927"/>
            <w:shd w:fill="EEF5F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b/>
                <w:color w:val="000000"/>
                <w:sz w:val="15"/>
              </w:rPr>
              <w:t>Misijas un brīvprātīgie</w:t>
            </w:r>
          </w:p>
        </w:tc>
        <w:tc>
          <w:tcPr>
            <w:tcW w:type="dxa" w:w="2040"/>
            <w:shd w:fill="EEF5F8"/>
            <w:tcMar>
              <w:top w:w="48" w:type="dxa"/>
              <w:start w:w="62" w:type="dxa"/>
              <w:bottom w:w="48" w:type="dxa"/>
              <w:end w:w="62" w:type="dxa"/>
            </w:tcMar>
            <w:vAlign w:val="center"/>
          </w:tcPr>
          <w:p>
            <w:pPr>
              <w:keepNext w:val="0"/>
              <w:spacing w:before="0" w:after="0" w:line="240" w:lineRule="auto"/>
              <w:jc w:val="center"/>
            </w:pPr>
            <w:r>
              <w:rPr>
                <w:rFonts w:ascii="Liberation Mono" w:hAnsi="Liberation Mono" w:eastAsia="Liberation Mono"/>
                <w:b/>
                <w:color w:val="A13D3D"/>
                <w:sz w:val="17"/>
              </w:rPr>
              <w:t>■■■■</w:t>
            </w:r>
            <w:r>
              <w:rPr>
                <w:rFonts w:ascii="Liberation Mono" w:hAnsi="Liberation Mono" w:eastAsia="Liberation Mono"/>
                <w:b/>
                <w:color w:val="DDE2E7"/>
                <w:sz w:val="17"/>
              </w:rPr>
              <w:t>■■■■■■</w:t>
            </w:r>
            <w:r>
              <w:rPr>
                <w:rFonts w:ascii="Liberation Sans" w:hAnsi="Liberation Sans" w:eastAsia="Liberation Sans"/>
                <w:b/>
                <w:color w:val="000000"/>
                <w:sz w:val="17"/>
              </w:rPr>
              <w:t xml:space="preserve">  45%</w:t>
            </w:r>
          </w:p>
        </w:tc>
        <w:tc>
          <w:tcPr>
            <w:tcW w:type="dxa" w:w="2948"/>
            <w:shd w:fill="EEF5F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Cilvēka apstiprinājums publicēšanai, versiju kontrole, atkārtotu pieprasījumu drošums un pamata auditācijas pieraksti.</w:t>
            </w:r>
          </w:p>
        </w:tc>
        <w:tc>
          <w:tcPr>
            <w:tcW w:type="dxa" w:w="3401"/>
            <w:shd w:fill="EEF5F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Kompetences un riska pārbaudes, četru acu princips, piekrišana un tās atsaukšana.</w:t>
            </w:r>
          </w:p>
        </w:tc>
      </w:tr>
      <w:tr>
        <w:trPr>
          <w:cantSplit/>
        </w:trPr>
        <w:tc>
          <w:tcPr>
            <w:tcW w:type="dxa" w:w="1927"/>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b/>
                <w:color w:val="000000"/>
                <w:sz w:val="15"/>
              </w:rPr>
              <w:t>Uzraudzība un incidenti</w:t>
            </w:r>
          </w:p>
        </w:tc>
        <w:tc>
          <w:tcPr>
            <w:tcW w:type="dxa" w:w="2040"/>
            <w:tcMar>
              <w:top w:w="48" w:type="dxa"/>
              <w:start w:w="62" w:type="dxa"/>
              <w:bottom w:w="48" w:type="dxa"/>
              <w:end w:w="62" w:type="dxa"/>
            </w:tcMar>
            <w:vAlign w:val="center"/>
          </w:tcPr>
          <w:p>
            <w:pPr>
              <w:keepNext w:val="0"/>
              <w:spacing w:before="0" w:after="0" w:line="240" w:lineRule="auto"/>
              <w:jc w:val="center"/>
            </w:pPr>
            <w:r>
              <w:rPr>
                <w:rFonts w:ascii="Liberation Mono" w:hAnsi="Liberation Mono" w:eastAsia="Liberation Mono"/>
                <w:b/>
                <w:color w:val="A56A16"/>
                <w:sz w:val="17"/>
              </w:rPr>
              <w:t>■■■■■■</w:t>
            </w:r>
            <w:r>
              <w:rPr>
                <w:rFonts w:ascii="Liberation Mono" w:hAnsi="Liberation Mono" w:eastAsia="Liberation Mono"/>
                <w:b/>
                <w:color w:val="DDE2E7"/>
                <w:sz w:val="17"/>
              </w:rPr>
              <w:t>■■■■</w:t>
            </w:r>
            <w:r>
              <w:rPr>
                <w:rFonts w:ascii="Liberation Sans" w:hAnsi="Liberation Sans" w:eastAsia="Liberation Sans"/>
                <w:b/>
                <w:color w:val="000000"/>
                <w:sz w:val="17"/>
              </w:rPr>
              <w:t xml:space="preserve">  55%</w:t>
            </w:r>
          </w:p>
        </w:tc>
        <w:tc>
          <w:tcPr>
            <w:tcW w:type="dxa" w:w="2948"/>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Minimāla veselības pārbaude, uzraudzīti procesi un pārbaudīta atgriešanās.</w:t>
            </w:r>
          </w:p>
        </w:tc>
        <w:tc>
          <w:tcPr>
            <w:tcW w:type="dxa" w:w="3401"/>
            <w:tcMar>
              <w:top w:w="48" w:type="dxa"/>
              <w:start w:w="62" w:type="dxa"/>
              <w:bottom w:w="48" w:type="dxa"/>
              <w:end w:w="62" w:type="dxa"/>
            </w:tcMar>
            <w:vAlign w:val="center"/>
          </w:tcPr>
          <w:p>
            <w:pPr>
              <w:keepNext w:val="0"/>
              <w:spacing w:before="0" w:after="0" w:line="240" w:lineRule="auto"/>
            </w:pPr>
            <w:r>
              <w:rPr>
                <w:rFonts w:ascii="Liberation Sans" w:hAnsi="Liberation Sans" w:eastAsia="Liberation Sans"/>
                <w:color w:val="000000"/>
                <w:sz w:val="15"/>
              </w:rPr>
              <w:t>Pieejamības un ļaunprātīgas izmantošanas brīdinājumi, incidentu plāns, rezerves kopijas atjaunošana un galda mācības.</w:t>
            </w:r>
          </w:p>
        </w:tc>
      </w:tr>
    </w:tbl>
    <w:p>
      <w:pPr>
        <w:pStyle w:val="Heading1"/>
        <w:keepNext/>
        <w:spacing w:before="80" w:after="20" w:line="240" w:lineRule="auto"/>
      </w:pPr>
      <w:r>
        <w:rPr>
          <w:rFonts w:ascii="Liberation Sans" w:hAnsi="Liberation Sans" w:eastAsia="Liberation Sans"/>
          <w:b/>
          <w:color w:val="000000"/>
          <w:sz w:val="26"/>
        </w:rPr>
        <w:t>Svarīgākie atlikušā darba īpašnieki</w:t>
      </w:r>
    </w:p>
    <w:p>
      <w:pPr>
        <w:pStyle w:val="ListBullet"/>
        <w:keepNext w:val="0"/>
        <w:spacing w:before="0" w:after="14" w:line="245" w:lineRule="auto"/>
        <w:ind w:left="255" w:hanging="142"/>
      </w:pPr>
      <w:r>
        <w:rPr>
          <w:rFonts w:ascii="Liberation Sans" w:hAnsi="Liberation Sans" w:eastAsia="Liberation Sans"/>
          <w:b/>
          <w:color w:val="000000"/>
          <w:sz w:val="16"/>
        </w:rPr>
        <w:t xml:space="preserve">Cloudflare zonas administrators — ieteicamais termiņš 2026. gada 17. septembris  </w:t>
      </w:r>
      <w:r>
        <w:rPr>
          <w:rFonts w:ascii="Liberation Sans" w:hAnsi="Liberation Sans" w:eastAsia="Liberation Sans"/>
          <w:color w:val="000000"/>
          <w:sz w:val="16"/>
        </w:rPr>
        <w:t>ieviest R1 MI API un R3 pieteikšanās ātruma ierobežojumus ar Managed Challenge, pēc tam septiņas dienas pārskatīt Security Events žurnālu. Ja prezentācija ir agrāk, ierobežojums jānorāda un lietotnes aizsardzība jāsaglabā kā kompensējoša kontrole.</w:t>
      </w:r>
    </w:p>
    <w:p>
      <w:pPr>
        <w:pStyle w:val="ListBullet"/>
        <w:keepNext w:val="0"/>
        <w:spacing w:before="0" w:after="14" w:line="245" w:lineRule="auto"/>
        <w:ind w:left="255" w:hanging="142"/>
      </w:pPr>
      <w:r>
        <w:rPr>
          <w:rFonts w:ascii="Liberation Sans" w:hAnsi="Liberation Sans" w:eastAsia="Liberation Sans"/>
          <w:b/>
          <w:color w:val="000000"/>
          <w:sz w:val="16"/>
        </w:rPr>
        <w:t xml:space="preserve">GitHub repozitorija administrators — ieteicamais termiņš 2026. gada 17. septembris  </w:t>
      </w:r>
      <w:r>
        <w:rPr>
          <w:rFonts w:ascii="Liberation Sans" w:hAnsi="Liberation Sans" w:eastAsia="Liberation Sans"/>
          <w:color w:val="000000"/>
          <w:sz w:val="16"/>
        </w:rPr>
        <w:t>aizsargāt galveno zaru main ar obligātu PR, CI pārbaudi verify un CODEOWNERS apstiprinājumu; aizliegt piespiedu pārrakstīšanu un dzēšanu; ieslēgt pieejamos Dependabot un slepeno datu noplūdes brīdinājumus.</w:t>
      </w:r>
    </w:p>
    <w:p>
      <w:pPr>
        <w:pStyle w:val="ListBullet"/>
        <w:keepNext w:val="0"/>
        <w:spacing w:before="0" w:after="14" w:line="245" w:lineRule="auto"/>
        <w:ind w:left="255" w:hanging="142"/>
      </w:pPr>
      <w:r>
        <w:rPr>
          <w:rFonts w:ascii="Liberation Sans" w:hAnsi="Liberation Sans" w:eastAsia="Liberation Sans"/>
          <w:b/>
          <w:color w:val="000000"/>
          <w:sz w:val="16"/>
        </w:rPr>
        <w:t xml:space="preserve">Infrastruktūras īpašnieks — ieteicamais termiņš 2026. gada 10. oktobris  </w:t>
      </w:r>
      <w:r>
        <w:rPr>
          <w:rFonts w:ascii="Liberation Sans" w:hAnsi="Liberation Sans" w:eastAsia="Liberation Sans"/>
          <w:color w:val="000000"/>
          <w:sz w:val="16"/>
        </w:rPr>
        <w:t>aizstāt Vite priekšskatījuma serveri ar atbalstītu ražošanas izpildvidi vai pārbaudīt Worker migrāciju pirmsražošanas domēnā; pievienot pieejamības brīdinājumus.</w:t>
      </w:r>
    </w:p>
    <w:p>
      <w:pPr>
        <w:pStyle w:val="ListBullet"/>
        <w:keepNext w:val="0"/>
        <w:spacing w:before="0" w:after="20" w:line="245" w:lineRule="auto"/>
        <w:ind w:left="255" w:hanging="142"/>
      </w:pPr>
      <w:r>
        <w:rPr>
          <w:rFonts w:ascii="Liberation Sans" w:hAnsi="Liberation Sans" w:eastAsia="Liberation Sans"/>
          <w:b/>
          <w:color w:val="000000"/>
          <w:sz w:val="16"/>
        </w:rPr>
        <w:t xml:space="preserve">Produkta privātuma un drošības īpašnieki — pirms personas datu pilota  </w:t>
      </w:r>
      <w:r>
        <w:rPr>
          <w:rFonts w:ascii="Liberation Sans" w:hAnsi="Liberation Sans" w:eastAsia="Liberation Sans"/>
          <w:color w:val="000000"/>
          <w:sz w:val="16"/>
        </w:rPr>
        <w:t>pabeigt datu karti un novērtējumu par ietekmi uz datu aizsardzību (NIDA), ieviest individuālus lietotāju kontus un MFA, sesiju atsaukšanu, failu karantīnu, misiju riska pārbaudes un rezerves kopiju atjaunošanas mācības.</w:t>
      </w:r>
    </w:p>
    <w:p>
      <w:pPr>
        <w:keepNext w:val="0"/>
        <w:spacing w:before="40" w:after="20" w:line="245" w:lineRule="auto"/>
      </w:pPr>
      <w:r>
        <w:rPr>
          <w:rFonts w:ascii="Liberation Sans" w:hAnsi="Liberation Sans" w:eastAsia="Liberation Sans"/>
          <w:b/>
          <w:color w:val="000000"/>
          <w:sz w:val="16"/>
        </w:rPr>
        <w:t xml:space="preserve">Galvenie uzbrukuma ceļi  </w:t>
      </w:r>
      <w:r>
        <w:rPr>
          <w:rFonts w:ascii="Liberation Sans" w:hAnsi="Liberation Sans" w:eastAsia="Liberation Sans"/>
          <w:color w:val="000000"/>
          <w:sz w:val="16"/>
        </w:rPr>
        <w:t>Programmatūrā tie ir API datu izguve, pieprasījumu plūdi un izmaksu mākslīga palielināšana, sesiju zādzība, promptu injekcija, ļaunprātīgi faili un piegādes ķēdes risks. Cilvēku un procesu pusē tie ir pikšķerēšana, kopīgi piekļuves dati, uzdošanās par partneri, iekšēja kļūda, nogurums un neizmēģināta atkopšana pēc incidenta.</w:t>
      </w:r>
    </w:p>
    <w:p>
      <w:pPr>
        <w:keepNext w:val="0"/>
        <w:spacing w:before="0" w:after="0" w:line="245" w:lineRule="auto"/>
      </w:pPr>
      <w:r>
        <w:rPr>
          <w:rFonts w:ascii="Liberation Sans" w:hAnsi="Liberation Sans" w:eastAsia="Liberation Sans"/>
          <w:b/>
          <w:color w:val="000000"/>
          <w:sz w:val="16"/>
        </w:rPr>
        <w:t xml:space="preserve">Standartu ceļš  </w:t>
      </w:r>
      <w:r>
        <w:rPr>
          <w:rFonts w:ascii="Liberation Sans" w:hAnsi="Liberation Sans" w:eastAsia="Liberation Sans"/>
          <w:color w:val="000000"/>
          <w:sz w:val="16"/>
        </w:rPr>
        <w:t>Personas datu apstrādei pirmais obligātais slānis ir VDAR. Atsevišķi jānosaka Nacionālā kiberdrošības likuma, NIS2 un MK noteikumu Nr. 397 piemērojamība, Kibernoturības akta piemērojamība katram tirgū laistam produktam ar digitāliem elementiem un MI akta prasības pēc MI faktiskās lomas. Ieviešanai izmantot NIST CSF 2.0 un OWASP ASVS 5.0; ISO/IEC 27001 sertifikāciju apsvērt tad, kad to prasa tirgus vai iepirkums.</w:t>
      </w:r>
    </w:p>
    <w:p>
      <w:pPr>
        <w:keepNext w:val="0"/>
        <w:spacing w:before="0" w:after="0" w:line="240" w:lineRule="auto"/>
      </w:pPr>
      <w:r>
        <w:rPr>
          <w:rFonts w:ascii="Liberation Sans" w:hAnsi="Liberation Sans" w:eastAsia="Liberation Sans"/>
          <w:b/>
          <w:color w:val="6B7280"/>
          <w:sz w:val="14"/>
        </w:rPr>
        <w:t xml:space="preserve">Primārie avoti: </w:t>
      </w:r>
      <w:hyperlink r:id="rId9">
        <w:r>
          <w:rPr>
            <w:rFonts w:ascii="Liberation Sans" w:hAnsi="Liberation Sans"/>
            <w:color w:val="2F6B8A"/>
            <w:u w:val="single"/>
            <w:sz w:val="14"/>
          </w:rPr>
          <w:t>VDAR</w:t>
        </w:r>
      </w:hyperlink>
      <w:r>
        <w:rPr>
          <w:rFonts w:ascii="Liberation Sans" w:hAnsi="Liberation Sans" w:eastAsia="Liberation Sans"/>
          <w:color w:val="6B7280"/>
          <w:sz w:val="14"/>
        </w:rPr>
        <w:t xml:space="preserve"> · </w:t>
      </w:r>
      <w:hyperlink r:id="rId10">
        <w:r>
          <w:rPr>
            <w:rFonts w:ascii="Liberation Sans" w:hAnsi="Liberation Sans"/>
            <w:color w:val="2F6B8A"/>
            <w:u w:val="single"/>
            <w:sz w:val="14"/>
          </w:rPr>
          <w:t>Nacionālās kiberdrošības likums</w:t>
        </w:r>
      </w:hyperlink>
      <w:r>
        <w:rPr>
          <w:rFonts w:ascii="Liberation Sans" w:hAnsi="Liberation Sans" w:eastAsia="Liberation Sans"/>
          <w:color w:val="6B7280"/>
          <w:sz w:val="14"/>
        </w:rPr>
        <w:t xml:space="preserve"> · </w:t>
      </w:r>
      <w:hyperlink r:id="rId11">
        <w:r>
          <w:rPr>
            <w:rFonts w:ascii="Liberation Sans" w:hAnsi="Liberation Sans"/>
            <w:color w:val="2F6B8A"/>
            <w:u w:val="single"/>
            <w:sz w:val="14"/>
          </w:rPr>
          <w:t>MK Nr. 397</w:t>
        </w:r>
      </w:hyperlink>
      <w:r>
        <w:rPr>
          <w:rFonts w:ascii="Liberation Sans" w:hAnsi="Liberation Sans" w:eastAsia="Liberation Sans"/>
          <w:color w:val="6B7280"/>
          <w:sz w:val="14"/>
        </w:rPr>
        <w:t xml:space="preserve"> · </w:t>
      </w:r>
      <w:hyperlink r:id="rId12">
        <w:r>
          <w:rPr>
            <w:rFonts w:ascii="Liberation Sans" w:hAnsi="Liberation Sans"/>
            <w:color w:val="2F6B8A"/>
            <w:u w:val="single"/>
            <w:sz w:val="14"/>
          </w:rPr>
          <w:t>Kibernoturības akts</w:t>
        </w:r>
      </w:hyperlink>
      <w:r>
        <w:rPr>
          <w:rFonts w:ascii="Liberation Sans" w:hAnsi="Liberation Sans" w:eastAsia="Liberation Sans"/>
          <w:color w:val="6B7280"/>
          <w:sz w:val="14"/>
        </w:rPr>
        <w:t xml:space="preserve"> · </w:t>
      </w:r>
      <w:hyperlink r:id="rId13">
        <w:r>
          <w:rPr>
            <w:rFonts w:ascii="Liberation Sans" w:hAnsi="Liberation Sans"/>
            <w:color w:val="2F6B8A"/>
            <w:u w:val="single"/>
            <w:sz w:val="14"/>
          </w:rPr>
          <w:t>MI akts</w:t>
        </w:r>
      </w:hyperlink>
      <w:r>
        <w:rPr>
          <w:rFonts w:ascii="Liberation Sans" w:hAnsi="Liberation Sans" w:eastAsia="Liberation Sans"/>
          <w:color w:val="6B7280"/>
          <w:sz w:val="14"/>
        </w:rPr>
        <w:t xml:space="preserve"> · </w:t>
      </w:r>
      <w:hyperlink r:id="rId14">
        <w:r>
          <w:rPr>
            <w:rFonts w:ascii="Liberation Sans" w:hAnsi="Liberation Sans"/>
            <w:color w:val="2F6B8A"/>
            <w:u w:val="single"/>
            <w:sz w:val="14"/>
          </w:rPr>
          <w:t>NIST CSF 2.0</w:t>
        </w:r>
      </w:hyperlink>
      <w:r>
        <w:rPr>
          <w:rFonts w:ascii="Liberation Sans" w:hAnsi="Liberation Sans" w:eastAsia="Liberation Sans"/>
          <w:color w:val="6B7280"/>
          <w:sz w:val="14"/>
        </w:rPr>
        <w:t xml:space="preserve"> · </w:t>
      </w:r>
      <w:hyperlink r:id="rId15">
        <w:r>
          <w:rPr>
            <w:rFonts w:ascii="Liberation Sans" w:hAnsi="Liberation Sans"/>
            <w:color w:val="2F6B8A"/>
            <w:u w:val="single"/>
            <w:sz w:val="14"/>
          </w:rPr>
          <w:t>OWASP ASVS 5.0</w:t>
        </w:r>
      </w:hyperlink>
    </w:p>
    <w:p>
      <w:pPr>
        <w:pStyle w:val="Heading2"/>
        <w:keepNext/>
        <w:spacing w:before="60" w:after="20" w:line="240" w:lineRule="auto"/>
      </w:pPr>
      <w:r>
        <w:rPr>
          <w:rFonts w:ascii="Liberation Sans" w:hAnsi="Liberation Sans" w:eastAsia="Liberation Sans"/>
          <w:b/>
          <w:color w:val="000000"/>
          <w:sz w:val="21"/>
        </w:rPr>
        <w:t>Produktu palaišanas lēmumi</w:t>
      </w:r>
    </w:p>
    <w:p>
      <w:pPr>
        <w:pStyle w:val="ListBullet"/>
        <w:keepNext w:val="0"/>
        <w:spacing w:before="0" w:after="10" w:line="245" w:lineRule="auto"/>
        <w:ind w:left="255" w:hanging="142"/>
      </w:pPr>
      <w:r>
        <w:rPr>
          <w:rFonts w:ascii="Liberation Sans" w:hAnsi="Liberation Sans" w:eastAsia="Liberation Sans"/>
          <w:b/>
          <w:color w:val="000000"/>
          <w:sz w:val="16"/>
        </w:rPr>
        <w:t xml:space="preserve">Publiskā informācija un tikai lasāma karte  </w:t>
      </w:r>
      <w:r>
        <w:rPr>
          <w:rFonts w:ascii="Liberation Sans" w:hAnsi="Liberation Sans" w:eastAsia="Liberation Sans"/>
          <w:color w:val="000000"/>
          <w:sz w:val="16"/>
        </w:rPr>
        <w:t>drošākais pirmais atsevišķais produkts; pirms palaišanas publiskā vidē ieviest perimetra pieprasījumu ierobežojumus un atbalstītu izpildvidi.</w:t>
      </w:r>
    </w:p>
    <w:p>
      <w:pPr>
        <w:pStyle w:val="ListBullet"/>
        <w:keepNext w:val="0"/>
        <w:spacing w:before="0" w:after="10" w:line="245" w:lineRule="auto"/>
        <w:ind w:left="255" w:hanging="142"/>
      </w:pPr>
      <w:r>
        <w:rPr>
          <w:rFonts w:ascii="Liberation Sans" w:hAnsi="Liberation Sans" w:eastAsia="Liberation Sans"/>
          <w:b/>
          <w:color w:val="000000"/>
          <w:sz w:val="16"/>
        </w:rPr>
        <w:t xml:space="preserve">Iedzīvotāju ziņojumi  </w:t>
      </w:r>
      <w:r>
        <w:rPr>
          <w:rFonts w:ascii="Liberation Sans" w:hAnsi="Liberation Sans" w:eastAsia="Liberation Sans"/>
          <w:color w:val="000000"/>
          <w:sz w:val="16"/>
        </w:rPr>
        <w:t>palaist tikai pēc datu kartes, glabāšanas un dzēšanas noteikumiem, centralizētiem pieprasījumu ierobežojumiem un failu karantīnas.</w:t>
      </w:r>
    </w:p>
    <w:p>
      <w:pPr>
        <w:pStyle w:val="ListBullet"/>
        <w:keepNext w:val="0"/>
        <w:spacing w:before="0" w:after="10" w:line="245" w:lineRule="auto"/>
        <w:ind w:left="255" w:hanging="142"/>
      </w:pPr>
      <w:r>
        <w:rPr>
          <w:rFonts w:ascii="Liberation Sans" w:hAnsi="Liberation Sans" w:eastAsia="Liberation Sans"/>
          <w:b/>
          <w:color w:val="000000"/>
          <w:sz w:val="16"/>
        </w:rPr>
        <w:t xml:space="preserve">Vadības centrs  </w:t>
      </w:r>
      <w:r>
        <w:rPr>
          <w:rFonts w:ascii="Liberation Sans" w:hAnsi="Liberation Sans" w:eastAsia="Liberation Sans"/>
          <w:color w:val="000000"/>
          <w:sz w:val="16"/>
        </w:rPr>
        <w:t>saglabāt demonstrācijas režīmā līdz individuāliem kontiem, MFA, sesiju atsaukšanai un pret viltojumiem aizsargātai audita uzskaitei.</w:t>
      </w:r>
    </w:p>
    <w:p>
      <w:pPr>
        <w:pStyle w:val="ListBullet"/>
        <w:keepNext w:val="0"/>
        <w:spacing w:before="0" w:after="10" w:line="245" w:lineRule="auto"/>
        <w:ind w:left="255" w:hanging="142"/>
      </w:pPr>
      <w:r>
        <w:rPr>
          <w:rFonts w:ascii="Liberation Sans" w:hAnsi="Liberation Sans" w:eastAsia="Liberation Sans"/>
          <w:b/>
          <w:color w:val="000000"/>
          <w:sz w:val="16"/>
        </w:rPr>
        <w:t xml:space="preserve">Misijas un brīvprātīgo nosūtīšana  </w:t>
      </w:r>
      <w:r>
        <w:rPr>
          <w:rFonts w:ascii="Liberation Sans" w:hAnsi="Liberation Sans" w:eastAsia="Liberation Sans"/>
          <w:color w:val="000000"/>
          <w:sz w:val="16"/>
        </w:rPr>
        <w:t>izolēt vai neizlaist līdz kompetences un riska pārbaudēm, piekrišanai un četru acu principam.</w:t>
      </w:r>
    </w:p>
    <w:p>
      <w:pPr>
        <w:pStyle w:val="ListBullet"/>
        <w:keepNext w:val="0"/>
        <w:spacing w:before="0" w:after="0" w:line="245" w:lineRule="auto"/>
        <w:ind w:left="255" w:hanging="142"/>
      </w:pPr>
      <w:r>
        <w:rPr>
          <w:rFonts w:ascii="Liberation Sans" w:hAnsi="Liberation Sans" w:eastAsia="Liberation Sans"/>
          <w:b/>
          <w:color w:val="000000"/>
          <w:sz w:val="16"/>
        </w:rPr>
        <w:t xml:space="preserve">MI starpslānis  </w:t>
      </w:r>
      <w:r>
        <w:rPr>
          <w:rFonts w:ascii="Liberation Sans" w:hAnsi="Liberation Sans" w:eastAsia="Liberation Sans"/>
          <w:color w:val="000000"/>
          <w:sz w:val="16"/>
        </w:rPr>
        <w:t>saglabāt tikai padomdevēja lomā ar minimizētu kontekstu un bez publicēšanas vai cilvēku nosūtīšanas tiesībām.</w:t>
      </w:r>
    </w:p>
    <w:sectPr w:rsidR="00FC693F" w:rsidRPr="0006063C" w:rsidSect="00034616">
      <w:pgSz w:w="11906" w:h="16838"/>
      <w:pgMar w:top="567" w:right="737" w:bottom="567" w:left="737"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Liberation Sans" w:hAnsi="Liberation San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eli/reg/2016/679/oj" TargetMode="External"/><Relationship Id="rId10" Type="http://schemas.openxmlformats.org/officeDocument/2006/relationships/hyperlink" Target="https://likumi.lv/ta/id/353390-nacionalas-kiberdrosibas-likums" TargetMode="External"/><Relationship Id="rId11" Type="http://schemas.openxmlformats.org/officeDocument/2006/relationships/hyperlink" Target="https://likumi.lv/ta/id/361481-minimalas-kiberdrosibas-prasibas" TargetMode="External"/><Relationship Id="rId12" Type="http://schemas.openxmlformats.org/officeDocument/2006/relationships/hyperlink" Target="https://digital-strategy.ec.europa.eu/en/policies/cra-summary" TargetMode="External"/><Relationship Id="rId13" Type="http://schemas.openxmlformats.org/officeDocument/2006/relationships/hyperlink" Target="https://eur-lex.europa.eu/eli/reg/2024/1689/oj" TargetMode="External"/><Relationship Id="rId14" Type="http://schemas.openxmlformats.org/officeDocument/2006/relationships/hyperlink" Target="https://www.nist.gov/cyberframework" TargetMode="External"/><Relationship Id="rId15" Type="http://schemas.openxmlformats.org/officeDocument/2006/relationships/hyperlink" Target="https://owasp.org/www-project-application-security-verification-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Atbalsts platformas kiberdrošības stāvoklis</dc:title>
  <dc:subject>Divu A4 lapu prezentācijas drošības kopsavilkums</dc:subject>
  <dc:creator>Sortium</dc:creator>
  <cp:keywords>Atbalsts kiberdrošība Cloudflare VDAR NIS2 OWASP NIST</cp:keywords>
  <dc:description>generated by python-docx</dc:description>
  <cp:lastModifiedBy/>
  <cp:revision>1</cp:revision>
  <dcterms:created xsi:type="dcterms:W3CDTF">2013-12-23T23:15:00Z</dcterms:created>
  <dcterms:modified xsi:type="dcterms:W3CDTF">2013-12-23T23:15:00Z</dcterms:modified>
  <cp:category/>
</cp:coreProperties>
</file>