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693381003"/>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196665877"/>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330778212"/>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val="04a0" w:noHBand="0" w:noVBand="1" w:firstColumn="1" w:lastRow="0" w:lastColumn="0" w:firstRow="1"/>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When choosing a mobile plan one of the important decisions to consider is whether the plan is pre-paid or part of a post-paid contracted plan. In the case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Consumers have many options in the telecomunications industry which all come with their own pros and cons. Consumers first have to choose which company to purchase from then select the option which is right for them and their circumstancses. Appendix B contaions the following alternatives: A Telstra post-paid plan and a Kogan Mobile prepaid plan. The national phone and texting aspects of the plans are practiaclly identical with unlimited of both which each provider. Where the products differ is in price, international comunication, mobile network, payment scheme and data alacation. Kogan mobile is vastly cheaper than the telstra alternative costing only $25 per month but having a new-customer discount of $5 for the first 6 payments. Telstra however is $58, going significantly over budget with no new-customer discount. The kogan plan does not include international calls or texts and telstra does. Kogan Mobile also alacates more data at 45Gb per month compared to telstra who alacates 40Gb. Telstra, who uses their own network and supports 5G speeds. Kogan however uses the Votaphone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6206581"/>
    </w:sdtPr>
    <w:sdtContent>
      <w:p>
        <w:pPr>
          <w:pStyle w:val="Footer"/>
          <w:rPr/>
        </w:pPr>
        <w:r>
          <w:rPr/>
          <w:t xml:space="preserve">James Macgillivray </w:t>
          <w:tab/>
          <w:tab/>
          <w:tab/>
          <w:tab/>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LibreOffice/7.3.5.2$Linux_X86_64 LibreOffice_project/30$Build-2</Application>
  <AppVersion>15.0000</AppVersion>
  <Pages>7</Pages>
  <Words>1067</Words>
  <Characters>5708</Characters>
  <CharactersWithSpaces>6683</CharactersWithSpaces>
  <Paragraphs>94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2022-08-02T17:04:33Z</dcterms:modified>
  <cp:revision>42</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