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5"/>
        <w:gridCol w:w="886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BodyText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3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3"/>
        <w:tabs>
          <w:tab w:val="clear" w:pos="720"/>
        </w:tabs>
        <w:rPr/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  <w:gridCol w:w="1843"/>
        <w:gridCol w:w="1972"/>
      </w:tblGrid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2"/>
        <w:gridCol w:w="1278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3556"/>
        <w:gridCol w:w="3258"/>
      </w:tblGrid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9"/>
        <w:gridCol w:w="184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4"/>
        <w:gridCol w:w="1847"/>
        <w:gridCol w:w="820"/>
        <w:gridCol w:w="851"/>
        <w:gridCol w:w="1306"/>
      </w:tblGrid>
      <w:tr>
        <w:trPr>
          <w:trHeight w:val="397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</w:t>
            </w:r>
            <w:r>
              <w:rPr>
                <w:rFonts w:cs="Calibri" w:ascii="Calibri" w:hAnsi="Calibri"/>
              </w:rPr>
              <w:t>000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/>
        </w:rPr>
        <w:t>State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707"/>
        <w:gridCol w:w="993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26"/>
        <w:gridCol w:w="8151"/>
      </w:tblGrid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5"/>
        <w:gridCol w:w="6074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06"/>
        <w:gridCol w:w="352"/>
        <w:gridCol w:w="2717"/>
        <w:gridCol w:w="1167"/>
        <w:gridCol w:w="1326"/>
        <w:gridCol w:w="1260"/>
        <w:gridCol w:w="1249"/>
        <w:gridCol w:w="750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2"/>
        <w:gridCol w:w="1900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4693"/>
        <w:gridCol w:w="761"/>
        <w:gridCol w:w="1383"/>
        <w:gridCol w:w="1383"/>
      </w:tblGrid>
      <w:tr>
        <w:trPr/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1"/>
        <w:gridCol w:w="1417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3"/>
        <w:gridCol w:w="6808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8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4003"/>
        <w:gridCol w:w="405"/>
        <w:gridCol w:w="951"/>
        <w:gridCol w:w="957"/>
        <w:gridCol w:w="1662"/>
        <w:gridCol w:w="524"/>
      </w:tblGrid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odyTextIndent">
    <w:name w:val="Body Text Indent"/>
    <w:basedOn w:val="TextBody"/>
    <w:qFormat/>
    <w:pPr>
      <w:ind w:left="0" w:right="0" w:firstLine="283"/>
    </w:pPr>
    <w:rPr/>
  </w:style>
  <w:style w:type="paragraph" w:styleId="List3">
    <w:name w:val="List Bullet 4"/>
    <w:basedOn w:val="List"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LibreOffice/7.2.5.2.0$Linux_X86_64 LibreOffice_project/20$Build-2</Application>
  <AppVersion>15.0000</AppVersion>
  <Pages>20</Pages>
  <Words>2975</Words>
  <Characters>13667</Characters>
  <CharactersWithSpaces>16621</CharactersWithSpaces>
  <Paragraphs>1123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2022-02-22T08:10:44Z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