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center"/>
        <w:tblInd w:w="0" w:type="dxa"/>
        <w:tblLayout w:type="fixed"/>
        <w:tblCellMar>
          <w:top w:w="0" w:type="dxa"/>
          <w:left w:w="108" w:type="dxa"/>
          <w:bottom w:w="0" w:type="dxa"/>
          <w:right w:w="108" w:type="dxa"/>
        </w:tblCellMar>
      </w:tblPr>
      <w:tblGrid>
        <w:gridCol w:w="9026"/>
      </w:tblGrid>
      <w:tr>
        <w:trPr>
          <w:trHeight w:val="2880" w:hRule="atLeast"/>
        </w:trPr>
        <w:tc>
          <w:tcPr>
            <w:tcW w:w="9026" w:type="dxa"/>
            <w:tcBorders/>
          </w:tcPr>
          <w:p>
            <w:pPr>
              <w:pStyle w:val="Normal"/>
              <w:widowControl w:val="false"/>
              <w:spacing w:lineRule="auto" w:line="240" w:before="0" w:after="0"/>
              <w:jc w:val="center"/>
              <w:rPr/>
            </w:pPr>
            <w:r>
              <w:rPr/>
              <w:fldChar w:fldCharType="begin"/>
            </w:r>
            <w:r>
              <w:rPr/>
              <w:instrText xml:space="preserve"> FILLIN ""</w:instrText>
            </w:r>
            <w:r>
              <w:rPr/>
              <w:fldChar w:fldCharType="separate"/>
            </w:r>
            <w:r>
              <w:rPr/>
              <w:t>Good Counsel college</w:t>
            </w:r>
            <w:r>
              <w:rPr/>
              <w:fldChar w:fldCharType="end"/>
            </w:r>
          </w:p>
        </w:tc>
      </w:tr>
      <w:tr>
        <w:trPr>
          <w:trHeight w:val="1440" w:hRule="atLeast"/>
        </w:trPr>
        <w:tc>
          <w:tcPr>
            <w:tcW w:w="9026" w:type="dxa"/>
            <w:tcBorders>
              <w:bottom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The Sharemarket</w:t>
            </w:r>
            <w:r>
              <w:rPr/>
              <w:fldChar w:fldCharType="end"/>
            </w:r>
          </w:p>
        </w:tc>
      </w:tr>
      <w:tr>
        <w:trPr>
          <w:trHeight w:val="720" w:hRule="atLeast"/>
        </w:trPr>
        <w:tc>
          <w:tcPr>
            <w:tcW w:w="9026" w:type="dxa"/>
            <w:tcBorders>
              <w:top w:val="single" w:sz="4" w:space="0" w:color="4F81BD"/>
            </w:tcBorders>
            <w:vAlign w:val="center"/>
          </w:tcPr>
          <w:p>
            <w:pPr>
              <w:pStyle w:val="Normal"/>
              <w:widowControl w:val="false"/>
              <w:spacing w:lineRule="auto" w:line="240" w:before="0" w:after="0"/>
              <w:jc w:val="center"/>
              <w:rPr/>
            </w:pPr>
            <w:r>
              <w:rPr/>
              <w:fldChar w:fldCharType="begin"/>
            </w:r>
            <w:r>
              <w:rPr/>
              <w:instrText xml:space="preserve"> FILLIN ""</w:instrText>
            </w:r>
            <w:r>
              <w:rPr/>
              <w:fldChar w:fldCharType="separate"/>
            </w:r>
            <w:r>
              <w:rPr/>
              <w:t>Report for Client</w:t>
            </w:r>
            <w:r>
              <w:rPr/>
              <w:fldChar w:fldCharType="end"/>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lang w:eastAsia="ja-JP"/>
              </w:rPr>
            </w:pPr>
            <w:r>
              <w:rPr>
                <w:rFonts w:eastAsia="Times New Roman" w:cs="Times New Roman"/>
                <w:lang w:eastAsia="ja-JP"/>
              </w:rPr>
            </w:r>
          </w:p>
        </w:tc>
      </w:tr>
      <w:tr>
        <w:trPr>
          <w:trHeight w:val="360" w:hRule="atLeast"/>
        </w:trPr>
        <w:tc>
          <w:tcPr>
            <w:tcW w:w="9026" w:type="dxa"/>
            <w:tcBorders/>
            <w:vAlign w:val="center"/>
          </w:tcPr>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r>
        <w:trPr>
          <w:trHeight w:val="360" w:hRule="atLeast"/>
        </w:trPr>
        <w:tc>
          <w:tcPr>
            <w:tcW w:w="9026" w:type="dxa"/>
            <w:tcBorders/>
            <w:vAlign w:val="center"/>
          </w:tcPr>
          <w:tbl>
            <w:tblPr>
              <w:tblW w:w="6462" w:type="dxa"/>
              <w:jc w:val="left"/>
              <w:tblInd w:w="1701" w:type="dxa"/>
              <w:tblLayout w:type="fixed"/>
              <w:tblCellMar>
                <w:top w:w="0" w:type="dxa"/>
                <w:left w:w="108" w:type="dxa"/>
                <w:bottom w:w="0" w:type="dxa"/>
                <w:right w:w="108" w:type="dxa"/>
              </w:tblCellMar>
            </w:tblPr>
            <w:tblGrid>
              <w:gridCol w:w="1846"/>
              <w:gridCol w:w="4615"/>
            </w:tblGrid>
            <w:tr>
              <w:trPr/>
              <w:tc>
                <w:tcPr>
                  <w:tcW w:w="1846" w:type="dxa"/>
                  <w:tcBorders/>
                </w:tcPr>
                <w:p>
                  <w:pPr>
                    <w:pStyle w:val="Normal"/>
                    <w:widowControl w:val="false"/>
                    <w:spacing w:lineRule="auto" w:line="480" w:before="0" w:after="0"/>
                    <w:jc w:val="left"/>
                    <w:rPr>
                      <w:rFonts w:ascii="Calibri" w:hAnsi="Calibri" w:eastAsia="Times New Roman" w:cs="Times New Roman"/>
                      <w:b/>
                      <w:b/>
                      <w:bCs/>
                      <w:kern w:val="0"/>
                      <w:sz w:val="24"/>
                      <w:szCs w:val="24"/>
                      <w:lang w:val="en-US" w:eastAsia="ja-JP" w:bidi="ar-SA"/>
                    </w:rPr>
                  </w:pPr>
                  <w:r>
                    <w:rPr>
                      <w:rFonts w:eastAsia="Times New Roman" w:cs="Times New Roman"/>
                      <w:b/>
                      <w:bCs/>
                      <w:kern w:val="0"/>
                      <w:sz w:val="24"/>
                      <w:szCs w:val="24"/>
                      <w:lang w:val="en-US" w:eastAsia="ja-JP" w:bidi="ar-SA"/>
                    </w:rPr>
                    <w:t>Prepared by:</w:t>
                  </w:r>
                </w:p>
              </w:tc>
              <w:tc>
                <w:tcPr>
                  <w:tcW w:w="4615" w:type="dxa"/>
                  <w:tcBorders/>
                </w:tcPr>
                <w:p>
                  <w:pPr>
                    <w:pStyle w:val="Normal"/>
                    <w:widowControl w:val="false"/>
                    <w:spacing w:lineRule="auto" w:line="240" w:before="0" w:after="0"/>
                    <w:jc w:val="left"/>
                    <w:rPr>
                      <w:rFonts w:ascii="Calibri" w:hAnsi="Calibri" w:eastAsia="Times New Roman" w:cs="Times New Roman"/>
                      <w:bCs/>
                      <w:kern w:val="0"/>
                      <w:sz w:val="24"/>
                      <w:szCs w:val="24"/>
                      <w:lang w:val="en-US" w:eastAsia="ja-JP" w:bidi="ar-SA"/>
                    </w:rPr>
                  </w:pPr>
                  <w:r>
                    <w:rPr>
                      <w:rFonts w:eastAsia="Times New Roman" w:cs="Times New Roman"/>
                      <w:bCs/>
                      <w:kern w:val="0"/>
                      <w:sz w:val="24"/>
                      <w:szCs w:val="24"/>
                      <w:lang w:val="en-US" w:eastAsia="ja-JP" w:bidi="ar-SA"/>
                    </w:rPr>
                    <w:t>James Macgillivray</w:t>
                  </w:r>
                </w:p>
              </w:tc>
            </w:tr>
            <w:tr>
              <w:trPr/>
              <w:tc>
                <w:tcPr>
                  <w:tcW w:w="1846" w:type="dxa"/>
                  <w:tcBorders/>
                </w:tcPr>
                <w:p>
                  <w:pPr>
                    <w:pStyle w:val="Normal"/>
                    <w:widowControl w:val="false"/>
                    <w:spacing w:lineRule="auto" w:line="480" w:before="0" w:after="0"/>
                    <w:jc w:val="left"/>
                    <w:rPr>
                      <w:rFonts w:ascii="Calibri" w:hAnsi="Calibri" w:eastAsia="Times New Roman" w:cs="Times New Roman"/>
                      <w:b/>
                      <w:b/>
                      <w:bCs/>
                      <w:kern w:val="0"/>
                      <w:sz w:val="24"/>
                      <w:szCs w:val="24"/>
                      <w:lang w:val="en-US" w:eastAsia="ja-JP" w:bidi="ar-SA"/>
                    </w:rPr>
                  </w:pPr>
                  <w:r>
                    <w:rPr>
                      <w:rFonts w:eastAsia="Times New Roman" w:cs="Times New Roman"/>
                      <w:b/>
                      <w:bCs/>
                      <w:kern w:val="0"/>
                      <w:sz w:val="24"/>
                      <w:szCs w:val="24"/>
                      <w:lang w:val="en-US" w:eastAsia="ja-JP" w:bidi="ar-SA"/>
                    </w:rPr>
                    <w:t>Date Prepared:</w:t>
                  </w:r>
                </w:p>
              </w:tc>
              <w:tc>
                <w:tcPr>
                  <w:tcW w:w="4615" w:type="dxa"/>
                  <w:tcBorders/>
                </w:tcPr>
                <w:p>
                  <w:pPr>
                    <w:pStyle w:val="Normal"/>
                    <w:widowControl w:val="false"/>
                    <w:spacing w:lineRule="auto" w:line="240" w:before="0" w:after="0"/>
                    <w:jc w:val="left"/>
                    <w:rPr>
                      <w:rFonts w:ascii="Calibri" w:hAnsi="Calibri" w:eastAsia="Times New Roman" w:cs="Times New Roman"/>
                      <w:bCs/>
                      <w:kern w:val="0"/>
                      <w:sz w:val="24"/>
                      <w:szCs w:val="24"/>
                      <w:lang w:val="en-US" w:eastAsia="ja-JP" w:bidi="ar-SA"/>
                    </w:rPr>
                  </w:pPr>
                  <w:r>
                    <w:rPr>
                      <w:rFonts w:eastAsia="Times New Roman" w:cs="Times New Roman"/>
                      <w:bCs/>
                      <w:kern w:val="0"/>
                      <w:sz w:val="24"/>
                      <w:szCs w:val="24"/>
                      <w:lang w:val="en-US" w:eastAsia="ja-JP" w:bidi="ar-SA"/>
                    </w:rPr>
                    <w:t>Monday 12 September 2022</w:t>
                  </w:r>
                </w:p>
              </w:tc>
            </w:tr>
          </w:tbl>
          <w:p>
            <w:pPr>
              <w:pStyle w:val="Normal"/>
              <w:widowControl w:val="false"/>
              <w:spacing w:lineRule="auto" w:line="240" w:before="0" w:after="0"/>
              <w:jc w:val="center"/>
              <w:rPr>
                <w:rFonts w:ascii="Calibri" w:hAnsi="Calibri" w:eastAsia="Times New Roman" w:cs="Times New Roman"/>
                <w:b/>
                <w:b/>
                <w:bCs/>
                <w:lang w:eastAsia="ja-JP"/>
              </w:rPr>
            </w:pPr>
            <w:r>
              <w:rPr>
                <w:rFonts w:eastAsia="Times New Roman" w:cs="Times New Roman"/>
                <w:b/>
                <w:bCs/>
                <w:lang w:eastAsia="ja-JP"/>
              </w:rPr>
            </w:r>
          </w:p>
        </w:tc>
      </w:tr>
    </w:tbl>
    <w:p>
      <w:pPr>
        <w:pStyle w:val="Normal"/>
        <w:rPr/>
      </w:pPr>
      <w:r>
        <w:rPr/>
      </w:r>
    </w:p>
    <w:p>
      <w:pPr>
        <w:pStyle w:val="Normal"/>
        <w:rPr/>
      </w:pPr>
      <w:r>
        <w:rPr/>
      </w:r>
    </w:p>
    <w:p>
      <w:pPr>
        <w:pStyle w:val="Normal"/>
        <w:rPr/>
      </w:pPr>
      <w:r>
        <w:rPr/>
        <mc:AlternateContent>
          <mc:Choice Requires="wps">
            <w:drawing>
              <wp:anchor behindDoc="0" distT="40005" distB="64135" distL="109220" distR="128270" simplePos="0" locked="0" layoutInCell="0" allowOverlap="1" relativeHeight="4">
                <wp:simplePos x="0" y="0"/>
                <wp:positionH relativeFrom="column">
                  <wp:posOffset>1800225</wp:posOffset>
                </wp:positionH>
                <wp:positionV relativeFrom="paragraph">
                  <wp:posOffset>28575</wp:posOffset>
                </wp:positionV>
                <wp:extent cx="2324100" cy="2524125"/>
                <wp:effectExtent l="5080" t="5715" r="5080" b="4445"/>
                <wp:wrapSquare wrapText="bothSides"/>
                <wp:docPr id="1" name="Text Box 2"/>
                <a:graphic xmlns:a="http://schemas.openxmlformats.org/drawingml/2006/main">
                  <a:graphicData uri="http://schemas.microsoft.com/office/word/2010/wordprocessingShape">
                    <wps:wsp>
                      <wps:cNvSpPr/>
                      <wps:spPr>
                        <a:xfrm>
                          <a:off x="0" y="0"/>
                          <a:ext cx="2324160" cy="2523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t xml:space="preserve">Insert logo of company </w:t>
                            </w:r>
                          </w:p>
                          <w:p>
                            <w:pPr>
                              <w:pStyle w:val="FrameContents"/>
                              <w:spacing w:before="0" w:after="160"/>
                              <w:jc w:val="center"/>
                              <w:rPr>
                                <w:color w:val="000000"/>
                              </w:rPr>
                            </w:pPr>
                            <w:r>
                              <w:rPr>
                                <w:color w:val="000000"/>
                              </w:rPr>
                              <w:t>chosen for research</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141.75pt;margin-top:2.25pt;width:182.95pt;height:198.7pt;mso-wrap-style:square;v-text-anchor:top">
                <v:fill o:detectmouseclick="t" type="solid" color2="black"/>
                <v:stroke color="black" weight="9360" joinstyle="miter" endcap="flat"/>
                <v:textbox>
                  <w:txbxContent>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r>
                    </w:p>
                    <w:p>
                      <w:pPr>
                        <w:pStyle w:val="FrameContents"/>
                        <w:jc w:val="center"/>
                        <w:rPr>
                          <w:color w:val="000000"/>
                        </w:rPr>
                      </w:pPr>
                      <w:r>
                        <w:rPr>
                          <w:color w:val="000000"/>
                        </w:rPr>
                        <w:t xml:space="preserve">Insert logo of company </w:t>
                      </w:r>
                    </w:p>
                    <w:p>
                      <w:pPr>
                        <w:pStyle w:val="FrameContents"/>
                        <w:spacing w:before="0" w:after="160"/>
                        <w:jc w:val="center"/>
                        <w:rPr>
                          <w:color w:val="000000"/>
                        </w:rPr>
                      </w:pPr>
                      <w:r>
                        <w:rPr>
                          <w:color w:val="000000"/>
                        </w:rPr>
                        <w:t>chosen for research</w:t>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Introduction</w:t>
      </w:r>
    </w:p>
    <w:p>
      <w:pPr>
        <w:pStyle w:val="Normal"/>
        <w:spacing w:lineRule="auto" w:line="240" w:before="0" w:after="0"/>
        <w:rPr>
          <w:color w:val="auto"/>
        </w:rPr>
      </w:pPr>
      <w:r>
        <w:rPr>
          <w:color w:val="auto"/>
          <w:sz w:val="24"/>
          <w:szCs w:val="24"/>
        </w:rPr>
        <w:t>The purpose of this report is to recommend a company to the client from the asx which would be a good investment which will acrew a significant amount of money over a peirod of time in either dividends or rising share price.</w:t>
      </w:r>
    </w:p>
    <w:p>
      <w:pPr>
        <w:pStyle w:val="Normal"/>
        <w:spacing w:lineRule="auto" w:line="240" w:before="0" w:after="0"/>
        <w:rPr>
          <w:color w:val="auto"/>
        </w:rPr>
      </w:pPr>
      <w:r>
        <w:rPr>
          <w:color w:val="auto"/>
        </w:rPr>
      </w:r>
    </w:p>
    <w:p>
      <w:pPr>
        <w:pStyle w:val="Normal"/>
        <w:spacing w:lineRule="auto" w:line="240" w:before="0" w:after="0"/>
        <w:rPr>
          <w:color w:val="C9211E"/>
          <w:sz w:val="24"/>
          <w:szCs w:val="24"/>
        </w:rPr>
      </w:pPr>
      <w:r>
        <w:rPr>
          <w:color w:val="C9211E"/>
          <w:sz w:val="24"/>
          <w:szCs w:val="24"/>
        </w:rPr>
        <w:t>What is the purpose of your report?  Why are you writing this report?</w:t>
      </w:r>
    </w:p>
    <w:p>
      <w:pPr>
        <w:pStyle w:val="Normal"/>
        <w:spacing w:lineRule="auto" w:line="240" w:before="0" w:after="0"/>
        <w:rPr>
          <w:color w:val="C9211E"/>
          <w:sz w:val="24"/>
          <w:szCs w:val="24"/>
        </w:rPr>
      </w:pPr>
      <w:r>
        <w:rPr>
          <w:color w:val="C9211E"/>
          <w:sz w:val="24"/>
          <w:szCs w:val="24"/>
        </w:rPr>
        <w:t>(approx. 50 words, one paragraph)</w:t>
      </w:r>
    </w:p>
    <w:p>
      <w:pPr>
        <w:pStyle w:val="Normal"/>
        <w:spacing w:lineRule="auto" w:line="240" w:before="0" w:after="0"/>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A outline of asx sharemarket company</w:t>
      </w:r>
    </w:p>
    <w:p>
      <w:pPr>
        <w:pStyle w:val="Normal"/>
        <w:rPr>
          <w:color w:val="auto"/>
          <w:sz w:val="24"/>
          <w:szCs w:val="24"/>
        </w:rPr>
      </w:pPr>
      <w:r>
        <w:rPr>
          <w:color w:val="auto"/>
          <w:sz w:val="24"/>
          <w:szCs w:val="24"/>
        </w:rPr>
        <w:t>The compnay choosen as an investment is JB Hi-Fi. It is a consumer electroic and whitegoods retailer with stores around Australia. It’s head office is located in Southbank Victoria and has stores in Australia and New Zealand. It was founded in 1974 by John Barbuto as a single store business and the sold it in 1983 who expanded the company to ten stores. Througout the 2000s it bought a competing consumer goods store and converted them into JB Hi-Fi stores. In 2016 the company then bought another competing company “The Good Guys” making it the 7</w:t>
      </w:r>
      <w:r>
        <w:rPr>
          <w:color w:val="auto"/>
          <w:sz w:val="24"/>
          <w:szCs w:val="24"/>
          <w:vertAlign w:val="superscript"/>
        </w:rPr>
        <w:t>th</w:t>
      </w:r>
      <w:r>
        <w:rPr>
          <w:color w:val="auto"/>
          <w:sz w:val="24"/>
          <w:szCs w:val="24"/>
        </w:rPr>
        <w:t xml:space="preserve"> largest largest company in its industry. It was first listed on the Australian Stock Exchange in 2003.s</w:t>
      </w:r>
    </w:p>
    <w:p>
      <w:pPr>
        <w:pStyle w:val="Normal"/>
        <w:rPr>
          <w:color w:val="C9211E"/>
          <w:sz w:val="24"/>
          <w:szCs w:val="24"/>
        </w:rPr>
      </w:pPr>
      <w:r>
        <w:rPr>
          <w:color w:val="C9211E"/>
          <w:sz w:val="24"/>
          <w:szCs w:val="24"/>
        </w:rPr>
        <w:t>What does the company do?  What are its principal activities?</w:t>
      </w:r>
    </w:p>
    <w:p>
      <w:pPr>
        <w:pStyle w:val="Normal"/>
        <w:rPr>
          <w:color w:val="C9211E"/>
          <w:sz w:val="24"/>
          <w:szCs w:val="24"/>
        </w:rPr>
      </w:pPr>
      <w:r>
        <w:rPr>
          <w:color w:val="C9211E"/>
          <w:sz w:val="24"/>
          <w:szCs w:val="24"/>
        </w:rPr>
        <w:t>Where does the company operate?  Where is its main office?</w:t>
      </w:r>
    </w:p>
    <w:p>
      <w:pPr>
        <w:pStyle w:val="Normal"/>
        <w:rPr>
          <w:color w:val="C9211E"/>
          <w:sz w:val="24"/>
          <w:szCs w:val="24"/>
        </w:rPr>
      </w:pPr>
      <w:r>
        <w:rPr>
          <w:color w:val="C9211E"/>
          <w:sz w:val="24"/>
          <w:szCs w:val="24"/>
        </w:rPr>
        <w:t>Provide information about the history of the company – who formed it, when was it formed, key events in its life, major changes, what caused the changes, any information that would help the client understand the company’s ‘story’.</w:t>
      </w:r>
    </w:p>
    <w:p>
      <w:pPr>
        <w:pStyle w:val="Normal"/>
        <w:rPr>
          <w:color w:val="C9211E"/>
          <w:sz w:val="24"/>
          <w:szCs w:val="24"/>
        </w:rPr>
      </w:pPr>
      <w:r>
        <w:rPr>
          <w:color w:val="C9211E"/>
          <w:sz w:val="24"/>
          <w:szCs w:val="24"/>
        </w:rPr>
        <w:t>When did the company first become listed as a public company?</w:t>
      </w:r>
    </w:p>
    <w:p>
      <w:pPr>
        <w:pStyle w:val="Normal"/>
        <w:rPr>
          <w:color w:val="C9211E"/>
          <w:sz w:val="24"/>
          <w:szCs w:val="24"/>
        </w:rPr>
      </w:pPr>
      <w:r>
        <w:rPr>
          <w:color w:val="C9211E"/>
          <w:sz w:val="24"/>
          <w:szCs w:val="24"/>
        </w:rPr>
        <w:t>(approx. 100 words)</w:t>
      </w:r>
    </w:p>
    <w:p>
      <w:pPr>
        <w:pStyle w:val="Normal"/>
        <w:spacing w:lineRule="auto" w:line="240" w:before="0" w:after="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B Performance of the company</w:t>
      </w:r>
    </w:p>
    <w:p>
      <w:pPr>
        <w:pStyle w:val="Normal"/>
        <w:rPr>
          <w:color w:val="auto"/>
        </w:rPr>
      </w:pPr>
      <w:r>
        <w:rPr>
          <w:color w:val="auto"/>
        </w:rPr>
        <w:t xml:space="preserve">The share price of JB Hi-Fi Limited fluctuated significantly over the past six months. Figure 2 in the Appendix shows the price history over that peiriod. The share price starts high in april with a high of $57 and declines over the next </w:t>
      </w:r>
      <w:r>
        <w:rPr>
          <w:color w:val="auto"/>
        </w:rPr>
        <w:t>three</w:t>
      </w:r>
      <w:r>
        <w:rPr>
          <w:color w:val="auto"/>
        </w:rPr>
        <w:t xml:space="preserve"> months to $36. It has since risen from that low and is slowly rising for the previous </w:t>
      </w:r>
      <w:r>
        <w:rPr>
          <w:color w:val="auto"/>
        </w:rPr>
        <w:t>three</w:t>
      </w:r>
      <w:r>
        <w:rPr>
          <w:color w:val="auto"/>
        </w:rPr>
        <w:t xml:space="preserve"> months to where it now at $42.</w:t>
      </w:r>
    </w:p>
    <w:p>
      <w:pPr>
        <w:pStyle w:val="Normal"/>
        <w:rPr>
          <w:color w:val="C9211E"/>
          <w:sz w:val="24"/>
          <w:szCs w:val="24"/>
        </w:rPr>
      </w:pPr>
      <w:r>
        <w:rPr>
          <w:color w:val="C9211E"/>
          <w:sz w:val="24"/>
          <w:szCs w:val="24"/>
        </w:rPr>
      </w:r>
    </w:p>
    <w:p>
      <w:pPr>
        <w:pStyle w:val="Normal"/>
        <w:rPr>
          <w:color w:val="C9211E"/>
          <w:sz w:val="24"/>
          <w:szCs w:val="24"/>
        </w:rPr>
      </w:pPr>
      <w:r>
        <w:rPr>
          <w:color w:val="C9211E"/>
          <w:sz w:val="24"/>
          <w:szCs w:val="24"/>
        </w:rPr>
        <w:t>Locate the “price history chart” of your company for the past six months.</w:t>
      </w:r>
    </w:p>
    <w:p>
      <w:pPr>
        <w:pStyle w:val="ListParagraph"/>
        <w:numPr>
          <w:ilvl w:val="0"/>
          <w:numId w:val="2"/>
        </w:numPr>
        <w:ind w:left="360" w:right="0" w:hanging="360"/>
        <w:rPr>
          <w:color w:val="C9211E"/>
          <w:sz w:val="24"/>
          <w:szCs w:val="24"/>
        </w:rPr>
      </w:pPr>
      <w:r>
        <w:rPr>
          <w:color w:val="C9211E"/>
          <w:sz w:val="24"/>
          <w:szCs w:val="24"/>
        </w:rPr>
        <w:t>Interpret the chart to describe the trend in the company’s share price.</w:t>
        <w:br/>
      </w:r>
    </w:p>
    <w:p>
      <w:pPr>
        <w:pStyle w:val="ListParagraph"/>
        <w:numPr>
          <w:ilvl w:val="0"/>
          <w:numId w:val="1"/>
        </w:numPr>
        <w:ind w:left="360" w:right="0" w:hanging="360"/>
        <w:rPr>
          <w:color w:val="C9211E"/>
        </w:rPr>
      </w:pPr>
      <w:r>
        <w:rPr>
          <w:color w:val="C9211E"/>
          <w:sz w:val="24"/>
          <w:szCs w:val="24"/>
        </w:rPr>
        <w:t xml:space="preserve">Copy the chart and circle the major high and low points in the chart.  </w:t>
      </w:r>
      <w:r>
        <w:rPr>
          <w:b/>
          <w:color w:val="C9211E"/>
          <w:sz w:val="24"/>
          <w:szCs w:val="24"/>
        </w:rPr>
        <w:t>Source 1 (Appendix)</w:t>
      </w:r>
    </w:p>
    <w:p>
      <w:pPr>
        <w:pStyle w:val="Normal"/>
        <w:rPr>
          <w:color w:val="C9211E"/>
          <w:sz w:val="24"/>
          <w:szCs w:val="24"/>
        </w:rPr>
      </w:pPr>
      <w:r>
        <w:rPr>
          <w:color w:val="C9211E"/>
          <w:sz w:val="24"/>
          <w:szCs w:val="24"/>
        </w:rPr>
        <w:t>(approx. 80 words)</w:t>
      </w:r>
    </w:p>
    <w:p>
      <w:pPr>
        <w:pStyle w:val="ListParagraph"/>
        <w:ind w:left="360" w:right="0" w:hanging="0"/>
        <w:rPr>
          <w:sz w:val="14"/>
          <w:szCs w:val="24"/>
        </w:rPr>
      </w:pPr>
      <w:r>
        <w:rPr>
          <w:sz w:val="1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B performance of a similar company</w:t>
      </w:r>
    </w:p>
    <w:p>
      <w:pPr>
        <w:pStyle w:val="Normal"/>
        <w:rPr>
          <w:color w:val="auto"/>
        </w:rPr>
      </w:pPr>
      <w:r>
        <w:rPr/>
        <w:t xml:space="preserve">The share price of Harvey Norman Holdings Limited fluctuated significantly over the past six months. Figure 1 in the Appendix shows the price history over that peiriod. The share price starts high in april with a high of $5.75 and declines </w:t>
      </w:r>
      <w:r>
        <w:rPr/>
        <w:t>%38</w:t>
      </w:r>
      <w:r>
        <w:rPr/>
        <w:t xml:space="preserve"> over the next 3 months to $3.60.</w:t>
      </w:r>
      <w:r>
        <w:rPr/>
        <w:t xml:space="preserve"> </w:t>
      </w:r>
      <w:r>
        <w:rPr/>
        <w:t xml:space="preserve"> It has since risen from that low and is slowly rising for the previous 3 months to where it </w:t>
      </w:r>
      <w:r>
        <w:rPr/>
        <w:t xml:space="preserve">rose 26% and is </w:t>
      </w:r>
      <w:r>
        <w:rPr/>
        <w:t>now at $4.3</w:t>
      </w:r>
      <w:r>
        <w:rPr/>
        <w:t>0</w:t>
      </w:r>
      <w:r>
        <w:rPr/>
        <w:t>.</w:t>
      </w:r>
      <w:r>
        <w:rPr>
          <w:color w:val="auto"/>
        </w:rPr>
        <w:t xml:space="preserve"> </w:t>
      </w:r>
      <w:r>
        <w:rPr>
          <w:color w:val="auto"/>
        </w:rPr>
        <w:t>Both companies share a very similar price history graph almost mirroring eachother over the past six months.</w:t>
      </w:r>
    </w:p>
    <w:p>
      <w:pPr>
        <w:pStyle w:val="Normal"/>
        <w:rPr>
          <w:color w:val="C9211E"/>
          <w:sz w:val="24"/>
          <w:szCs w:val="24"/>
        </w:rPr>
      </w:pPr>
      <w:r>
        <w:rPr>
          <w:color w:val="C9211E"/>
          <w:sz w:val="24"/>
          <w:szCs w:val="24"/>
        </w:rPr>
        <w:t>Locate the “price history chart” of a similar company for the past six months.</w:t>
      </w:r>
    </w:p>
    <w:p>
      <w:pPr>
        <w:pStyle w:val="ListParagraph"/>
        <w:numPr>
          <w:ilvl w:val="0"/>
          <w:numId w:val="2"/>
        </w:numPr>
        <w:ind w:left="360" w:right="0" w:hanging="360"/>
        <w:rPr>
          <w:color w:val="C9211E"/>
          <w:sz w:val="24"/>
          <w:szCs w:val="24"/>
        </w:rPr>
      </w:pPr>
      <w:r>
        <w:rPr>
          <w:color w:val="C9211E"/>
          <w:sz w:val="24"/>
          <w:szCs w:val="24"/>
        </w:rPr>
        <w:t>Interpret the chart to describe the trend in the company’s share price.</w:t>
        <w:br/>
      </w:r>
    </w:p>
    <w:p>
      <w:pPr>
        <w:pStyle w:val="ListParagraph"/>
        <w:numPr>
          <w:ilvl w:val="0"/>
          <w:numId w:val="1"/>
        </w:numPr>
        <w:ind w:left="360" w:right="0" w:hanging="360"/>
        <w:rPr>
          <w:color w:val="C9211E"/>
        </w:rPr>
      </w:pPr>
      <w:r>
        <w:rPr>
          <w:color w:val="C9211E"/>
          <w:sz w:val="24"/>
          <w:szCs w:val="24"/>
        </w:rPr>
        <w:t xml:space="preserve">Copy the chart and circle the major high and low points in the chart.  </w:t>
      </w:r>
      <w:r>
        <w:rPr>
          <w:b/>
          <w:color w:val="C9211E"/>
          <w:sz w:val="24"/>
          <w:szCs w:val="24"/>
        </w:rPr>
        <w:t>Source 2 (Appendix)</w:t>
      </w:r>
    </w:p>
    <w:p>
      <w:pPr>
        <w:pStyle w:val="Normal"/>
        <w:rPr>
          <w:color w:val="C9211E"/>
          <w:sz w:val="24"/>
          <w:szCs w:val="24"/>
        </w:rPr>
      </w:pPr>
      <w:bookmarkStart w:id="0" w:name="_Hlk48819146"/>
      <w:r>
        <w:rPr>
          <w:color w:val="C9211E"/>
          <w:sz w:val="24"/>
          <w:szCs w:val="24"/>
        </w:rPr>
        <w:t>(approx. 80 words)</w:t>
      </w:r>
      <w:bookmarkEnd w:id="0"/>
    </w:p>
    <w:p>
      <w:pPr>
        <w:pStyle w:val="ListParagraph"/>
        <w:ind w:left="360" w:right="0" w:hanging="0"/>
        <w:rPr>
          <w:sz w:val="14"/>
          <w:szCs w:val="24"/>
        </w:rPr>
      </w:pPr>
      <w:r>
        <w:rPr>
          <w:sz w:val="14"/>
          <w:szCs w:val="24"/>
        </w:rPr>
      </w:r>
    </w:p>
    <w:p>
      <w:pPr>
        <w:pStyle w:val="Normal"/>
        <w:rPr>
          <w:rFonts w:eastAsia="等线 Light" w:cs="Calibri"/>
          <w:b/>
          <w:b/>
          <w:caps/>
          <w:spacing w:val="50"/>
          <w:sz w:val="28"/>
          <w:szCs w:val="28"/>
          <w:lang w:val="en-AU" w:eastAsia="en-AU"/>
        </w:rPr>
      </w:pPr>
      <w:r>
        <w:rPr>
          <w:rFonts w:eastAsia="等线 Light" w:cs="Calibri"/>
          <w:b/>
          <w:caps/>
          <w:spacing w:val="50"/>
          <w:sz w:val="28"/>
          <w:szCs w:val="28"/>
          <w:lang w:val="en-AU" w:eastAsia="en-AU"/>
        </w:rPr>
      </w:r>
      <w:r>
        <w:br w:type="page"/>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C Analysis of companies</w:t>
      </w:r>
    </w:p>
    <w:p>
      <w:pPr>
        <w:pStyle w:val="Normal"/>
        <w:rPr/>
      </w:pPr>
      <w:r>
        <w:rPr>
          <w:color w:val="auto"/>
        </w:rPr>
        <w:t>The companies of JB Hi-Fi Limited and Harvey Norman Holdings Limited like all companies is affected by market influences and world events. The Covid 19 pandemic has decreased in store visits and increased online purchasing. A high very high inflation rate is also influencing the market currently. This is causing high stock price volatility however the real price of the stock even if dollar-wise increasing may be decrease due to being worth less (Zucchi, 2022). Recently (Auguest 25</w:t>
      </w:r>
      <w:r>
        <w:rPr>
          <w:color w:val="auto"/>
          <w:vertAlign w:val="superscript"/>
        </w:rPr>
        <w:t>th</w:t>
      </w:r>
      <w:r>
        <w:rPr>
          <w:color w:val="auto"/>
        </w:rPr>
        <w:t>) the share price of JBH dropped substantially. This was not caused by a world event nor an annoucement from the company but the fact that it was the ex-dividend date and many investors wanted to sell their stake in the company (</w:t>
      </w:r>
      <w:r>
        <w:rPr/>
        <w:t>Teboneras, 2022). This meant that because they were payed the dividend.</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 xml:space="preserve">Analyse the price history charts and other data and information to determine positive and negative influences and how these have impacted on the two businesses.  </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What is happening in the economy or other events which may be impacting on the company’s share price?</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 xml:space="preserve">Research company announcements for reasons why share prices have changed over the past six months.  What has happened to have a positive or negative impact for the company?  </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Does the company earn dividends, have these increased or decreased over 12 months?</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How is the company performing against its competitors? Compare share prices.</w:t>
      </w:r>
    </w:p>
    <w:p>
      <w:pPr>
        <w:pStyle w:val="ListParagraph"/>
        <w:numPr>
          <w:ilvl w:val="0"/>
          <w:numId w:val="3"/>
        </w:numPr>
        <w:ind w:left="360" w:right="0" w:hanging="360"/>
        <w:rPr>
          <w:rFonts w:eastAsia="等线 Light" w:cs="Calibri"/>
          <w:color w:val="C9211E"/>
          <w:sz w:val="24"/>
          <w:szCs w:val="24"/>
          <w:lang w:val="en-AU" w:eastAsia="en-AU"/>
        </w:rPr>
      </w:pPr>
      <w:r>
        <w:rPr>
          <w:rFonts w:eastAsia="等线 Light" w:cs="Calibri"/>
          <w:color w:val="C9211E"/>
          <w:sz w:val="24"/>
          <w:szCs w:val="24"/>
          <w:lang w:val="en-AU" w:eastAsia="en-AU"/>
        </w:rPr>
        <w:t>Interpret how these two companies have responded to changing economic conditions due to Covid 19.</w:t>
      </w:r>
    </w:p>
    <w:p>
      <w:pPr>
        <w:pStyle w:val="Normal"/>
        <w:spacing w:before="0" w:after="0"/>
        <w:rPr>
          <w:rFonts w:eastAsia="等线 Light" w:cs="Calibri"/>
          <w:color w:val="C9211E"/>
          <w:sz w:val="24"/>
          <w:szCs w:val="24"/>
          <w:lang w:val="en-AU" w:eastAsia="en-AU"/>
        </w:rPr>
      </w:pPr>
      <w:r>
        <w:rPr>
          <w:rFonts w:eastAsia="等线 Light" w:cs="Calibri"/>
          <w:color w:val="C9211E"/>
          <w:sz w:val="24"/>
          <w:szCs w:val="24"/>
          <w:lang w:val="en-AU" w:eastAsia="en-AU"/>
        </w:rPr>
        <w:t>Write your findings in the following table:</w:t>
      </w:r>
    </w:p>
    <w:p>
      <w:pPr>
        <w:pStyle w:val="Normal"/>
        <w:spacing w:before="0" w:after="0"/>
        <w:rPr>
          <w:rFonts w:eastAsia="等线 Light" w:cs="Calibri"/>
          <w:color w:val="C9211E"/>
          <w:sz w:val="24"/>
          <w:szCs w:val="24"/>
          <w:lang w:val="en-AU" w:eastAsia="en-AU"/>
        </w:rPr>
      </w:pPr>
      <w:r>
        <w:rPr>
          <w:rFonts w:eastAsia="等线 Light" w:cs="Calibri"/>
          <w:color w:val="C9211E"/>
          <w:sz w:val="24"/>
          <w:szCs w:val="24"/>
          <w:lang w:val="en-AU" w:eastAsia="en-AU"/>
        </w:rPr>
      </w:r>
    </w:p>
    <w:tbl>
      <w:tblPr>
        <w:tblW w:w="9015" w:type="dxa"/>
        <w:jc w:val="left"/>
        <w:tblInd w:w="-5" w:type="dxa"/>
        <w:tblLayout w:type="fixed"/>
        <w:tblCellMar>
          <w:top w:w="0" w:type="dxa"/>
          <w:left w:w="108" w:type="dxa"/>
          <w:bottom w:w="0" w:type="dxa"/>
          <w:right w:w="108" w:type="dxa"/>
        </w:tblCellMar>
      </w:tblPr>
      <w:tblGrid>
        <w:gridCol w:w="4245"/>
        <w:gridCol w:w="4769"/>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Name of Business: JB Hi-Fi</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Positive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Negative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ListParagraph"/>
        <w:ind w:left="360" w:right="0" w:hanging="0"/>
        <w:rPr>
          <w:rFonts w:eastAsia="等线 Light" w:cs="Calibri"/>
          <w:sz w:val="24"/>
          <w:szCs w:val="24"/>
          <w:lang w:val="en-AU" w:eastAsia="en-AU"/>
        </w:rPr>
      </w:pPr>
      <w:r>
        <w:rPr>
          <w:rFonts w:eastAsia="等线 Light" w:cs="Calibri"/>
          <w:sz w:val="24"/>
          <w:szCs w:val="24"/>
          <w:lang w:val="en-AU" w:eastAsia="en-AU"/>
        </w:rPr>
      </w:r>
    </w:p>
    <w:tbl>
      <w:tblPr>
        <w:tblW w:w="9015" w:type="dxa"/>
        <w:jc w:val="left"/>
        <w:tblInd w:w="-5" w:type="dxa"/>
        <w:tblLayout w:type="fixed"/>
        <w:tblCellMar>
          <w:top w:w="0" w:type="dxa"/>
          <w:left w:w="108" w:type="dxa"/>
          <w:bottom w:w="0" w:type="dxa"/>
          <w:right w:w="108" w:type="dxa"/>
        </w:tblCellMar>
      </w:tblPr>
      <w:tblGrid>
        <w:gridCol w:w="4245"/>
        <w:gridCol w:w="4769"/>
      </w:tblGrid>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Name of Business: Harvey Norman</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Impact on the business</w:t>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Positive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424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Negative findings</w:t>
            </w:r>
          </w:p>
        </w:tc>
        <w:tc>
          <w:tcPr>
            <w:tcW w:w="4769"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lineRule="auto" w:line="240" w:before="0" w:after="0"/>
              <w:ind w:left="0" w:right="0" w:hanging="0"/>
              <w:contextualSpacing/>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rPr>
          <w:sz w:val="24"/>
          <w:szCs w:val="24"/>
        </w:rPr>
      </w:pPr>
      <w:r>
        <w:rPr>
          <w:sz w:val="24"/>
          <w:szCs w:val="24"/>
        </w:rPr>
      </w:r>
    </w:p>
    <w:p>
      <w:pPr>
        <w:pStyle w:val="Normal"/>
        <w:rPr>
          <w:color w:val="C9211E"/>
          <w:sz w:val="24"/>
          <w:szCs w:val="24"/>
        </w:rPr>
      </w:pPr>
      <w:r>
        <w:rPr>
          <w:color w:val="C9211E"/>
          <w:sz w:val="24"/>
          <w:szCs w:val="24"/>
        </w:rPr>
        <w:t>(approx. 150 words)</w:t>
      </w:r>
    </w:p>
    <w:p>
      <w:pPr>
        <w:pStyle w:val="Normal"/>
        <w:rPr>
          <w:sz w:val="24"/>
          <w:szCs w:val="24"/>
        </w:rPr>
      </w:pPr>
      <w:r>
        <w:rPr>
          <w:sz w:val="24"/>
          <w:szCs w:val="24"/>
        </w:rPr>
      </w:r>
    </w:p>
    <w:p>
      <w:pPr>
        <w:pStyle w:val="Normal"/>
        <w:pBdr>
          <w:top w:val="dotted" w:sz="2" w:space="1" w:color="833C0B"/>
          <w:bottom w:val="dotted" w:sz="2" w:space="6" w:color="833C0B"/>
        </w:pBdr>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PART D Recommendations</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Explain the financial risks and rewards when investing in the share market.  What strategies can be used to minimise any risks?</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Based on your research of the overall performance of the company and that of a similar company, recommend which company would be a good investment for the client.</w:t>
      </w:r>
    </w:p>
    <w:p>
      <w:pPr>
        <w:pStyle w:val="Normal"/>
        <w:rPr>
          <w:color w:val="C9211E"/>
        </w:rPr>
      </w:pPr>
      <w:r>
        <w:rPr>
          <w:rFonts w:eastAsia="等线 Light" w:cs="Calibri"/>
          <w:color w:val="C9211E"/>
          <w:sz w:val="24"/>
          <w:szCs w:val="24"/>
          <w:lang w:val="en-AU" w:eastAsia="en-AU"/>
        </w:rPr>
        <w:t xml:space="preserve">Refer to your tracking table also for share price changes over the </w:t>
      </w:r>
      <w:r>
        <w:rPr>
          <w:rFonts w:eastAsia="等线 Light" w:cs="Calibri"/>
          <w:color w:val="C9211E"/>
          <w:sz w:val="24"/>
          <w:szCs w:val="24"/>
          <w:u w:val="single"/>
          <w:lang w:val="en-AU" w:eastAsia="en-AU"/>
        </w:rPr>
        <w:t xml:space="preserve">past three weeks </w:t>
      </w:r>
      <w:r>
        <w:rPr>
          <w:rFonts w:eastAsia="等线 Light" w:cs="Calibri"/>
          <w:color w:val="C9211E"/>
          <w:sz w:val="24"/>
          <w:szCs w:val="24"/>
          <w:lang w:val="en-AU" w:eastAsia="en-AU"/>
        </w:rPr>
        <w:t xml:space="preserve">to support your response.  </w:t>
      </w:r>
      <w:r>
        <w:rPr>
          <w:rFonts w:eastAsia="等线 Light" w:cs="Calibri"/>
          <w:b/>
          <w:color w:val="C9211E"/>
          <w:sz w:val="24"/>
          <w:szCs w:val="24"/>
          <w:lang w:val="en-AU" w:eastAsia="en-AU"/>
        </w:rPr>
        <w:t>Source 3 (Appendix)</w:t>
      </w:r>
    </w:p>
    <w:p>
      <w:pPr>
        <w:pStyle w:val="Normal"/>
        <w:rPr>
          <w:rFonts w:eastAsia="等线 Light" w:cs="Calibri"/>
          <w:color w:val="C9211E"/>
          <w:sz w:val="24"/>
          <w:szCs w:val="24"/>
          <w:lang w:val="en-AU" w:eastAsia="en-AU"/>
        </w:rPr>
      </w:pPr>
      <w:r>
        <w:rPr>
          <w:rFonts w:eastAsia="等线 Light" w:cs="Calibri"/>
          <w:color w:val="C9211E"/>
          <w:sz w:val="24"/>
          <w:szCs w:val="24"/>
          <w:lang w:val="en-AU" w:eastAsia="en-AU"/>
        </w:rPr>
        <w:t>Refer to graphs and any other data to justify your recommendation.</w:t>
      </w:r>
    </w:p>
    <w:p>
      <w:pPr>
        <w:pStyle w:val="Normal"/>
        <w:spacing w:lineRule="auto" w:line="240" w:before="0" w:after="0"/>
        <w:rPr>
          <w:rFonts w:eastAsia="等线 Light" w:cs="Calibri"/>
          <w:color w:val="C9211E"/>
          <w:sz w:val="24"/>
          <w:szCs w:val="24"/>
          <w:lang w:val="en-AU" w:eastAsia="en-AU"/>
        </w:rPr>
      </w:pPr>
      <w:r>
        <w:rPr>
          <w:rFonts w:eastAsia="等线 Light" w:cs="Calibri"/>
          <w:color w:val="C9211E"/>
          <w:sz w:val="24"/>
          <w:szCs w:val="24"/>
          <w:lang w:val="en-AU" w:eastAsia="en-AU"/>
        </w:rPr>
      </w:r>
    </w:p>
    <w:p>
      <w:pPr>
        <w:pStyle w:val="Normal"/>
        <w:rPr>
          <w:color w:val="C9211E"/>
          <w:sz w:val="24"/>
          <w:szCs w:val="24"/>
        </w:rPr>
      </w:pPr>
      <w:r>
        <w:rPr>
          <w:color w:val="C9211E"/>
          <w:sz w:val="24"/>
          <w:szCs w:val="24"/>
        </w:rPr>
        <w:t>(approx. 150 words)</w:t>
      </w:r>
    </w:p>
    <w:p>
      <w:pPr>
        <w:pStyle w:val="Normal"/>
        <w:rPr>
          <w:rFonts w:eastAsia="等线 Light" w:cs="Calibri"/>
          <w:b/>
          <w:b/>
          <w:caps/>
          <w:color w:val="C9211E"/>
          <w:spacing w:val="50"/>
          <w:sz w:val="28"/>
          <w:szCs w:val="28"/>
          <w:lang w:val="en-AU" w:eastAsia="en-AU"/>
        </w:rPr>
      </w:pPr>
      <w:r>
        <w:rPr>
          <w:rFonts w:eastAsia="等线 Light" w:cs="Calibri"/>
          <w:b/>
          <w:caps/>
          <w:color w:val="C9211E"/>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Reference list</w:t>
      </w:r>
    </w:p>
    <w:p>
      <w:pPr>
        <w:pStyle w:val="Normal"/>
        <w:rPr>
          <w:rFonts w:eastAsia="等线 Light" w:cs="Calibri"/>
          <w:sz w:val="24"/>
          <w:szCs w:val="24"/>
          <w:lang w:val="en-AU" w:eastAsia="en-AU"/>
        </w:rPr>
      </w:pPr>
      <w:r>
        <w:rPr>
          <w:rFonts w:eastAsia="等线 Light" w:cs="Calibri"/>
          <w:sz w:val="24"/>
          <w:szCs w:val="24"/>
          <w:lang w:val="en-AU" w:eastAsia="en-AU"/>
        </w:rPr>
        <w:t xml:space="preserve">Teboneras, A. (2022). Why is the JB Hi-Fi share price slumping today? https://www.fool.com.au/2022/08/25/why-is-the-jb-hi-fi-share-price-slumping-today/ </w:t>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t xml:space="preserve">Zucchi, K. (2022). Inflation's Impact on Stock Returns. https://www.investopedia.com/articles/investing/052913/inflations-impact-stock-returns.asp </w:t>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b/>
          <w:b/>
          <w:caps/>
          <w:spacing w:val="50"/>
          <w:sz w:val="28"/>
          <w:szCs w:val="28"/>
          <w:lang w:val="en-AU" w:eastAsia="en-AU"/>
        </w:rPr>
      </w:pPr>
      <w:r>
        <w:rPr>
          <w:rFonts w:eastAsia="等线 Light" w:cs="Calibri"/>
          <w:b/>
          <w:caps/>
          <w:spacing w:val="50"/>
          <w:sz w:val="28"/>
          <w:szCs w:val="28"/>
          <w:lang w:val="en-AU" w:eastAsia="en-AU"/>
        </w:rPr>
      </w:r>
      <w:r>
        <w:br w:type="page"/>
      </w:r>
    </w:p>
    <w:p>
      <w:pPr>
        <w:pStyle w:val="Normal"/>
        <w:pBdr>
          <w:top w:val="dotted" w:sz="2" w:space="1" w:color="833C0B"/>
          <w:bottom w:val="dotted" w:sz="2" w:space="6" w:color="833C0B"/>
        </w:pBdr>
        <w:tabs>
          <w:tab w:val="clear" w:pos="720"/>
          <w:tab w:val="right" w:pos="9026" w:leader="none"/>
        </w:tabs>
        <w:spacing w:lineRule="auto" w:line="240" w:before="0" w:after="300"/>
        <w:rPr>
          <w:rFonts w:eastAsia="等线 Light" w:cs="Calibri"/>
          <w:b/>
          <w:b/>
          <w:caps/>
          <w:spacing w:val="50"/>
          <w:sz w:val="28"/>
          <w:szCs w:val="28"/>
          <w:lang w:val="en-AU" w:eastAsia="en-AU"/>
        </w:rPr>
      </w:pPr>
      <w:r>
        <w:rPr>
          <w:rFonts w:eastAsia="等线 Light" w:cs="Calibri"/>
          <w:b/>
          <w:caps/>
          <w:spacing w:val="50"/>
          <w:sz w:val="28"/>
          <w:szCs w:val="28"/>
          <w:lang w:val="en-AU" w:eastAsia="en-AU"/>
        </w:rPr>
        <w:t>Appendix</w:t>
        <w:tab/>
      </w:r>
    </w:p>
    <w:p>
      <w:pPr>
        <w:pStyle w:val="Normal"/>
        <w:rPr>
          <w:highlight w:val="none"/>
          <w:shd w:fill="auto" w:val="clear"/>
        </w:rPr>
      </w:pPr>
      <w:r>
        <w:rPr>
          <w:rFonts w:eastAsia="等线 Light" w:cs="Calibri"/>
          <w:b/>
          <w:bCs/>
          <w:sz w:val="24"/>
          <w:szCs w:val="24"/>
          <w:shd w:fill="auto" w:val="clear"/>
          <w:lang w:val="en-AU" w:eastAsia="en-AU"/>
        </w:rPr>
        <w:t>Figure 1:  Performance of Harvey Norman From May to September 2022</w:t>
      </w:r>
    </w:p>
    <w:tbl>
      <w:tblPr>
        <w:tblW w:w="9094" w:type="dxa"/>
        <w:jc w:val="left"/>
        <w:tblInd w:w="0" w:type="dxa"/>
        <w:tblLayout w:type="fixed"/>
        <w:tblCellMar>
          <w:top w:w="0" w:type="dxa"/>
          <w:left w:w="108" w:type="dxa"/>
          <w:bottom w:w="0" w:type="dxa"/>
          <w:right w:w="108" w:type="dxa"/>
        </w:tblCellMar>
      </w:tblPr>
      <w:tblGrid>
        <w:gridCol w:w="9094"/>
      </w:tblGrid>
      <w:tr>
        <w:trPr/>
        <w:tc>
          <w:tcPr>
            <w:tcW w:w="909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bookmarkStart w:id="1" w:name="_Hlk79579376"/>
            <w:bookmarkStart w:id="2" w:name="_Hlk79579376"/>
            <w:bookmarkEnd w:id="2"/>
          </w:p>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drawing>
                <wp:inline distT="0" distB="0" distL="0" distR="0">
                  <wp:extent cx="4925695" cy="35814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925695" cy="3581400"/>
                          </a:xfrm>
                          <a:prstGeom prst="rect">
                            <a:avLst/>
                          </a:prstGeom>
                        </pic:spPr>
                      </pic:pic>
                    </a:graphicData>
                  </a:graphic>
                </wp:inline>
              </w:drawing>
            </w:r>
            <w:bookmarkStart w:id="3" w:name="_Hlk795793761"/>
            <w:bookmarkEnd w:id="3"/>
          </w:p>
        </w:tc>
      </w:tr>
    </w:tbl>
    <w:p>
      <w:pPr>
        <w:pStyle w:val="Normal"/>
        <w:rPr/>
      </w:pPr>
      <w:r>
        <w:rPr>
          <w:rFonts w:eastAsia="等线 Light" w:cs="Calibri"/>
          <w:b/>
          <w:bCs/>
          <w:sz w:val="24"/>
          <w:szCs w:val="24"/>
          <w:lang w:val="en-AU" w:eastAsia="en-AU"/>
        </w:rPr>
        <w:t>Figure 2:  Per</w:t>
      </w:r>
      <w:r>
        <w:rPr>
          <w:rFonts w:eastAsia="等线 Light" w:cs="Calibri"/>
          <w:b/>
          <w:bCs/>
          <w:sz w:val="24"/>
          <w:szCs w:val="24"/>
          <w:shd w:fill="auto" w:val="clear"/>
          <w:lang w:val="en-AU" w:eastAsia="en-AU"/>
        </w:rPr>
        <w:t>formance of JB Hi-Fi From May to September 2022</w:t>
      </w:r>
    </w:p>
    <w:tbl>
      <w:tblPr>
        <w:tblW w:w="9016" w:type="dxa"/>
        <w:jc w:val="left"/>
        <w:tblInd w:w="0" w:type="dxa"/>
        <w:tblLayout w:type="fixed"/>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drawing>
                <wp:inline distT="0" distB="0" distL="0" distR="0">
                  <wp:extent cx="4925695" cy="363093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925695" cy="3630930"/>
                          </a:xfrm>
                          <a:prstGeom prst="rect">
                            <a:avLst/>
                          </a:prstGeom>
                        </pic:spPr>
                      </pic:pic>
                    </a:graphicData>
                  </a:graphic>
                </wp:inline>
              </w:drawing>
            </w:r>
          </w:p>
        </w:tc>
      </w:tr>
    </w:tbl>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rFonts w:eastAsia="等线 Light" w:cs="Calibri"/>
          <w:sz w:val="24"/>
          <w:szCs w:val="24"/>
          <w:lang w:val="en-AU" w:eastAsia="en-AU"/>
        </w:rPr>
      </w:pPr>
      <w:r>
        <w:rPr>
          <w:rFonts w:eastAsia="等线 Light" w:cs="Calibri"/>
          <w:sz w:val="24"/>
          <w:szCs w:val="24"/>
          <w:lang w:val="en-AU" w:eastAsia="en-AU"/>
        </w:rPr>
        <w:t>Record the share prices of your chosen companies in the table below for three weeks.</w:t>
      </w:r>
    </w:p>
    <w:p>
      <w:pPr>
        <w:pStyle w:val="Normal"/>
        <w:rPr/>
      </w:pPr>
      <w:r>
        <w:rPr>
          <w:rFonts w:eastAsia="等线 Light" w:cs="Calibri"/>
          <w:b/>
          <w:bCs/>
          <w:sz w:val="24"/>
          <w:szCs w:val="24"/>
          <w:lang w:val="en-AU" w:eastAsia="en-AU"/>
        </w:rPr>
        <w:t>Table 1:  Tracking T</w:t>
      </w:r>
      <w:r>
        <w:rPr>
          <w:rFonts w:eastAsia="等线 Light" w:cs="Calibri"/>
          <w:b/>
          <w:bCs/>
          <w:sz w:val="24"/>
          <w:szCs w:val="24"/>
          <w:shd w:fill="auto" w:val="clear"/>
          <w:lang w:val="en-AU" w:eastAsia="en-AU"/>
        </w:rPr>
        <w:t>able of Harvey Norman</w:t>
      </w:r>
    </w:p>
    <w:tbl>
      <w:tblPr>
        <w:tblW w:w="6658" w:type="dxa"/>
        <w:jc w:val="left"/>
        <w:tblInd w:w="0" w:type="dxa"/>
        <w:tblLayout w:type="fixed"/>
        <w:tblCellMar>
          <w:top w:w="0" w:type="dxa"/>
          <w:left w:w="108" w:type="dxa"/>
          <w:bottom w:w="0" w:type="dxa"/>
          <w:right w:w="108" w:type="dxa"/>
        </w:tblCellMar>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4"/>
                <w:szCs w:val="24"/>
                <w:lang w:val="en-AU" w:eastAsia="en-AU" w:bidi="ar-SA"/>
              </w:rPr>
            </w:pPr>
            <w:r>
              <w:rPr>
                <w:rFonts w:eastAsia="等线 Light"/>
                <w:kern w:val="0"/>
                <w:sz w:val="24"/>
                <w:szCs w:val="24"/>
                <w:lang w:val="en-AU" w:eastAsia="en-AU" w:bidi="ar-SA"/>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4.330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kern w:val="0"/>
                <w:lang w:bidi="ar-SA"/>
              </w:rPr>
            </w:pPr>
            <w:r>
              <w:rPr>
                <w:rFonts w:eastAsia="等线 Light" w:cs="Calibri"/>
                <w:kern w:val="0"/>
                <w:sz w:val="24"/>
                <w:szCs w:val="24"/>
                <w:lang w:val="en-AU" w:eastAsia="en-AU"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4"/>
                <w:szCs w:val="24"/>
                <w:lang w:val="en-AU" w:eastAsia="en-AU" w:bidi="ar-SA"/>
              </w:rPr>
            </w:pPr>
            <w:r>
              <w:rPr>
                <w:rFonts w:eastAsia="等线 Light"/>
                <w:kern w:val="0"/>
                <w:sz w:val="24"/>
                <w:szCs w:val="24"/>
                <w:lang w:val="en-AU" w:eastAsia="en-AU" w:bidi="ar-SA"/>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AU" w:eastAsia="en-AU" w:bidi="ar-SA"/>
              </w:rPr>
            </w:pPr>
            <w:r>
              <w:rPr>
                <w:sz w:val="24"/>
                <w:szCs w:val="24"/>
                <w:lang w:val="en-AU" w:eastAsia="en-AU"/>
              </w:rPr>
              <w:t>4.330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4"/>
                <w:szCs w:val="24"/>
                <w:lang w:val="en-US" w:eastAsia="en-US" w:bidi="ar-SA"/>
              </w:rPr>
            </w:pPr>
            <w:r>
              <w:rPr>
                <w:rFonts w:eastAsia="Calibri"/>
                <w:kern w:val="0"/>
                <w:sz w:val="24"/>
                <w:szCs w:val="24"/>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4.390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4"/>
                <w:szCs w:val="24"/>
                <w:lang w:val="en-US" w:eastAsia="en-US" w:bidi="ar-SA"/>
              </w:rPr>
            </w:pPr>
            <w:r>
              <w:rPr>
                <w:rFonts w:eastAsia="等线 Light" w:cs="Calibri"/>
                <w:kern w:val="0"/>
                <w:sz w:val="24"/>
                <w:szCs w:val="24"/>
                <w:lang w:val="en-US" w:eastAsia="en-US" w:bidi="ar-SA"/>
              </w:rPr>
              <w:t>+0.06</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t>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4.210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-0.18</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9</w:t>
            </w:r>
          </w:p>
        </w:tc>
        <w:tc>
          <w:tcPr>
            <w:tcW w:w="13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kern w:val="0"/>
                <w:sz w:val="22"/>
                <w:szCs w:val="22"/>
                <w:lang w:val="en-US" w:eastAsia="en-US" w:bidi="ar-SA"/>
              </w:rPr>
            </w:pPr>
            <w:r>
              <w:rPr>
                <w:rFonts w:eastAsia="等线 Light"/>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rPr>
          <w:rFonts w:eastAsia="等线 Light" w:cs="Calibri"/>
          <w:sz w:val="24"/>
          <w:szCs w:val="24"/>
          <w:lang w:val="en-AU" w:eastAsia="en-AU"/>
        </w:rPr>
      </w:pPr>
      <w:r>
        <w:rPr>
          <w:rFonts w:eastAsia="等线 Light" w:cs="Calibri"/>
          <w:sz w:val="24"/>
          <w:szCs w:val="24"/>
          <w:lang w:val="en-AU" w:eastAsia="en-AU"/>
        </w:rPr>
      </w:r>
    </w:p>
    <w:p>
      <w:pPr>
        <w:pStyle w:val="Normal"/>
        <w:rPr/>
      </w:pPr>
      <w:r>
        <w:rPr>
          <w:rFonts w:eastAsia="等线 Light" w:cs="Calibri"/>
          <w:b/>
          <w:bCs/>
          <w:sz w:val="24"/>
          <w:szCs w:val="24"/>
          <w:lang w:val="en-AU" w:eastAsia="en-AU"/>
        </w:rPr>
        <w:t>Table 2:   Tracking T</w:t>
      </w:r>
      <w:r>
        <w:rPr>
          <w:rFonts w:eastAsia="等线 Light" w:cs="Calibri"/>
          <w:b/>
          <w:bCs/>
          <w:sz w:val="24"/>
          <w:szCs w:val="24"/>
          <w:shd w:fill="auto" w:val="clear"/>
          <w:lang w:val="en-AU" w:eastAsia="en-AU"/>
        </w:rPr>
        <w:t>able of JB Hi-Fi</w:t>
      </w:r>
    </w:p>
    <w:tbl>
      <w:tblPr>
        <w:tblW w:w="6658" w:type="dxa"/>
        <w:jc w:val="left"/>
        <w:tblInd w:w="0" w:type="dxa"/>
        <w:tblLayout w:type="fixed"/>
        <w:tblCellMar>
          <w:top w:w="0" w:type="dxa"/>
          <w:left w:w="108" w:type="dxa"/>
          <w:bottom w:w="0" w:type="dxa"/>
          <w:right w:w="108" w:type="dxa"/>
        </w:tblCellMar>
      </w:tblPr>
      <w:tblGrid>
        <w:gridCol w:w="778"/>
        <w:gridCol w:w="1343"/>
        <w:gridCol w:w="709"/>
        <w:gridCol w:w="1843"/>
        <w:gridCol w:w="1985"/>
      </w:tblGrid>
      <w:tr>
        <w:trPr/>
        <w:tc>
          <w:tcPr>
            <w:tcW w:w="7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Week</w:t>
            </w:r>
          </w:p>
        </w:tc>
        <w:tc>
          <w:tcPr>
            <w:tcW w:w="205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Date</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Last price</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Price change</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7</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22</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43.770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24</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43.810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+0.04</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26</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42.510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-1.03</w:t>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8</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30</w:t>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t>Aug</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40.510</w:t>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t>-2.00</w:t>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Calibri"/>
                <w:kern w:val="0"/>
                <w:sz w:val="22"/>
                <w:szCs w:val="22"/>
                <w:lang w:val="en-US" w:eastAsia="en-US" w:bidi="ar-SA"/>
              </w:rPr>
            </w:pPr>
            <w:r>
              <w:rPr>
                <w:rFonts w:eastAsia="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480" w:before="0" w:after="0"/>
              <w:jc w:val="center"/>
              <w:rPr>
                <w:rFonts w:ascii="Calibri" w:hAnsi="Calibri" w:eastAsia="等线 Light" w:cs="Calibri"/>
                <w:kern w:val="0"/>
                <w:sz w:val="24"/>
                <w:szCs w:val="24"/>
                <w:lang w:val="en-AU" w:eastAsia="en-AU" w:bidi="ar-SA"/>
              </w:rPr>
            </w:pPr>
            <w:r>
              <w:rPr>
                <w:rFonts w:eastAsia="等线 Light" w:cs="Calibri"/>
                <w:kern w:val="0"/>
                <w:sz w:val="24"/>
                <w:szCs w:val="24"/>
                <w:lang w:val="en-AU" w:eastAsia="en-AU" w:bidi="ar-SA"/>
              </w:rPr>
              <w:t>9</w:t>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r>
        <w:trPr/>
        <w:tc>
          <w:tcPr>
            <w:tcW w:w="77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0" w:after="160"/>
              <w:jc w:val="left"/>
              <w:rPr/>
            </w:pPr>
            <w:r>
              <w:rPr/>
            </w:r>
          </w:p>
        </w:tc>
        <w:tc>
          <w:tcPr>
            <w:tcW w:w="13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righ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7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c>
          <w:tcPr>
            <w:tcW w:w="19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before="0" w:after="0"/>
              <w:jc w:val="left"/>
              <w:rPr>
                <w:rFonts w:ascii="Calibri" w:hAnsi="Calibri" w:eastAsia="等线 Light" w:cs="Calibri"/>
                <w:kern w:val="0"/>
                <w:sz w:val="22"/>
                <w:szCs w:val="22"/>
                <w:lang w:val="en-US" w:eastAsia="en-US" w:bidi="ar-SA"/>
              </w:rPr>
            </w:pPr>
            <w:r>
              <w:rPr>
                <w:rFonts w:eastAsia="等线 Light" w:cs="Calibri"/>
                <w:kern w:val="0"/>
                <w:sz w:val="22"/>
                <w:szCs w:val="22"/>
                <w:lang w:val="en-US" w:eastAsia="en-US" w:bidi="ar-SA"/>
              </w:rPr>
            </w:r>
          </w:p>
        </w:tc>
      </w:tr>
    </w:tbl>
    <w:p>
      <w:pPr>
        <w:pStyle w:val="Normal"/>
        <w:widowControl/>
        <w:bidi w:val="0"/>
        <w:spacing w:lineRule="auto" w:line="259" w:before="0" w:after="160"/>
        <w:jc w:val="left"/>
        <w:rPr/>
      </w:pPr>
      <w:r>
        <w:rPr/>
      </w:r>
    </w:p>
    <w:sectPr>
      <w:footerReference w:type="default" r:id="rId4"/>
      <w:type w:val="nextPage"/>
      <w:pgSz w:w="11906" w:h="16838"/>
      <w:pgMar w:left="1440" w:right="1440" w:gutter="0" w:header="0" w:top="1021" w:footer="709" w:bottom="102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James Macgillivray</w:t>
      <w:tab/>
      <w:tab/>
    </w:r>
    <w:r>
      <w:rPr/>
      <w:fldChar w:fldCharType="begin"/>
    </w:r>
    <w:r>
      <w:rPr/>
      <w:instrText xml:space="preserve"> PAGE </w:instrText>
    </w:r>
    <w:r>
      <w:rPr/>
      <w:fldChar w:fldCharType="separate"/>
    </w:r>
    <w:r>
      <w:rPr/>
      <w:t>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315</TotalTime>
  <Application>LibreOffice/7.4.0.3$Linux_X86_64 LibreOffice_project/40$Build-3</Application>
  <AppVersion>15.0000</AppVersion>
  <Pages>8</Pages>
  <Words>1056</Words>
  <Characters>5218</Characters>
  <CharactersWithSpaces>6173</CharactersWithSpaces>
  <Paragraphs>114</Paragraphs>
  <Company>Good Counsel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2018-08-17T00:10:00Z</dcterms:created>
  <dc:creator>Theresa Snodgrass</dc:creator>
  <dc:description/>
  <dc:language>en-AU</dc:language>
  <cp:lastModifiedBy/>
  <dcterms:modified xsi:type="dcterms:W3CDTF">2022-09-05T07:59:36Z</dcterms:modified>
  <cp:revision>136</cp:revision>
  <dc:subject>Report for Client</dc:subject>
  <dc:title>The Sharemarket</dc:title>
</cp:coreProperties>
</file>

<file path=docProps/custom.xml><?xml version="1.0" encoding="utf-8"?>
<Properties xmlns="http://schemas.openxmlformats.org/officeDocument/2006/custom-properties" xmlns:vt="http://schemas.openxmlformats.org/officeDocument/2006/docPropsVTypes"/>
</file>