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US"/>
        </w:rPr>
      </w:pPr>
      <w:r>
        <w:rPr>
          <w:b/>
          <w:bCs/>
          <w:sz w:val="32"/>
          <w:szCs w:val="32"/>
          <w:lang w:val="en-US"/>
        </w:rPr>
        <w:t>Soil Horizons</w:t>
      </w:r>
    </w:p>
    <w:p>
      <w:pPr>
        <w:pStyle w:val="Normal"/>
        <w:rPr>
          <w:sz w:val="24"/>
          <w:szCs w:val="24"/>
          <w:lang w:val="en-US"/>
        </w:rPr>
      </w:pPr>
      <w:r>
        <w:rPr>
          <w:sz w:val="24"/>
          <w:szCs w:val="24"/>
          <w:lang w:val="en-US"/>
        </w:rPr>
        <w:t>A typical soil profile has a number of distinct layers called horizons.</w:t>
      </w:r>
    </w:p>
    <w:p>
      <w:pPr>
        <w:pStyle w:val="Normal"/>
        <w:spacing w:lineRule="auto" w:line="240"/>
        <w:rPr>
          <w:sz w:val="24"/>
          <w:szCs w:val="24"/>
          <w:lang w:val="en-US"/>
        </w:rPr>
      </w:pPr>
      <w:r>
        <w:rPr>
          <w:sz w:val="24"/>
          <w:szCs w:val="24"/>
          <w:lang w:val="en-US"/>
        </w:rPr>
        <w:t>Cut and paste the statements below and match to the correct horizon.  Arrange the statements so that they are in the correct order from top to bottom.</w:t>
      </w:r>
    </w:p>
    <w:tbl>
      <w:tblPr>
        <w:tblStyle w:val="TableGrid"/>
        <w:tblW w:w="102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9258"/>
      </w:tblGrid>
      <w:tr>
        <w:trPr/>
        <w:tc>
          <w:tcPr>
            <w:tcW w:w="987" w:type="dxa"/>
            <w:tcBorders/>
          </w:tcPr>
          <w:p>
            <w:pPr>
              <w:pStyle w:val="Normal"/>
              <w:widowControl/>
              <w:spacing w:lineRule="auto" w:line="240" w:before="0" w:after="0"/>
              <w:jc w:val="left"/>
              <w:rPr>
                <w:sz w:val="24"/>
                <w:szCs w:val="24"/>
                <w:lang w:val="en-US"/>
              </w:rPr>
            </w:pPr>
            <w:r>
              <w:rPr>
                <w:rFonts w:eastAsia="Calibri" w:cs=""/>
                <w:kern w:val="0"/>
                <w:sz w:val="24"/>
                <w:szCs w:val="24"/>
                <w:lang w:val="en-US" w:eastAsia="en-US" w:bidi="ar-SA"/>
              </w:rPr>
              <w:t>Horizon</w:t>
            </w:r>
          </w:p>
        </w:tc>
        <w:tc>
          <w:tcPr>
            <w:tcW w:w="9258" w:type="dxa"/>
            <w:tcBorders/>
          </w:tcPr>
          <w:p>
            <w:pPr>
              <w:pStyle w:val="Normal"/>
              <w:widowControl/>
              <w:spacing w:lineRule="auto" w:line="240" w:before="0" w:after="0"/>
              <w:jc w:val="left"/>
              <w:rPr>
                <w:sz w:val="24"/>
                <w:szCs w:val="24"/>
                <w:lang w:val="en-US"/>
              </w:rPr>
            </w:pPr>
            <w:r>
              <w:rPr>
                <w:rFonts w:eastAsia="Calibri" w:cs=""/>
                <w:kern w:val="0"/>
                <w:sz w:val="24"/>
                <w:szCs w:val="24"/>
                <w:lang w:val="en-US" w:eastAsia="en-US" w:bidi="ar-SA"/>
              </w:rPr>
              <w:t xml:space="preserve">Statement </w:t>
            </w:r>
          </w:p>
        </w:tc>
      </w:tr>
      <w:tr>
        <w:trPr/>
        <w:tc>
          <w:tcPr>
            <w:tcW w:w="987" w:type="dxa"/>
            <w:tcBorders/>
          </w:tcPr>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p>
            <w:pPr>
              <w:pStyle w:val="Normal"/>
              <w:widowControl/>
              <w:spacing w:lineRule="auto" w:line="240" w:before="0" w:after="0"/>
              <w:jc w:val="left"/>
              <w:rPr>
                <w:sz w:val="24"/>
                <w:szCs w:val="24"/>
                <w:lang w:val="en-US"/>
              </w:rPr>
            </w:pPr>
            <w:r>
              <w:rPr>
                <w:rFonts w:eastAsia="Calibri" w:cs=""/>
                <w:kern w:val="0"/>
                <w:sz w:val="24"/>
                <w:szCs w:val="24"/>
                <w:lang w:val="en-US" w:eastAsia="en-US" w:bidi="ar-SA"/>
              </w:rPr>
              <w:t>O</w:t>
            </w:r>
          </w:p>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tc>
        <w:tc>
          <w:tcPr>
            <w:tcW w:w="9258" w:type="dxa"/>
            <w:tcBorders/>
          </w:tcPr>
          <w:p>
            <w:pPr>
              <w:pStyle w:val="ListParagraph"/>
              <w:widowControl/>
              <w:spacing w:lineRule="auto" w:line="240" w:before="0" w:after="0"/>
              <w:ind w:hanging="0"/>
              <w:contextualSpacing/>
              <w:jc w:val="left"/>
              <w:rPr>
                <w:sz w:val="24"/>
                <w:szCs w:val="24"/>
                <w:lang w:val="en-US"/>
              </w:rPr>
            </w:pPr>
            <w:r>
              <w:rPr>
                <w:rFonts w:eastAsia="Calibri" w:cs=""/>
                <w:kern w:val="0"/>
                <w:sz w:val="24"/>
                <w:szCs w:val="24"/>
                <w:lang w:val="en-US" w:eastAsia="en-US" w:bidi="ar-SA"/>
              </w:rPr>
              <w:t>Organic matter: A thin layer of decomposing matter, humus and material that has not started to decompose, such as leaf litter.</w:t>
            </w:r>
          </w:p>
        </w:tc>
      </w:tr>
      <w:tr>
        <w:trPr/>
        <w:tc>
          <w:tcPr>
            <w:tcW w:w="987" w:type="dxa"/>
            <w:tcBorders/>
          </w:tcPr>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p>
            <w:pPr>
              <w:pStyle w:val="Normal"/>
              <w:widowControl/>
              <w:spacing w:lineRule="auto" w:line="240" w:before="0" w:after="0"/>
              <w:jc w:val="left"/>
              <w:rPr>
                <w:sz w:val="24"/>
                <w:szCs w:val="24"/>
                <w:lang w:val="en-US"/>
              </w:rPr>
            </w:pPr>
            <w:r>
              <w:rPr>
                <w:rFonts w:eastAsia="Calibri" w:cs=""/>
                <w:kern w:val="0"/>
                <w:sz w:val="24"/>
                <w:szCs w:val="24"/>
                <w:lang w:val="en-US" w:eastAsia="en-US" w:bidi="ar-SA"/>
              </w:rPr>
              <w:t>A</w:t>
            </w:r>
          </w:p>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tc>
        <w:tc>
          <w:tcPr>
            <w:tcW w:w="9258" w:type="dxa"/>
            <w:tcBorders/>
          </w:tcPr>
          <w:p>
            <w:pPr>
              <w:pStyle w:val="ListParagraph"/>
              <w:widowControl/>
              <w:spacing w:lineRule="auto" w:line="240" w:before="0" w:after="0"/>
              <w:ind w:hanging="0"/>
              <w:contextualSpacing/>
              <w:jc w:val="left"/>
              <w:rPr>
                <w:sz w:val="24"/>
                <w:szCs w:val="24"/>
                <w:lang w:val="en-US"/>
              </w:rPr>
            </w:pPr>
            <w:r>
              <w:rPr>
                <w:rFonts w:eastAsia="Calibri" w:cs=""/>
                <w:kern w:val="0"/>
                <w:sz w:val="24"/>
                <w:szCs w:val="24"/>
                <w:lang w:val="en-US" w:eastAsia="en-US" w:bidi="ar-SA"/>
              </w:rPr>
              <w:t>Topsoil: The upper layer of soil, nearest the surface.  Rich in nutrients to support plant growth and usually dark in colour.  Most plant roots and soil organisms are found in this horizon which will also contain some minerals.  A constant supply of decomposing organic matter is needed to maintain soil fertility.</w:t>
              <w:br/>
            </w:r>
          </w:p>
        </w:tc>
      </w:tr>
      <w:tr>
        <w:trPr/>
        <w:tc>
          <w:tcPr>
            <w:tcW w:w="987" w:type="dxa"/>
            <w:tcBorders/>
          </w:tcPr>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p>
            <w:pPr>
              <w:pStyle w:val="Normal"/>
              <w:widowControl/>
              <w:spacing w:lineRule="auto" w:line="240" w:before="0" w:after="0"/>
              <w:jc w:val="left"/>
              <w:rPr>
                <w:sz w:val="24"/>
                <w:szCs w:val="24"/>
                <w:lang w:val="en-US"/>
              </w:rPr>
            </w:pPr>
            <w:r>
              <w:rPr>
                <w:rFonts w:eastAsia="Calibri" w:cs=""/>
                <w:kern w:val="0"/>
                <w:sz w:val="24"/>
                <w:szCs w:val="24"/>
                <w:lang w:val="en-US" w:eastAsia="en-US" w:bidi="ar-SA"/>
              </w:rPr>
              <w:t>B</w:t>
            </w:r>
          </w:p>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tc>
        <w:tc>
          <w:tcPr>
            <w:tcW w:w="9258" w:type="dxa"/>
            <w:tcBorders/>
          </w:tcPr>
          <w:p>
            <w:pPr>
              <w:pStyle w:val="ListParagraph"/>
              <w:widowControl/>
              <w:numPr>
                <w:ilvl w:val="0"/>
                <w:numId w:val="0"/>
              </w:numPr>
              <w:spacing w:lineRule="auto" w:line="240" w:before="0" w:after="0"/>
              <w:ind w:left="360" w:hanging="0"/>
              <w:contextualSpacing/>
              <w:jc w:val="left"/>
              <w:rPr>
                <w:sz w:val="24"/>
                <w:szCs w:val="24"/>
                <w:lang w:val="en-US"/>
              </w:rPr>
            </w:pPr>
            <w:r>
              <w:rPr>
                <w:rFonts w:eastAsia="Calibri" w:cs=""/>
                <w:kern w:val="0"/>
                <w:sz w:val="24"/>
                <w:szCs w:val="24"/>
                <w:lang w:val="en-US" w:eastAsia="en-US" w:bidi="ar-SA"/>
              </w:rPr>
              <w:t>Subsoil: Plant litter not present, little humus is present.  Nutrients leached from horizon A accumulate in this layer which will be lighter in colour.  Will contain more minerals then the horizon above.</w:t>
            </w:r>
          </w:p>
        </w:tc>
      </w:tr>
      <w:tr>
        <w:trPr/>
        <w:tc>
          <w:tcPr>
            <w:tcW w:w="987" w:type="dxa"/>
            <w:tcBorders/>
          </w:tcPr>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p>
            <w:pPr>
              <w:pStyle w:val="Normal"/>
              <w:widowControl/>
              <w:spacing w:lineRule="auto" w:line="240" w:before="0" w:after="0"/>
              <w:jc w:val="left"/>
              <w:rPr>
                <w:sz w:val="24"/>
                <w:szCs w:val="24"/>
                <w:lang w:val="en-US"/>
              </w:rPr>
            </w:pPr>
            <w:r>
              <w:rPr>
                <w:rFonts w:eastAsia="Calibri" w:cs=""/>
                <w:kern w:val="0"/>
                <w:sz w:val="24"/>
                <w:szCs w:val="24"/>
                <w:lang w:val="en-US" w:eastAsia="en-US" w:bidi="ar-SA"/>
              </w:rPr>
              <w:t>C</w:t>
            </w:r>
          </w:p>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tc>
        <w:tc>
          <w:tcPr>
            <w:tcW w:w="9258" w:type="dxa"/>
            <w:tcBorders/>
          </w:tcPr>
          <w:p>
            <w:pPr>
              <w:pStyle w:val="ListParagraph"/>
              <w:widowControl/>
              <w:numPr>
                <w:ilvl w:val="0"/>
                <w:numId w:val="0"/>
              </w:numPr>
              <w:spacing w:lineRule="auto" w:line="240" w:before="0" w:after="0"/>
              <w:ind w:left="360" w:hanging="0"/>
              <w:contextualSpacing/>
              <w:jc w:val="left"/>
              <w:rPr>
                <w:sz w:val="24"/>
                <w:szCs w:val="24"/>
                <w:lang w:val="en-US"/>
              </w:rPr>
            </w:pPr>
            <w:r>
              <w:rPr>
                <w:rFonts w:eastAsia="Calibri" w:cs=""/>
                <w:kern w:val="0"/>
                <w:sz w:val="24"/>
                <w:szCs w:val="24"/>
                <w:lang w:val="en-US" w:eastAsia="en-US" w:bidi="ar-SA"/>
              </w:rPr>
              <w:t>Parent Material: Underlying layer of partly weathered roc</w:t>
            </w:r>
            <w:r>
              <w:rPr>
                <w:rFonts w:eastAsia="Calibri" w:cs=""/>
                <w:kern w:val="0"/>
                <w:sz w:val="24"/>
                <w:szCs w:val="24"/>
                <w:lang w:val="en-US" w:eastAsia="en-US" w:bidi="ar-SA"/>
              </w:rPr>
              <w:t>k</w:t>
            </w:r>
          </w:p>
        </w:tc>
      </w:tr>
      <w:tr>
        <w:trPr/>
        <w:tc>
          <w:tcPr>
            <w:tcW w:w="987" w:type="dxa"/>
            <w:tcBorders/>
          </w:tcPr>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p>
            <w:pPr>
              <w:pStyle w:val="Normal"/>
              <w:widowControl/>
              <w:spacing w:lineRule="auto" w:line="240" w:before="0" w:after="0"/>
              <w:jc w:val="left"/>
              <w:rPr>
                <w:sz w:val="24"/>
                <w:szCs w:val="24"/>
                <w:lang w:val="en-US"/>
              </w:rPr>
            </w:pPr>
            <w:r>
              <w:rPr>
                <w:rFonts w:eastAsia="Calibri" w:cs=""/>
                <w:kern w:val="0"/>
                <w:sz w:val="24"/>
                <w:szCs w:val="24"/>
                <w:lang w:val="en-US" w:eastAsia="en-US" w:bidi="ar-SA"/>
              </w:rPr>
              <w:t>R</w:t>
            </w:r>
          </w:p>
          <w:p>
            <w:pPr>
              <w:pStyle w:val="Normal"/>
              <w:widowControl/>
              <w:spacing w:lineRule="auto" w:line="240" w:before="0" w:after="0"/>
              <w:jc w:val="left"/>
              <w:rPr>
                <w:sz w:val="24"/>
                <w:szCs w:val="24"/>
                <w:lang w:val="en-US"/>
              </w:rPr>
            </w:pPr>
            <w:r>
              <w:rPr>
                <w:rFonts w:eastAsia="Calibri" w:cs=""/>
                <w:kern w:val="0"/>
                <w:sz w:val="22"/>
                <w:szCs w:val="22"/>
                <w:lang w:val="en-AU" w:eastAsia="en-US" w:bidi="ar-SA"/>
              </w:rPr>
            </w:r>
          </w:p>
        </w:tc>
        <w:tc>
          <w:tcPr>
            <w:tcW w:w="9258" w:type="dxa"/>
            <w:tcBorders/>
          </w:tcPr>
          <w:p>
            <w:pPr>
              <w:pStyle w:val="ListParagraph"/>
              <w:widowControl/>
              <w:spacing w:lineRule="auto" w:line="240" w:before="0" w:after="0"/>
              <w:ind w:hanging="0"/>
              <w:contextualSpacing/>
              <w:jc w:val="left"/>
              <w:rPr>
                <w:sz w:val="24"/>
                <w:szCs w:val="24"/>
                <w:lang w:val="en-US"/>
              </w:rPr>
            </w:pPr>
            <w:r>
              <w:rPr>
                <w:rFonts w:eastAsia="Calibri" w:cs=""/>
                <w:kern w:val="0"/>
                <w:sz w:val="24"/>
                <w:szCs w:val="24"/>
                <w:lang w:val="en-US" w:eastAsia="en-US" w:bidi="ar-SA"/>
              </w:rPr>
              <w:t>Bedrock: Weathered rock that hasn’t broken down enough to be soil.  Nutrients leached from Horizon A are found in this layer.  It will have a high mineral content.</w:t>
            </w:r>
          </w:p>
        </w:tc>
      </w:tr>
    </w:tbl>
    <w:p>
      <w:pPr>
        <w:pStyle w:val="Normal"/>
        <w:rPr>
          <w:sz w:val="14"/>
          <w:szCs w:val="14"/>
          <w:lang w:val="en-US"/>
        </w:rPr>
      </w:pPr>
      <w:r>
        <w:rPr>
          <w:sz w:val="14"/>
          <w:szCs w:val="14"/>
          <w:lang w:val="en-US"/>
        </w:rPr>
      </w:r>
    </w:p>
    <w:p>
      <w:pPr>
        <w:pStyle w:val="ListParagraph"/>
        <w:numPr>
          <w:ilvl w:val="0"/>
          <w:numId w:val="0"/>
        </w:numPr>
        <w:spacing w:lineRule="auto" w:line="240" w:before="0" w:after="0"/>
        <w:ind w:left="360" w:hanging="0"/>
        <w:contextualSpacing/>
        <w:rPr/>
      </w:pPr>
      <w:r>
        <w:rPr/>
      </w:r>
    </w:p>
    <w:sectPr>
      <w:type w:val="nextPage"/>
      <w:pgSz w:w="12240" w:h="15840"/>
      <w:pgMar w:left="1134"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b0461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315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LibreOffice/7.2.2.2$Windows_X86_64 LibreOffice_project/02b2acce88a210515b4a5bb2e46cbfb63fe97d56</Application>
  <AppVersion>15.0000</AppVersion>
  <Pages>1</Pages>
  <Words>191</Words>
  <Characters>941</Characters>
  <CharactersWithSpaces>1124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2020-10-25T03:19:00Z</dcterms:created>
  <dc:creator>Theresa Snodgrass</dc:creator>
  <dc:description/>
  <dc:language>en-AU</dc:language>
  <cp:lastModifiedBy/>
  <cp:lastPrinted>2020-10-29T02:05:00Z</cp:lastPrinted>
  <dcterms:modified xsi:type="dcterms:W3CDTF">2021-10-23T18:04:06Z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