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7" wp14:anchorId="4408C768">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4408C768">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2151"/>
        <w:gridCol w:w="2709"/>
        <w:gridCol w:w="1800"/>
        <w:gridCol w:w="3329"/>
      </w:tblGrid>
      <w:tr>
        <w:trPr>
          <w:trHeight w:val="339" w:hRule="atLeast"/>
        </w:trPr>
        <w:tc>
          <w:tcPr>
            <w:tcW w:w="2151"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09"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9"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51"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38"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51"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38"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51"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38"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1939"/>
        <w:gridCol w:w="754"/>
        <w:gridCol w:w="1638"/>
        <w:gridCol w:w="866"/>
        <w:gridCol w:w="1456"/>
        <w:gridCol w:w="1080"/>
        <w:gridCol w:w="2251"/>
        <w:gridCol w:w="64"/>
      </w:tblGrid>
      <w:tr>
        <w:trPr/>
        <w:tc>
          <w:tcPr>
            <w:tcW w:w="9984"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8045"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sz w:val="22"/>
                <w:szCs w:val="22"/>
              </w:rPr>
            </w:r>
          </w:p>
        </w:tc>
        <w:tc>
          <w:tcPr>
            <w:tcW w:w="239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395"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9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331"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8045"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3735" cy="1905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753735" cy="1905635"/>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4"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14:checkbox>
                  <w14:checked w:val=""/>
                  <w14:checkedState w:val=""/>
                  <w14:uncheckedState w:val=""/>
                </w14:checkbox>
                <w:id w:val="1649908197"/>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814078315"/>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549667218"/>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7"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536"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51"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9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93"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291"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93"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291"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64"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9">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5604"/>
                      <wp:lineTo x="21252" y="15604"/>
                      <wp:lineTo x="21252"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rPr>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019"/>
        <w:gridCol w:w="870"/>
        <w:gridCol w:w="34"/>
      </w:tblGrid>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50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34" w:type="dxa"/>
            <w:tcBorders/>
          </w:tcPr>
          <w:p>
            <w:pPr>
              <w:pStyle w:val="Normal"/>
              <w:widowControl w:val="false"/>
              <w:rPr/>
            </w:pPr>
            <w:r>
              <w:rPr/>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34" w:type="dxa"/>
            <w:tcBorders/>
          </w:tcPr>
          <w:p>
            <w:pPr>
              <w:pStyle w:val="Normal"/>
              <w:widowControl w:val="false"/>
              <w:rPr/>
            </w:pPr>
            <w:r>
              <w:rPr/>
            </w:r>
          </w:p>
        </w:tc>
      </w:tr>
      <w:tr>
        <w:trPr>
          <w:trHeight w:val="400"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34" w:type="dxa"/>
            <w:tcBorders/>
          </w:tcPr>
          <w:p>
            <w:pPr>
              <w:pStyle w:val="Normal"/>
              <w:widowControl w:val="false"/>
              <w:rPr/>
            </w:pPr>
            <w:r>
              <w:rPr/>
            </w:r>
          </w:p>
        </w:tc>
      </w:tr>
      <w:tr>
        <w:trPr>
          <w:trHeight w:val="61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904"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val="04a0" w:noHBand="0" w:noVBand="1" w:firstColumn="1" w:lastRow="0" w:lastColumn="0" w:firstRow="1"/>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sz w:val="32"/>
                <w:szCs w:val="32"/>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b w:val="false"/>
          <w:b w:val="false"/>
          <w:bCs w:val="false"/>
          <w:sz w:val="22"/>
          <w:szCs w:val="22"/>
        </w:rPr>
      </w:pPr>
      <w:r>
        <w:rPr>
          <w:rFonts w:ascii="Nimbus Sans" w:hAnsi="Nimbus Sans"/>
          <w:b w:val="false"/>
          <w:bCs w:val="false"/>
          <w:sz w:val="22"/>
          <w:szCs w:val="22"/>
        </w:rPr>
        <w:t>One of the concepts in mathematic modelling is quadratic equations</w:t>
      </w:r>
      <w:r>
        <w:br w:type="page"/>
      </w:r>
    </w:p>
    <w:p>
      <w:pPr>
        <w:pStyle w:val="Normal"/>
        <w:rPr>
          <w:rFonts w:ascii="Nimbus Sans" w:hAnsi="Nimbus Sans"/>
          <w:b/>
          <w:b/>
          <w:bCs/>
          <w:sz w:val="22"/>
          <w:szCs w:val="22"/>
        </w:rPr>
      </w:pPr>
      <w:r>
        <w:rPr>
          <w:rFonts w:ascii="Nimbus Sans" w:hAnsi="Nimbus Sans"/>
          <w:b/>
          <w:bCs/>
          <w:sz w:val="22"/>
          <w:szCs w:val="22"/>
        </w:rPr>
        <w:t>Formulate</w:t>
      </w:r>
    </w:p>
    <w:p>
      <w:pPr>
        <w:pStyle w:val="Normal"/>
        <w:rPr>
          <w:rFonts w:ascii="Nimbus Sans" w:hAnsi="Nimbus Sans"/>
          <w:b/>
          <w:b/>
          <w:bCs/>
          <w:sz w:val="22"/>
          <w:szCs w:val="22"/>
        </w:rPr>
      </w:pPr>
      <w:r>
        <w:rPr>
          <w:rFonts w:ascii="Nimbus Sans" w:hAnsi="Nimbus Sans"/>
          <w:b/>
          <w:bCs/>
          <w:sz w:val="22"/>
          <w:szCs w:val="22"/>
        </w:rPr>
        <w:t>Trial and Error</w:t>
      </w:r>
    </w:p>
    <w:p>
      <w:pPr>
        <w:pStyle w:val="Normal"/>
        <w:rPr>
          <w:rFonts w:ascii="Nimbus Sans" w:hAnsi="Nimbus Sans"/>
          <w:b/>
          <w:b/>
          <w:bCs/>
          <w:sz w:val="22"/>
          <w:szCs w:val="22"/>
        </w:rPr>
      </w:pPr>
      <w:r>
        <w:rPr>
          <w:rFonts w:ascii="Nimbus Sans" w:hAnsi="Nimbus Sans"/>
          <w:b/>
          <w:bCs/>
          <w:sz w:val="22"/>
          <w:szCs w:val="22"/>
        </w:rPr>
      </w:r>
      <w:r>
        <w:br w:type="page"/>
      </w:r>
    </w:p>
    <w:p>
      <w:pPr>
        <w:pStyle w:val="Normal"/>
        <w:rPr>
          <w:rFonts w:ascii="Nimbus Sans" w:hAnsi="Nimbus Sans"/>
          <w:b/>
          <w:b/>
          <w:bCs/>
          <w:sz w:val="22"/>
          <w:szCs w:val="22"/>
        </w:rPr>
      </w:pPr>
      <w:r>
        <w:rPr>
          <w:rFonts w:ascii="Nimbus Sans" w:hAnsi="Nimbus Sans"/>
          <w:b/>
          <w:bCs/>
          <w:sz w:val="22"/>
          <w:szCs w:val="22"/>
        </w:rPr>
        <w:t>Solve</w:t>
      </w:r>
    </w:p>
    <w:p>
      <w:pPr>
        <w:pStyle w:val="Normal"/>
        <w:rPr>
          <w:rFonts w:ascii="Nimbus Sans" w:hAnsi="Nimbus Sans"/>
          <w:b/>
          <w:b/>
          <w:bCs/>
          <w:sz w:val="22"/>
          <w:szCs w:val="22"/>
        </w:rPr>
      </w:pPr>
      <w:r>
        <w:rPr>
          <w:rFonts w:ascii="Nimbus Sans" w:hAnsi="Nimbus Sans"/>
          <w:b/>
          <w:bCs/>
          <w:sz w:val="22"/>
          <w:szCs w:val="22"/>
        </w:rPr>
      </w:r>
      <w:r>
        <w:br w:type="page"/>
      </w:r>
    </w:p>
    <w:p>
      <w:pPr>
        <w:pStyle w:val="Normal"/>
        <w:rPr>
          <w:rFonts w:ascii="Nimbus Sans" w:hAnsi="Nimbus Sans"/>
          <w:b/>
          <w:b/>
          <w:bCs/>
          <w:sz w:val="22"/>
          <w:szCs w:val="22"/>
        </w:rPr>
      </w:pPr>
      <w:r>
        <w:rPr>
          <w:rFonts w:ascii="Nimbus Sans" w:hAnsi="Nimbus Sans"/>
          <w:b/>
          <w:bCs/>
          <w:sz w:val="22"/>
          <w:szCs w:val="22"/>
        </w:rPr>
        <w:t>Evaluate</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221</TotalTime>
  <Application>LibreOffice/7.3.5.2$Linux_X86_64 LibreOffice_project/30$Build-2</Application>
  <AppVersion>15.0000</AppVersion>
  <Pages>10</Pages>
  <Words>1362</Words>
  <Characters>7566</Characters>
  <CharactersWithSpaces>8854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2022-08-15T12:28:28Z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