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rPr>
      </w:pPr>
      <w:r>
        <mc:AlternateContent>
          <mc:Choice Requires="wps">
            <w:drawing>
              <wp:anchor behindDoc="0" distT="5715" distB="4445" distL="5080" distR="5080" simplePos="0" locked="0" layoutInCell="0" allowOverlap="1" relativeHeight="7" wp14:anchorId="4408C768">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upright="1">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wp14:anchorId="4408C768">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asciiTheme="minorHAnsi" w:cstheme="minorHAnsi" w:hAnsiTheme="minorHAns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8"/>
        </w:rPr>
      </w:pPr>
      <w:r>
        <w:rPr>
          <w:rFonts w:cs="Calibri" w:ascii="Calibri" w:hAnsi="Calibri" w:asciiTheme="minorHAnsi" w:cstheme="minorHAnsi" w:hAnsiTheme="minorHAns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TERM 3</w:t>
      </w:r>
    </w:p>
    <w:p>
      <w:pPr>
        <w:pStyle w:val="Normal"/>
        <w:rPr/>
      </w:pPr>
      <w:r>
        <w:rPr/>
      </w:r>
    </w:p>
    <w:p>
      <w:pPr>
        <w:pStyle w:val="Normal"/>
        <w:rPr>
          <w:rFonts w:ascii="Calibri" w:hAnsi="Calibri" w:cs="Calibri" w:asciiTheme="minorHAnsi" w:cstheme="minorHAnsi" w:hAnsiTheme="minorHAnsi"/>
          <w:b/>
          <w:b/>
          <w:sz w:val="24"/>
        </w:rPr>
      </w:pPr>
      <w:r>
        <w:rPr>
          <w:rFonts w:cs="Calibri" w:ascii="Calibri" w:hAnsi="Calibri" w:asciiTheme="minorHAnsi" w:cstheme="minorHAnsi" w:hAnsiTheme="minorHAnsi"/>
          <w:b/>
          <w:sz w:val="24"/>
        </w:rPr>
        <w:t>NAME:</w:t>
      </w:r>
      <w:r>
        <w:rPr>
          <w:rFonts w:cs="Calibri" w:ascii="Calibri" w:hAnsi="Calibri" w:asciiTheme="minorHAnsi" w:cstheme="minorHAnsi" w:hAnsiTheme="minorHAnsi"/>
          <w:sz w:val="24"/>
        </w:rPr>
        <w:t xml:space="preserve"> James Macgillivray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990"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2152"/>
        <w:gridCol w:w="2708"/>
        <w:gridCol w:w="1800"/>
        <w:gridCol w:w="3329"/>
      </w:tblGrid>
      <w:tr>
        <w:trPr>
          <w:trHeight w:val="339" w:hRule="atLeast"/>
        </w:trPr>
        <w:tc>
          <w:tcPr>
            <w:tcW w:w="2152"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Subject</w:t>
            </w:r>
          </w:p>
        </w:tc>
        <w:tc>
          <w:tcPr>
            <w:tcW w:w="2708"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Instrument no.</w:t>
            </w:r>
          </w:p>
        </w:tc>
        <w:tc>
          <w:tcPr>
            <w:tcW w:w="3329"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Summative internal assessment 1 </w:t>
            </w:r>
          </w:p>
        </w:tc>
      </w:tr>
      <w:tr>
        <w:trPr/>
        <w:tc>
          <w:tcPr>
            <w:tcW w:w="2152"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Technique</w:t>
            </w:r>
          </w:p>
        </w:tc>
        <w:tc>
          <w:tcPr>
            <w:tcW w:w="7837"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Problem-solving and modelling task</w:t>
            </w:r>
          </w:p>
        </w:tc>
      </w:tr>
      <w:tr>
        <w:trPr>
          <w:trHeight w:val="355" w:hRule="atLeast"/>
        </w:trPr>
        <w:tc>
          <w:tcPr>
            <w:tcW w:w="2152"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Unit</w:t>
            </w:r>
          </w:p>
        </w:tc>
        <w:tc>
          <w:tcPr>
            <w:tcW w:w="7837"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Unit 10.3</w:t>
            </w:r>
          </w:p>
        </w:tc>
      </w:tr>
      <w:tr>
        <w:trPr>
          <w:trHeight w:val="337" w:hRule="atLeast"/>
        </w:trPr>
        <w:tc>
          <w:tcPr>
            <w:tcW w:w="2152"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Topic</w:t>
            </w:r>
          </w:p>
        </w:tc>
        <w:tc>
          <w:tcPr>
            <w:tcW w:w="7837"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Topic: Quadratic Equations</w:t>
            </w:r>
          </w:p>
        </w:tc>
      </w:tr>
    </w:tbl>
    <w:p>
      <w:pPr>
        <w:pStyle w:val="Normal"/>
        <w:rPr>
          <w:rFonts w:ascii="Cambria" w:hAnsi="Cambria" w:cs="Arial"/>
        </w:rPr>
      </w:pPr>
      <w:r>
        <w:rPr>
          <w:rFonts w:cs="Arial" w:ascii="Cambria" w:hAnsi="Cambria"/>
        </w:rPr>
      </w:r>
    </w:p>
    <w:tbl>
      <w:tblPr>
        <w:tblStyle w:val="TableGrid"/>
        <w:tblW w:w="10048"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1939"/>
        <w:gridCol w:w="755"/>
        <w:gridCol w:w="1638"/>
        <w:gridCol w:w="866"/>
        <w:gridCol w:w="1456"/>
        <w:gridCol w:w="1080"/>
        <w:gridCol w:w="2251"/>
        <w:gridCol w:w="63"/>
      </w:tblGrid>
      <w:tr>
        <w:trPr/>
        <w:tc>
          <w:tcPr>
            <w:tcW w:w="9985" w:type="dxa"/>
            <w:gridSpan w:val="7"/>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Conditions</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Duration</w:t>
            </w:r>
          </w:p>
        </w:tc>
        <w:tc>
          <w:tcPr>
            <w:tcW w:w="8046"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3 weeks (including 3 lessons of class time)</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Mode</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cstheme="minorHAnsi" w:ascii="Calibri" w:hAnsi="Calibri"/>
                <w:b/>
                <w:sz w:val="22"/>
                <w:szCs w:val="22"/>
              </w:rPr>
            </w:r>
          </w:p>
        </w:tc>
        <w:tc>
          <w:tcPr>
            <w:tcW w:w="2393"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Written report</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Length</w:t>
            </w:r>
          </w:p>
        </w:tc>
        <w:tc>
          <w:tcPr>
            <w:tcW w:w="3394" w:type="dxa"/>
            <w:gridSpan w:val="3"/>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Up 5 pages in size 11 font (excluding appendixes)</w:t>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Individual/</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group</w:t>
            </w:r>
          </w:p>
        </w:tc>
        <w:tc>
          <w:tcPr>
            <w:tcW w:w="2393"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Individual</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Other</w:t>
            </w:r>
          </w:p>
        </w:tc>
        <w:tc>
          <w:tcPr>
            <w:tcW w:w="3331" w:type="dxa"/>
            <w:gridSpan w:val="2"/>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Resources </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available</w:t>
            </w:r>
          </w:p>
        </w:tc>
        <w:tc>
          <w:tcPr>
            <w:tcW w:w="8046"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use of technology is required, e.g.</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spreadsheet program and graphing software</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graphics calculator</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internet access</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Context</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Task</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b/>
                <w:b/>
                <w:bCs/>
                <w:i/>
                <w:i/>
                <w:sz w:val="22"/>
                <w:szCs w:val="22"/>
              </w:rPr>
            </w:pPr>
            <w:r>
              <w:rPr>
                <w:rFonts w:cs="Calibri" w:ascii="Calibri" w:hAnsi="Calibri" w:asciiTheme="minorHAnsi" w:cstheme="minorHAnsi" w:hAnsiTheme="minorHAnsi"/>
                <w:b/>
                <w:bCs/>
                <w:i/>
                <w:kern w:val="0"/>
                <w:sz w:val="22"/>
                <w:szCs w:val="22"/>
                <w:lang w:bidi="ar-SA"/>
              </w:rPr>
              <w:t xml:space="preserve">A rectangular animal enclosure with </w:t>
            </w:r>
            <w:r>
              <w:rPr>
                <w:rFonts w:cs="Calibri" w:ascii="Calibri" w:hAnsi="Calibri" w:asciiTheme="minorHAnsi" w:cstheme="minorHAnsi" w:hAnsiTheme="minorHAnsi"/>
                <w:b/>
                <w:bCs/>
                <w:kern w:val="0"/>
                <w:sz w:val="22"/>
                <w:szCs w:val="22"/>
                <w:lang w:bidi="ar-SA"/>
              </w:rPr>
              <w:t xml:space="preserve">n </w:t>
            </w:r>
            <w:r>
              <w:rPr>
                <w:rFonts w:cs="Calibri" w:ascii="Calibri" w:hAnsi="Calibri" w:asciiTheme="minorHAnsi" w:cstheme="minorHAnsi" w:hAnsiTheme="minorHAnsi"/>
                <w:b/>
                <w:bCs/>
                <w:i/>
                <w:kern w:val="0"/>
                <w:sz w:val="22"/>
                <w:szCs w:val="22"/>
                <w:lang w:bidi="ar-SA"/>
              </w:rPr>
              <w:t xml:space="preserve">parallel pens is to be made from a length of fencing </w:t>
            </w:r>
            <w:r>
              <w:rPr>
                <w:rFonts w:cs="Calibri" w:ascii="Calibri" w:hAnsi="Calibri" w:asciiTheme="minorHAnsi" w:cstheme="minorHAnsi" w:hAnsiTheme="minorHAnsi"/>
                <w:b/>
                <w:bCs/>
                <w:kern w:val="0"/>
                <w:sz w:val="22"/>
                <w:szCs w:val="22"/>
                <w:lang w:bidi="ar-SA"/>
              </w:rPr>
              <w:t>L</w:t>
            </w:r>
            <w:r>
              <w:rPr>
                <w:rFonts w:cs="Calibri" w:ascii="Calibri" w:hAnsi="Calibri" w:asciiTheme="minorHAnsi" w:cstheme="minorHAnsi" w:hAnsiTheme="minorHAnsi"/>
                <w:b/>
                <w:bCs/>
                <w:i/>
                <w:kern w:val="0"/>
                <w:sz w:val="22"/>
                <w:szCs w:val="22"/>
                <w:lang w:bidi="ar-SA"/>
              </w:rPr>
              <w:t xml:space="preserve">. Determine the dimensions of the pen so that the area is </w:t>
            </w:r>
            <w:r>
              <w:rPr>
                <w:rFonts w:cs="Calibri" w:ascii="Calibri" w:hAnsi="Calibri" w:asciiTheme="minorHAnsi" w:cstheme="minorHAnsi" w:hAnsiTheme="minorHAnsi"/>
                <w:b/>
                <w:bCs/>
                <w:kern w:val="0"/>
                <w:sz w:val="22"/>
                <w:szCs w:val="22"/>
                <w:lang w:bidi="ar-SA"/>
              </w:rPr>
              <w:t xml:space="preserve">(i) </w:t>
            </w:r>
            <w:r>
              <w:rPr>
                <w:rFonts w:cs="Calibri" w:ascii="Calibri" w:hAnsi="Calibri" w:asciiTheme="minorHAnsi" w:cstheme="minorHAnsi" w:hAnsiTheme="minorHAnsi"/>
                <w:b/>
                <w:bCs/>
                <w:i/>
                <w:kern w:val="0"/>
                <w:sz w:val="22"/>
                <w:szCs w:val="22"/>
                <w:lang w:bidi="ar-SA"/>
              </w:rPr>
              <w:t xml:space="preserve">maximised and </w:t>
            </w:r>
            <w:r>
              <w:rPr>
                <w:rFonts w:cs="Calibri" w:ascii="Calibri" w:hAnsi="Calibri" w:asciiTheme="minorHAnsi" w:cstheme="minorHAnsi" w:hAnsiTheme="minorHAnsi"/>
                <w:b/>
                <w:bCs/>
                <w:kern w:val="0"/>
                <w:sz w:val="22"/>
                <w:szCs w:val="22"/>
                <w:lang w:bidi="ar-SA"/>
              </w:rPr>
              <w:t>(ii)</w:t>
            </w:r>
            <w:r>
              <w:rPr>
                <w:rFonts w:cs="Calibri" w:ascii="Calibri" w:hAnsi="Calibri" w:asciiTheme="minorHAnsi" w:cstheme="minorHAnsi" w:hAnsiTheme="minorHAns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asciiTheme="minorHAnsi" w:cstheme="minorHAnsi" w:hAnsiTheme="minorHAnsi"/>
                <w:i/>
                <w:kern w:val="0"/>
                <w:sz w:val="22"/>
                <w:szCs w:val="22"/>
                <w:lang w:bidi="ar-SA"/>
              </w:rPr>
              <w:t xml:space="preserve">n </w:t>
            </w:r>
            <w:r>
              <w:rPr>
                <w:rFonts w:cs="Calibri" w:ascii="Calibri" w:hAnsi="Calibri" w:asciiTheme="minorHAnsi" w:cstheme="minorHAnsi" w:hAnsiTheme="minorHAnsi"/>
                <w:kern w:val="0"/>
                <w:sz w:val="22"/>
                <w:szCs w:val="22"/>
                <w:lang w:bidi="ar-SA"/>
              </w:rPr>
              <w:t xml:space="preserve">and </w:t>
            </w:r>
            <w:r>
              <w:rPr>
                <w:rFonts w:cs="Calibri" w:ascii="Calibri" w:hAnsi="Calibri" w:asciiTheme="minorHAnsi" w:cstheme="minorHAnsi" w:hAnsiTheme="minorHAnsi"/>
                <w:i/>
                <w:kern w:val="0"/>
                <w:sz w:val="22"/>
                <w:szCs w:val="22"/>
                <w:lang w:bidi="ar-SA"/>
              </w:rPr>
              <w:t>L</w:t>
            </w:r>
            <w:r>
              <w:rPr>
                <w:rFonts w:cs="Calibri" w:ascii="Calibri" w:hAnsi="Calibri" w:asciiTheme="minorHAnsi" w:cstheme="minorHAnsi" w:hAnsiTheme="minorHAnsi"/>
                <w:kern w:val="0"/>
                <w:sz w:val="22"/>
                <w:szCs w:val="22"/>
                <w:lang w:bidi="ar-SA"/>
              </w:rPr>
              <w:t xml:space="preserv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kern w:val="0"/>
                <w:sz w:val="22"/>
                <w:szCs w:val="22"/>
                <w:lang w:bidi="ar-SA"/>
              </w:rPr>
              <w:t xml:space="preserve">10Advanced     </w:t>
            </w:r>
            <w:r>
              <w:rPr>
                <w:rFonts w:cs="Calibri" w:ascii="Calibri" w:hAnsi="Calibri" w:asciiTheme="minorHAnsi" w:cstheme="minorHAnsi" w:hAnsiTheme="minorHAns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asciiTheme="minorHAnsi" w:cstheme="minorHAnsi" w:hAnsiTheme="minorHAnsi"/>
                <w:sz w:val="40"/>
                <w:szCs w:val="40"/>
              </w:rPr>
            </w:pPr>
            <w:r>
              <w:rPr>
                <w:rFonts w:cs="Calibri" w:ascii="Calibri" w:hAnsi="Calibri" w:asciiTheme="minorHAnsi" w:cstheme="minorHAnsi" w:hAnsiTheme="minorHAnsi"/>
                <w:kern w:val="0"/>
                <w:sz w:val="22"/>
                <w:szCs w:val="22"/>
                <w:lang w:bidi="ar-SA"/>
              </w:rPr>
              <w:t xml:space="preserve">My values are      </w:t>
            </w:r>
            <w:r>
              <w:rPr>
                <w:rFonts w:cs="Calibri" w:ascii="Calibri" w:hAnsi="Calibri" w:asciiTheme="minorHAnsi" w:cstheme="minorHAnsi" w:hAnsiTheme="minorHAnsi"/>
                <w:kern w:val="0"/>
                <w:sz w:val="40"/>
                <w:szCs w:val="40"/>
                <w:lang w:bidi="ar-SA"/>
              </w:rPr>
              <w:t>n=6  L=85</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My pen looks like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3735" cy="1905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753735" cy="1905635"/>
                          </a:xfrm>
                          <a:prstGeom prst="rect">
                            <a:avLst/>
                          </a:prstGeom>
                        </pic:spPr>
                      </pic:pic>
                    </a:graphicData>
                  </a:graphic>
                </wp:anchor>
              </w:drawing>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To complete this task, you must </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develop a unique response to the problem. </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Stimulus</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cs="Calibri" w:asciiTheme="minorHAnsi" w:cstheme="minorHAnsi" w:hAnsiTheme="minorHAnsi"/>
                <w:sz w:val="22"/>
                <w:szCs w:val="22"/>
              </w:rPr>
            </w:pPr>
            <w:r>
              <w:rPr/>
              <w:drawing>
                <wp:inline distT="0" distB="0" distL="0" distR="0">
                  <wp:extent cx="3999865" cy="2755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999865" cy="2755900"/>
                          </a:xfrm>
                          <a:prstGeom prst="rect">
                            <a:avLst/>
                          </a:prstGeom>
                        </pic:spPr>
                      </pic:pic>
                    </a:graphicData>
                  </a:graphic>
                </wp:inline>
              </w:drawing>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Checkpoints</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5"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sdt>
              <w:sdtPr>
                <w14:checkbox>
                  <w14:checked w:val=""/>
                  <w14:checkedState w:val=""/>
                  <w14:uncheckedState w:val=""/>
                </w14:checkbox>
                <w:id w:val="499860749"/>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1 Week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1636715015"/>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2 Weeks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755481322"/>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3 Weeks after issue (assessment submission)</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8" w:type="dxa"/>
            <w:gridSpan w:val="4"/>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Criterion</w:t>
            </w:r>
          </w:p>
        </w:tc>
        <w:tc>
          <w:tcPr>
            <w:tcW w:w="2536" w:type="dxa"/>
            <w:gridSpan w:val="2"/>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Marks allocated</w:t>
            </w:r>
          </w:p>
        </w:tc>
        <w:tc>
          <w:tcPr>
            <w:tcW w:w="2251"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Result</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8"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Formulate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2,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8"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Solve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6</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7</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8"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Evaluate and verify</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4,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5</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8"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Communicate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3</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198"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Total</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20</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94"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kern w:val="0"/>
                <w:sz w:val="22"/>
                <w:szCs w:val="22"/>
                <w:lang w:bidi="ar-SA"/>
              </w:rPr>
              <w:t>Authentication strategies</w:t>
            </w:r>
          </w:p>
        </w:tc>
        <w:tc>
          <w:tcPr>
            <w:tcW w:w="7291" w:type="dxa"/>
            <w:gridSpan w:val="5"/>
            <w:tcBorders>
              <w:top w:val="single" w:sz="2" w:space="0" w:color="A6A6A6"/>
              <w:bottom w:val="single" w:sz="2" w:space="0" w:color="A6A6A6"/>
              <w:right w:val="single" w:sz="2" w:space="0" w:color="A6A6A6"/>
            </w:tcBorders>
          </w:tcPr>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Students must submit a declaration of authenticity (see below).</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94"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Scaffolding</w:t>
            </w:r>
          </w:p>
        </w:tc>
        <w:tc>
          <w:tcPr>
            <w:tcW w:w="7291" w:type="dxa"/>
            <w:gridSpan w:val="5"/>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approach to problem-solving and modelling on the following page must be used.</w:t>
            </w:r>
          </w:p>
        </w:tc>
        <w:tc>
          <w:tcPr>
            <w:tcW w:w="63"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b/>
          <w:b/>
          <w:sz w:val="22"/>
          <w:szCs w:val="22"/>
        </w:rPr>
      </w:pPr>
      <w:r>
        <w:rPr>
          <w:rFonts w:cs="Arial" w:ascii="Calibri" w:hAnsi="Calibri" w:asciiTheme="minorHAnsi" w:hAnsiTheme="minorHAns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Approach to Problem-Solving &amp; Mathematical Modelling</w:t>
      </w:r>
    </w:p>
    <w:p>
      <w:pPr>
        <w:pStyle w:val="Normal"/>
        <w:jc w:val="center"/>
        <w:rPr>
          <w:rFonts w:ascii="Calibri" w:hAnsi="Calibri" w:cs="Calibri" w:asciiTheme="minorHAnsi" w:cstheme="minorHAnsi" w:hAnsiTheme="minorHAnsi"/>
          <w:sz w:val="16"/>
          <w:szCs w:val="16"/>
        </w:rPr>
      </w:pPr>
      <w:r>
        <w:rPr>
          <w:rFonts w:cs="Calibri" w:cstheme="minorHAnsi" w:ascii="Calibri" w:hAnsi="Calibri"/>
          <w:sz w:val="16"/>
          <w:szCs w:val="16"/>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7"/>
        <w:gridCol w:w="6962"/>
      </w:tblGrid>
      <w:tr>
        <w:trPr/>
        <w:tc>
          <w:tcPr>
            <w:tcW w:w="2387" w:type="dxa"/>
            <w:vMerge w:val="restart"/>
            <w:tcBorders>
              <w:right w:val="nil"/>
            </w:tcBorders>
          </w:tcPr>
          <w:p>
            <w:pPr>
              <w:pStyle w:val="Normal"/>
              <w:widowControl w:val="false"/>
              <w:suppressAutoHyphens w:val="true"/>
              <w:spacing w:before="0" w:after="0"/>
              <w:jc w:val="left"/>
              <w:rPr>
                <w:rFonts w:ascii="Cambria" w:hAnsi="Cambria"/>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rPr>
            </w:pPr>
            <w:r>
              <w:rPr>
                <w:rFonts w:ascii="Cambria" w:hAnsi="Cambria"/>
                <w:kern w:val="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rPr>
            </w:pPr>
            <w:r>
              <w:rPr>
                <w:rFonts w:ascii="Cambria" w:hAnsi="Cambria"/>
                <w:kern w:val="0"/>
                <w:lang w:bidi="ar-SA"/>
              </w:rPr>
              <w:t xml:space="preserve"> </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drawing>
                <wp:anchor behindDoc="0" distT="0" distB="0" distL="114300" distR="114300" simplePos="0" locked="0" layoutInCell="1" allowOverlap="1" relativeHeight="9">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6064"/>
                      <wp:lineTo x="21281" y="16064"/>
                      <wp:lineTo x="21281"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rPr>
            </w:pPr>
            <w:r>
              <w:rPr>
                <w:rFonts w:ascii="Cambria" w:hAnsi="Cambria"/>
                <w:kern w:val="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rPr>
            </w:pPr>
            <w:r>
              <w:rPr>
                <w:rFonts w:ascii="Cambria" w:hAnsi="Cambria"/>
                <w:kern w:val="0"/>
                <w:lang w:bidi="ar-SA"/>
              </w:rPr>
              <w:t>Solutions can be found using algebraic, graphic and technological methods.</w:t>
            </w:r>
          </w:p>
          <w:p>
            <w:pPr>
              <w:pStyle w:val="Normal"/>
              <w:widowControl w:val="false"/>
              <w:suppressAutoHyphens w:val="true"/>
              <w:spacing w:before="0" w:after="0"/>
              <w:jc w:val="left"/>
              <w:rPr>
                <w:rFonts w:ascii="Cambria" w:hAnsi="Cambria"/>
              </w:rPr>
            </w:pPr>
            <w:r>
              <w:rPr>
                <w:rFonts w:ascii="Cambria" w:hAnsi="Cambria"/>
              </w:rPr>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rPr>
            </w:pPr>
            <w:r>
              <w:rPr>
                <w:rFonts w:ascii="Cambria" w:hAnsi="Cambria"/>
                <w:kern w:val="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rPr>
            </w:pPr>
            <w:r>
              <w:rPr>
                <w:rFonts w:ascii="Cambria" w:hAnsi="Cambria"/>
                <w:kern w:val="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bottom w:val="nil"/>
            </w:tcBorders>
          </w:tcPr>
          <w:p>
            <w:pPr>
              <w:pStyle w:val="Normal"/>
              <w:widowControl w:val="false"/>
              <w:suppressAutoHyphens w:val="true"/>
              <w:spacing w:before="0" w:after="0"/>
              <w:jc w:val="both"/>
              <w:rPr>
                <w:rFonts w:ascii="Cambria" w:hAnsi="Cambria"/>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top w:val="nil"/>
              <w:left w:val="nil"/>
            </w:tcBorders>
          </w:tcPr>
          <w:p>
            <w:pPr>
              <w:pStyle w:val="Normal"/>
              <w:widowControl w:val="false"/>
              <w:suppressAutoHyphens w:val="true"/>
              <w:spacing w:before="0" w:after="0"/>
              <w:jc w:val="left"/>
              <w:rPr>
                <w:rFonts w:ascii="Cambria" w:hAnsi="Cambria"/>
              </w:rPr>
            </w:pPr>
            <w:r>
              <w:rPr>
                <w:rFonts w:ascii="Cambria" w:hAnsi="Cambria"/>
              </w:rPr>
            </w:r>
          </w:p>
        </w:tc>
      </w:tr>
    </w:tbl>
    <w:p>
      <w:pPr>
        <w:pStyle w:val="Normal"/>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Instrument-specific marking guide (ISMG)</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tbl>
      <w:tblPr>
        <w:tblW w:w="892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8019"/>
        <w:gridCol w:w="870"/>
        <w:gridCol w:w="34"/>
      </w:tblGrid>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Formulate (F)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50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documentation of appropriate assumptions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documentation of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translation of all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c>
          <w:tcPr>
            <w:tcW w:w="34" w:type="dxa"/>
            <w:tcBorders/>
          </w:tcPr>
          <w:p>
            <w:pPr>
              <w:pStyle w:val="Normal"/>
              <w:widowControl w:val="false"/>
              <w:rPr/>
            </w:pPr>
            <w:r>
              <w:rPr/>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of some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translation of simple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Solve (S)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an accurate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discerning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efficient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6–7 </w:t>
            </w:r>
          </w:p>
        </w:tc>
        <w:tc>
          <w:tcPr>
            <w:tcW w:w="34" w:type="dxa"/>
            <w:tcBorders/>
          </w:tcPr>
          <w:p>
            <w:pPr>
              <w:pStyle w:val="Normal"/>
              <w:widowControl w:val="false"/>
              <w:rPr/>
            </w:pPr>
            <w:r>
              <w:rPr/>
            </w:r>
          </w:p>
        </w:tc>
      </w:tr>
      <w:tr>
        <w:trPr>
          <w:trHeight w:val="400"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 reasonable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appropriate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simple procedures to make some progress towards a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simplistic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superficial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isolated use of technology or procedures relevant to the task.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Evaluate and verify (EV)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highlight w:val="lightGray"/>
                <w:lang w:val="en-US"/>
              </w:rPr>
            </w:pPr>
            <w:r>
              <w:rPr>
                <w:rFonts w:cs="Calibri" w:ascii="Calibri" w:hAnsi="Calibri" w:asciiTheme="minorHAnsi" w:cstheme="minorHAnsi" w:hAnsiTheme="minorHAnsi"/>
                <w:b/>
                <w:bCs/>
                <w:lang w:val="en-US"/>
              </w:rPr>
              <w:t>Marks</w:t>
            </w:r>
          </w:p>
        </w:tc>
        <w:tc>
          <w:tcPr>
            <w:tcW w:w="34" w:type="dxa"/>
            <w:tcBorders/>
          </w:tcPr>
          <w:p>
            <w:pPr>
              <w:pStyle w:val="Normal"/>
              <w:widowControl w:val="false"/>
              <w:rPr/>
            </w:pPr>
            <w:r>
              <w:rPr/>
            </w:r>
          </w:p>
        </w:tc>
      </w:tr>
      <w:tr>
        <w:trPr>
          <w:trHeight w:val="61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justification and explanation of procedures used and decisions made using mathematical reasoning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evaluate the reasonableness of solutions by considering the results, assumptions and/or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evaluation of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explanation of procedures used and decisions made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the reasonableness of solutions by considering the context of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procedures, decisions and/or the reasonableness of solutions.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Communicate (C)   </w:t>
            </w:r>
            <w:r>
              <w:rPr>
                <w:rFonts w:cs="Calibri" w:ascii="Calibri" w:hAnsi="Calibri" w:asciiTheme="minorHAnsi" w:cstheme="minorHAnsi" w:hAnsiTheme="minorHAnsi"/>
                <w:b/>
                <w:bCs/>
                <w:lang w:val="en-US"/>
              </w:rPr>
              <w:t xml:space="preserve">The student work has the following characteristics: </w:t>
            </w:r>
          </w:p>
        </w:tc>
        <w:tc>
          <w:tcPr>
            <w:tcW w:w="904" w:type="dxa"/>
            <w:gridSpan w:val="2"/>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r>
      <w:tr>
        <w:trPr>
          <w:trHeight w:val="59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correct use of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coherent and concise organisation of the response, appropriate to the genre, including a suitable introduction, body and conclusion, which can be read independently of the task sheet.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some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adequate organisation of the response.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177" w:type="dxa"/>
        <w:tblLayout w:type="fixed"/>
        <w:tblCellMar>
          <w:top w:w="0" w:type="dxa"/>
          <w:left w:w="108" w:type="dxa"/>
          <w:bottom w:w="0" w:type="dxa"/>
          <w:right w:w="108" w:type="dxa"/>
        </w:tblCellMar>
        <w:tblLook w:val="04a0" w:noHBand="0" w:noVBand="1" w:firstColumn="1" w:lastRow="0" w:lastColumn="0" w:firstRow="1"/>
      </w:tblPr>
      <w:tblGrid>
        <w:gridCol w:w="4923"/>
        <w:gridCol w:w="2409"/>
        <w:gridCol w:w="1848"/>
      </w:tblGrid>
      <w:tr>
        <w:trPr/>
        <w:tc>
          <w:tcPr>
            <w:tcW w:w="4923" w:type="dxa"/>
            <w:tcBorders>
              <w:top w:val="single" w:sz="12" w:space="0" w:color="FF0000"/>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Criterion</w:t>
            </w:r>
          </w:p>
        </w:tc>
        <w:tc>
          <w:tcPr>
            <w:tcW w:w="2409" w:type="dxa"/>
            <w:tcBorders>
              <w:top w:val="single" w:sz="12" w:space="0" w:color="FF0000"/>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Marks allocated</w:t>
            </w:r>
          </w:p>
        </w:tc>
        <w:tc>
          <w:tcPr>
            <w:tcW w:w="1848" w:type="dxa"/>
            <w:tcBorders>
              <w:top w:val="single" w:sz="12" w:space="0" w:color="FF0000"/>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Result</w:t>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Formulate  </w:t>
            </w:r>
            <w:r>
              <w:rPr>
                <w:rFonts w:cs="Calibri" w:ascii="Calibri" w:hAnsi="Calibri" w:asciiTheme="minorHAnsi" w:cstheme="minorHAnsi" w:hAnsiTheme="minorHAnsi"/>
                <w:kern w:val="0"/>
                <w:sz w:val="24"/>
                <w:szCs w:val="24"/>
                <w:lang w:bidi="ar-SA"/>
              </w:rPr>
              <w:t>Assessment objectives 1, 2,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Solve  </w:t>
            </w:r>
            <w:r>
              <w:rPr>
                <w:rFonts w:cs="Calibri" w:ascii="Calibri" w:hAnsi="Calibri" w:asciiTheme="minorHAnsi" w:cstheme="minorHAnsi" w:hAnsiTheme="minorHAnsi"/>
                <w:kern w:val="0"/>
                <w:sz w:val="24"/>
                <w:szCs w:val="24"/>
                <w:lang w:bidi="ar-SA"/>
              </w:rPr>
              <w:t>Assessment objectives 1, 6</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7</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Evaluate and verify  </w:t>
            </w:r>
            <w:r>
              <w:rPr>
                <w:rFonts w:cs="Calibri" w:ascii="Calibri" w:hAnsi="Calibri" w:asciiTheme="minorHAnsi" w:cstheme="minorHAnsi" w:hAnsiTheme="minorHAnsi"/>
                <w:kern w:val="0"/>
                <w:sz w:val="24"/>
                <w:szCs w:val="24"/>
                <w:lang w:bidi="ar-SA"/>
              </w:rPr>
              <w:t>Assessment objectives 4,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5</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Communicate  </w:t>
            </w:r>
            <w:r>
              <w:rPr>
                <w:rFonts w:cs="Calibri" w:ascii="Calibri" w:hAnsi="Calibri" w:asciiTheme="minorHAnsi" w:cstheme="minorHAnsi" w:hAnsiTheme="minorHAnsi"/>
                <w:kern w:val="0"/>
                <w:sz w:val="24"/>
                <w:szCs w:val="24"/>
                <w:lang w:bidi="ar-SA"/>
              </w:rPr>
              <w:t>Assessment objectives 3</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46" w:hRule="atLeast"/>
        </w:trPr>
        <w:tc>
          <w:tcPr>
            <w:tcW w:w="4923" w:type="dxa"/>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Total</w:t>
            </w:r>
          </w:p>
        </w:tc>
        <w:tc>
          <w:tcPr>
            <w:tcW w:w="2409" w:type="dxa"/>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20</w:t>
            </w:r>
          </w:p>
        </w:tc>
        <w:tc>
          <w:tcPr>
            <w:tcW w:w="1848"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32"/>
                <w:szCs w:val="32"/>
              </w:rPr>
            </w:pPr>
            <w:r>
              <w:rPr>
                <w:rFonts w:cs="Calibri" w:cstheme="minorHAnsi" w:ascii="Calibri" w:hAnsi="Calibri"/>
                <w:sz w:val="32"/>
                <w:szCs w:val="32"/>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Nimbus Sans" w:hAnsi="Nimbus Sans"/>
          <w:b/>
          <w:b/>
          <w:bCs/>
          <w:sz w:val="22"/>
          <w:szCs w:val="22"/>
        </w:rPr>
      </w:pPr>
      <w:r>
        <w:rPr>
          <w:rFonts w:ascii="Nimbus Sans" w:hAnsi="Nimbus Sans"/>
          <w:b/>
          <w:bCs/>
          <w:sz w:val="22"/>
          <w:szCs w:val="22"/>
        </w:rPr>
        <w:t>Introduction</w:t>
      </w:r>
    </w:p>
    <w:p>
      <w:pPr>
        <w:pStyle w:val="Normal"/>
        <w:rPr>
          <w:rFonts w:ascii="Nimbus Sans" w:hAnsi="Nimbus Sans"/>
          <w:b/>
          <w:b/>
          <w:bCs/>
          <w:sz w:val="22"/>
          <w:szCs w:val="22"/>
        </w:rPr>
      </w:pPr>
      <w:r>
        <w:rPr>
          <w:rFonts w:ascii="Nimbus Sans" w:hAnsi="Nimbus Sans"/>
          <w:b/>
          <w:bCs/>
          <w:sz w:val="22"/>
          <w:szCs w:val="22"/>
        </w:rPr>
      </w:r>
      <w:r>
        <w:br w:type="page"/>
      </w:r>
    </w:p>
    <w:p>
      <w:pPr>
        <w:pStyle w:val="Normal"/>
        <w:rPr>
          <w:rFonts w:ascii="Nimbus Sans" w:hAnsi="Nimbus Sans"/>
          <w:b/>
          <w:b/>
          <w:bCs/>
          <w:sz w:val="22"/>
          <w:szCs w:val="22"/>
        </w:rPr>
      </w:pPr>
      <w:r>
        <w:rPr>
          <w:rFonts w:ascii="Nimbus Sans" w:hAnsi="Nimbus Sans"/>
          <w:b/>
          <w:bCs/>
          <w:sz w:val="22"/>
          <w:szCs w:val="22"/>
        </w:rPr>
        <w:t>Formulate</w:t>
      </w:r>
    </w:p>
    <w:p>
      <w:pPr>
        <w:pStyle w:val="Normal"/>
        <w:rPr>
          <w:rFonts w:ascii="Nimbus Sans" w:hAnsi="Nimbus Sans"/>
          <w:b/>
          <w:b/>
          <w:bCs/>
          <w:sz w:val="22"/>
          <w:szCs w:val="22"/>
        </w:rPr>
      </w:pPr>
      <w:r>
        <w:rPr>
          <w:rFonts w:ascii="Nimbus Sans" w:hAnsi="Nimbus Sans"/>
          <w:b/>
          <w:bCs/>
          <w:sz w:val="22"/>
          <w:szCs w:val="22"/>
        </w:rPr>
        <w:t>Trial and Error</w:t>
      </w:r>
    </w:p>
    <w:p>
      <w:pPr>
        <w:pStyle w:val="Normal"/>
        <w:rPr>
          <w:rFonts w:ascii="Nimbus Sans" w:hAnsi="Nimbus Sans"/>
          <w:b/>
          <w:b/>
          <w:bCs/>
          <w:sz w:val="22"/>
          <w:szCs w:val="22"/>
        </w:rPr>
      </w:pPr>
      <w:r>
        <w:rPr>
          <w:rFonts w:ascii="Nimbus Sans" w:hAnsi="Nimbus Sans"/>
          <w:b/>
          <w:bCs/>
          <w:sz w:val="22"/>
          <w:szCs w:val="22"/>
        </w:rPr>
      </w:r>
      <w:r>
        <w:br w:type="page"/>
      </w:r>
    </w:p>
    <w:p>
      <w:pPr>
        <w:pStyle w:val="Normal"/>
        <w:rPr>
          <w:rFonts w:ascii="Nimbus Sans" w:hAnsi="Nimbus Sans"/>
          <w:b/>
          <w:b/>
          <w:bCs/>
          <w:sz w:val="22"/>
          <w:szCs w:val="22"/>
        </w:rPr>
      </w:pPr>
      <w:r>
        <w:rPr>
          <w:rFonts w:ascii="Nimbus Sans" w:hAnsi="Nimbus Sans"/>
          <w:b/>
          <w:bCs/>
          <w:sz w:val="22"/>
          <w:szCs w:val="22"/>
        </w:rPr>
        <w:t>Solve</w:t>
      </w:r>
    </w:p>
    <w:p>
      <w:pPr>
        <w:pStyle w:val="Normal"/>
        <w:rPr>
          <w:rFonts w:ascii="Nimbus Sans" w:hAnsi="Nimbus Sans"/>
          <w:b/>
          <w:b/>
          <w:bCs/>
          <w:sz w:val="22"/>
          <w:szCs w:val="22"/>
        </w:rPr>
      </w:pPr>
      <w:r>
        <w:rPr>
          <w:rFonts w:ascii="Nimbus Sans" w:hAnsi="Nimbus Sans"/>
          <w:b/>
          <w:bCs/>
          <w:sz w:val="22"/>
          <w:szCs w:val="22"/>
        </w:rPr>
      </w:r>
      <w:r>
        <w:br w:type="page"/>
      </w:r>
    </w:p>
    <w:p>
      <w:pPr>
        <w:pStyle w:val="Normal"/>
        <w:rPr>
          <w:rFonts w:ascii="Nimbus Sans" w:hAnsi="Nimbus Sans"/>
          <w:b/>
          <w:b/>
          <w:bCs/>
          <w:sz w:val="22"/>
          <w:szCs w:val="22"/>
        </w:rPr>
      </w:pPr>
      <w:r>
        <w:rPr>
          <w:rFonts w:ascii="Nimbus Sans" w:hAnsi="Nimbus Sans"/>
          <w:b/>
          <w:bCs/>
          <w:sz w:val="22"/>
          <w:szCs w:val="22"/>
        </w:rPr>
        <w:t>Evaluate</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54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rsid w:val="00611547"/>
    <w:pPr>
      <w:keepNext w:val="true"/>
      <w:outlineLvl w:val="0"/>
    </w:pPr>
    <w:rPr>
      <w:b/>
      <w:sz w:val="24"/>
      <w:lang w:val="en-GB"/>
    </w:rPr>
  </w:style>
  <w:style w:type="paragraph" w:styleId="Heading4">
    <w:name w:val="Heading 4"/>
    <w:basedOn w:val="Normal"/>
    <w:next w:val="Normal"/>
    <w:link w:val="Heading4Char"/>
    <w:qFormat/>
    <w:rsid w:val="00611547"/>
    <w:pPr>
      <w:keepNext w:val="true"/>
      <w:pBdr>
        <w:top w:val="single" w:sz="6" w:space="1" w:color="000000" w:shadow="1"/>
        <w:left w:val="single" w:sz="6" w:space="12" w:color="000000" w:shadow="1"/>
        <w:bottom w:val="single" w:sz="6" w:space="1" w:color="000000" w:shadow="1"/>
        <w:right w:val="single" w:sz="6" w:space="15" w:color="000000" w:shadow="1"/>
      </w:pBdr>
      <w:shd w:val="pct15" w:color="auto" w:fill="auto"/>
      <w:ind w:left="2430" w:right="2088" w:hanging="0"/>
      <w:jc w:val="center"/>
      <w:outlineLvl w:val="3"/>
    </w:pPr>
    <w:rPr>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547"/>
    <w:rPr>
      <w:rFonts w:ascii="Times New Roman" w:hAnsi="Times New Roman" w:eastAsia="Times New Roman" w:cs="Times New Roman"/>
      <w:b/>
      <w:sz w:val="24"/>
      <w:szCs w:val="20"/>
      <w:lang w:val="en-GB" w:eastAsia="en-AU"/>
    </w:rPr>
  </w:style>
  <w:style w:type="character" w:styleId="Heading4Char" w:customStyle="1">
    <w:name w:val="Heading 4 Char"/>
    <w:basedOn w:val="DefaultParagraphFont"/>
    <w:link w:val="Heading4"/>
    <w:qFormat/>
    <w:rsid w:val="00611547"/>
    <w:rPr>
      <w:rFonts w:ascii="Times New Roman" w:hAnsi="Times New Roman" w:eastAsia="Times New Roman" w:cs="Times New Roman"/>
      <w:b/>
      <w:sz w:val="24"/>
      <w:szCs w:val="20"/>
      <w:shd w:fill="D8D8D8" w:val="clear"/>
      <w:lang w:val="en-AU" w:eastAsia="en-AU"/>
    </w:rPr>
  </w:style>
  <w:style w:type="character" w:styleId="HeaderChar" w:customStyle="1">
    <w:name w:val="Header Char"/>
    <w:basedOn w:val="DefaultParagraphFont"/>
    <w:link w:val="Header"/>
    <w:uiPriority w:val="99"/>
    <w:qFormat/>
    <w:rsid w:val="00611547"/>
    <w:rPr>
      <w:rFonts w:ascii="Times New Roman" w:hAnsi="Times New Roman" w:eastAsia="Times New Roman" w:cs="Times New Roman"/>
      <w:sz w:val="20"/>
      <w:szCs w:val="20"/>
      <w:lang w:val="en-AU" w:eastAsia="en-AU"/>
    </w:rPr>
  </w:style>
  <w:style w:type="character" w:styleId="FooterChar" w:customStyle="1">
    <w:name w:val="Footer Char"/>
    <w:basedOn w:val="DefaultParagraphFont"/>
    <w:link w:val="Footer"/>
    <w:uiPriority w:val="99"/>
    <w:qFormat/>
    <w:rsid w:val="00611547"/>
    <w:rPr>
      <w:rFonts w:ascii="Times New Roman" w:hAnsi="Times New Roman" w:eastAsia="Times New Roman" w:cs="Times New Roman"/>
      <w:sz w:val="20"/>
      <w:szCs w:val="20"/>
      <w:lang w:val="en-AU" w:eastAsia="en-AU"/>
    </w:rPr>
  </w:style>
  <w:style w:type="character" w:styleId="PlaceholderText">
    <w:name w:val="Placeholder Text"/>
    <w:basedOn w:val="DefaultParagraphFont"/>
    <w:uiPriority w:val="99"/>
    <w:semiHidden/>
    <w:qFormat/>
    <w:rsid w:val="00c832b1"/>
    <w:rPr>
      <w:color w:val="808080"/>
    </w:rPr>
  </w:style>
  <w:style w:type="character" w:styleId="BalloonTextChar" w:customStyle="1">
    <w:name w:val="Balloon Text Char"/>
    <w:basedOn w:val="DefaultParagraphFont"/>
    <w:link w:val="BalloonText"/>
    <w:uiPriority w:val="99"/>
    <w:semiHidden/>
    <w:qFormat/>
    <w:rsid w:val="00876e9f"/>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11547"/>
    <w:pPr>
      <w:tabs>
        <w:tab w:val="clear" w:pos="720"/>
        <w:tab w:val="center" w:pos="4680" w:leader="none"/>
        <w:tab w:val="right" w:pos="9360" w:leader="none"/>
      </w:tabs>
    </w:pPr>
    <w:rPr/>
  </w:style>
  <w:style w:type="paragraph" w:styleId="Footer">
    <w:name w:val="Footer"/>
    <w:basedOn w:val="Normal"/>
    <w:link w:val="FooterChar"/>
    <w:uiPriority w:val="99"/>
    <w:unhideWhenUsed/>
    <w:rsid w:val="00611547"/>
    <w:pPr>
      <w:tabs>
        <w:tab w:val="clear" w:pos="720"/>
        <w:tab w:val="center" w:pos="4680" w:leader="none"/>
        <w:tab w:val="right" w:pos="9360" w:leader="none"/>
      </w:tabs>
    </w:pPr>
    <w:rPr/>
  </w:style>
  <w:style w:type="paragraph" w:styleId="ListParagraph">
    <w:name w:val="List Paragraph"/>
    <w:basedOn w:val="Normal"/>
    <w:uiPriority w:val="34"/>
    <w:qFormat/>
    <w:rsid w:val="009f240b"/>
    <w:pPr>
      <w:spacing w:before="0" w:after="0"/>
      <w:ind w:left="720" w:hanging="0"/>
      <w:contextualSpacing/>
    </w:pPr>
    <w:rPr/>
  </w:style>
  <w:style w:type="paragraph" w:styleId="BalloonText">
    <w:name w:val="Balloon Text"/>
    <w:basedOn w:val="Normal"/>
    <w:link w:val="BalloonTextChar"/>
    <w:uiPriority w:val="99"/>
    <w:semiHidden/>
    <w:unhideWhenUsed/>
    <w:qFormat/>
    <w:rsid w:val="00876e9f"/>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112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D012E-7248-4E85-8BC8-299BF054A4BB}">
  <ds:schemaRefs>
    <ds:schemaRef ds:uri="http://schemas.microsoft.com/sharepoint/v3/contenttype/forms"/>
  </ds:schemaRefs>
</ds:datastoreItem>
</file>

<file path=customXml/itemProps2.xml><?xml version="1.0" encoding="utf-8"?>
<ds:datastoreItem xmlns:ds="http://schemas.openxmlformats.org/officeDocument/2006/customXml" ds:itemID="{55E30587-FA0F-43ED-8707-8CF63791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8759F-4B15-4070-84B3-B9E906C34B6C}">
  <ds:schemaRefs>
    <ds:schemaRef ds:uri="http://schemas.openxmlformats.org/officeDocument/2006/bibliography"/>
  </ds:schemaRefs>
</ds:datastoreItem>
</file>

<file path=customXml/itemProps4.xml><?xml version="1.0" encoding="utf-8"?>
<ds:datastoreItem xmlns:ds="http://schemas.openxmlformats.org/officeDocument/2006/customXml" ds:itemID="{880CF227-7FCF-4642-B566-2265F664B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193</TotalTime>
  <Application>LibreOffice/7.3.5.2$Linux_X86_64 LibreOffice_project/30$Build-2</Application>
  <AppVersion>15.0000</AppVersion>
  <Pages>10</Pages>
  <Words>1352</Words>
  <Characters>7509</Characters>
  <CharactersWithSpaces>8788</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2022-08-10T14:01:28Z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