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18CA" w14:textId="77777777" w:rsidR="00236113" w:rsidRPr="00C63F76" w:rsidRDefault="00000000">
      <w:pPr>
        <w:rPr>
          <w:rFonts w:asciiTheme="minorHAnsi" w:hAnsiTheme="minorHAnsi" w:cstheme="minorHAnsi"/>
        </w:rPr>
      </w:pPr>
      <w:r w:rsidRPr="00C63F76">
        <w:rPr>
          <w:rFonts w:asciiTheme="minorHAnsi" w:hAnsiTheme="minorHAnsi" w:cstheme="minorHAnsi"/>
        </w:rPr>
        <w:t>Claim:</w:t>
      </w:r>
    </w:p>
    <w:p w14:paraId="5BC0C8C2" w14:textId="77777777" w:rsidR="00236113" w:rsidRPr="00C63F76" w:rsidRDefault="00000000">
      <w:pPr>
        <w:rPr>
          <w:rFonts w:asciiTheme="minorHAnsi" w:hAnsiTheme="minorHAnsi" w:cstheme="minorHAnsi"/>
        </w:rPr>
      </w:pPr>
      <w:r w:rsidRPr="00C63F76">
        <w:rPr>
          <w:rFonts w:asciiTheme="minorHAnsi" w:hAnsiTheme="minorHAnsi" w:cstheme="minorHAnsi"/>
        </w:rPr>
        <w:t>Genetic engineering has revolutionised agriculture</w:t>
      </w:r>
    </w:p>
    <w:p w14:paraId="0DE2B058" w14:textId="77777777" w:rsidR="00236113" w:rsidRPr="00C63F76" w:rsidRDefault="00236113">
      <w:pPr>
        <w:rPr>
          <w:rFonts w:asciiTheme="minorHAnsi" w:hAnsiTheme="minorHAnsi" w:cstheme="minorHAnsi"/>
        </w:rPr>
      </w:pPr>
    </w:p>
    <w:p w14:paraId="4C93C8BB" w14:textId="77777777" w:rsidR="00236113" w:rsidRPr="00C63F76" w:rsidRDefault="00000000">
      <w:pPr>
        <w:rPr>
          <w:rFonts w:asciiTheme="minorHAnsi" w:hAnsiTheme="minorHAnsi" w:cstheme="minorHAnsi"/>
        </w:rPr>
      </w:pPr>
      <w:r w:rsidRPr="00C63F76">
        <w:rPr>
          <w:rFonts w:asciiTheme="minorHAnsi" w:hAnsiTheme="minorHAnsi" w:cstheme="minorHAnsi"/>
        </w:rPr>
        <w:t>Research Question:</w:t>
      </w:r>
    </w:p>
    <w:p w14:paraId="5C888094" w14:textId="77777777" w:rsidR="00236113" w:rsidRPr="00C63F76" w:rsidRDefault="00000000">
      <w:pPr>
        <w:rPr>
          <w:rFonts w:asciiTheme="minorHAnsi" w:hAnsiTheme="minorHAnsi" w:cstheme="minorHAnsi"/>
        </w:rPr>
      </w:pPr>
      <w:r w:rsidRPr="00C63F76">
        <w:rPr>
          <w:rFonts w:asciiTheme="minorHAnsi" w:hAnsiTheme="minorHAnsi" w:cstheme="minorHAnsi"/>
        </w:rPr>
        <w:t>Does the introduction of the GR2E trait into rice increase the concentration of carotenoids?</w:t>
      </w:r>
    </w:p>
    <w:p w14:paraId="7BB99503" w14:textId="77777777" w:rsidR="00236113" w:rsidRPr="00C63F76" w:rsidRDefault="00236113">
      <w:pPr>
        <w:rPr>
          <w:rFonts w:asciiTheme="minorHAnsi" w:hAnsiTheme="minorHAnsi" w:cstheme="minorHAnsi"/>
        </w:rPr>
      </w:pPr>
    </w:p>
    <w:p w14:paraId="19969FD5" w14:textId="77777777" w:rsidR="00236113" w:rsidRPr="00C63F76" w:rsidRDefault="00000000">
      <w:pPr>
        <w:rPr>
          <w:rFonts w:asciiTheme="minorHAnsi" w:hAnsiTheme="minorHAnsi" w:cstheme="minorHAnsi"/>
        </w:rPr>
      </w:pPr>
      <w:r w:rsidRPr="00C63F76">
        <w:rPr>
          <w:rFonts w:asciiTheme="minorHAnsi" w:hAnsiTheme="minorHAnsi" w:cstheme="minorHAnsi"/>
        </w:rPr>
        <w:t>Evidence:</w:t>
      </w:r>
    </w:p>
    <w:p w14:paraId="09C02C50" w14:textId="4ED0658D" w:rsidR="00AD3371" w:rsidRPr="00C63F76" w:rsidRDefault="00000000">
      <w:pPr>
        <w:rPr>
          <w:rFonts w:asciiTheme="minorHAnsi" w:hAnsiTheme="minorHAnsi" w:cstheme="minorHAnsi"/>
        </w:rPr>
      </w:pPr>
      <w:r w:rsidRPr="00C63F76">
        <w:rPr>
          <w:rFonts w:asciiTheme="minorHAnsi" w:hAnsiTheme="minorHAnsi" w:cstheme="minorHAnsi"/>
        </w:rPr>
        <w:t xml:space="preserve">The research article </w:t>
      </w:r>
      <w:r w:rsidRPr="00C63F76">
        <w:rPr>
          <w:rFonts w:asciiTheme="minorHAnsi" w:hAnsiTheme="minorHAnsi" w:cstheme="minorHAnsi"/>
          <w:i/>
          <w:iCs/>
        </w:rPr>
        <w:t xml:space="preserve">Compositional Analysis of Genetically Engineered GR2E “Golden Rice” in Comparison to That of Conventional Rice </w:t>
      </w:r>
      <w:r w:rsidR="00E2407B" w:rsidRPr="00C63F76">
        <w:rPr>
          <w:rFonts w:asciiTheme="minorHAnsi" w:hAnsiTheme="minorHAnsi" w:cstheme="minorHAnsi"/>
        </w:rPr>
        <w:t>was published in 2019 in the J</w:t>
      </w:r>
      <w:r w:rsidR="00E2407B" w:rsidRPr="00C63F76">
        <w:rPr>
          <w:rFonts w:asciiTheme="minorHAnsi" w:hAnsiTheme="minorHAnsi" w:cstheme="minorHAnsi"/>
        </w:rPr>
        <w:t>ournal of Agricultural and Food Chemistry</w:t>
      </w:r>
      <w:r w:rsidR="00E2407B" w:rsidRPr="00C63F76">
        <w:rPr>
          <w:rFonts w:asciiTheme="minorHAnsi" w:hAnsiTheme="minorHAnsi" w:cstheme="minorHAnsi"/>
        </w:rPr>
        <w:t>. The study investigates the nutritional content found in GR2E rice compared to regular rice. The study collected rice samples</w:t>
      </w:r>
      <w:r w:rsidR="004024D3" w:rsidRPr="00C63F76">
        <w:rPr>
          <w:rFonts w:asciiTheme="minorHAnsi" w:hAnsiTheme="minorHAnsi" w:cstheme="minorHAnsi"/>
        </w:rPr>
        <w:t xml:space="preserve"> from four sites in the Philippines in both the wet and dry season. These samples were then crushed and through a lengthy chemical process the concentration of </w:t>
      </w:r>
      <w:r w:rsidR="004024D3" w:rsidRPr="00C63F76">
        <w:rPr>
          <w:rFonts w:asciiTheme="minorHAnsi" w:hAnsiTheme="minorHAnsi" w:cstheme="minorHAnsi"/>
        </w:rPr>
        <w:t>carotenoids</w:t>
      </w:r>
      <w:r w:rsidR="004024D3" w:rsidRPr="00C63F76">
        <w:rPr>
          <w:rFonts w:asciiTheme="minorHAnsi" w:hAnsiTheme="minorHAnsi" w:cstheme="minorHAnsi"/>
        </w:rPr>
        <w:t xml:space="preserve"> in the samples was determined</w:t>
      </w:r>
      <w:r w:rsidR="006606F9" w:rsidRPr="00C63F76">
        <w:rPr>
          <w:rFonts w:asciiTheme="minorHAnsi" w:hAnsiTheme="minorHAnsi" w:cstheme="minorHAnsi"/>
        </w:rPr>
        <w:t>.</w:t>
      </w:r>
    </w:p>
    <w:p w14:paraId="2BD4AB3D" w14:textId="77777777" w:rsidR="00AD3371" w:rsidRPr="00C63F76" w:rsidRDefault="00AD3371">
      <w:pPr>
        <w:rPr>
          <w:rFonts w:asciiTheme="minorHAnsi" w:hAnsiTheme="minorHAnsi" w:cstheme="minorHAnsi"/>
        </w:rPr>
      </w:pPr>
    </w:p>
    <w:p w14:paraId="383519F6" w14:textId="48B28B61" w:rsidR="005D207B" w:rsidRPr="00C63F76" w:rsidRDefault="005D207B" w:rsidP="005D207B">
      <w:pPr>
        <w:pStyle w:val="Caption"/>
        <w:keepNext/>
        <w:rPr>
          <w:rFonts w:asciiTheme="minorHAnsi" w:hAnsiTheme="minorHAnsi" w:cstheme="minorHAnsi"/>
        </w:rPr>
      </w:pPr>
      <w:r w:rsidRPr="00C63F76">
        <w:rPr>
          <w:rFonts w:asciiTheme="minorHAnsi" w:hAnsiTheme="minorHAnsi" w:cstheme="minorHAnsi"/>
        </w:rPr>
        <w:t xml:space="preserve">Table </w:t>
      </w:r>
      <w:r w:rsidRPr="00C63F76">
        <w:rPr>
          <w:rFonts w:asciiTheme="minorHAnsi" w:hAnsiTheme="minorHAnsi" w:cstheme="minorHAnsi"/>
        </w:rPr>
        <w:fldChar w:fldCharType="begin"/>
      </w:r>
      <w:r w:rsidRPr="00C63F76">
        <w:rPr>
          <w:rFonts w:asciiTheme="minorHAnsi" w:hAnsiTheme="minorHAnsi" w:cstheme="minorHAnsi"/>
        </w:rPr>
        <w:instrText xml:space="preserve"> SEQ Table \* ARABIC </w:instrText>
      </w:r>
      <w:r w:rsidRPr="00C63F76">
        <w:rPr>
          <w:rFonts w:asciiTheme="minorHAnsi" w:hAnsiTheme="minorHAnsi" w:cstheme="minorHAnsi"/>
        </w:rPr>
        <w:fldChar w:fldCharType="separate"/>
      </w:r>
      <w:r w:rsidRPr="00C63F76">
        <w:rPr>
          <w:rFonts w:asciiTheme="minorHAnsi" w:hAnsiTheme="minorHAnsi" w:cstheme="minorHAnsi"/>
          <w:noProof/>
        </w:rPr>
        <w:t>1</w:t>
      </w:r>
      <w:r w:rsidRPr="00C63F76">
        <w:rPr>
          <w:rFonts w:asciiTheme="minorHAnsi" w:hAnsiTheme="minorHAnsi" w:cstheme="minorHAnsi"/>
        </w:rPr>
        <w:fldChar w:fldCharType="end"/>
      </w:r>
      <w:r w:rsidRPr="00C63F76">
        <w:rPr>
          <w:rFonts w:asciiTheme="minorHAnsi" w:hAnsiTheme="minorHAnsi" w:cstheme="minorHAnsi"/>
        </w:rPr>
        <w:t>: Concentrations of, Carotenoids in Grain Samples Derived from GR2E and Control Rice</w:t>
      </w:r>
      <w:r w:rsidRPr="00C63F76">
        <w:rPr>
          <w:rFonts w:asciiTheme="minorHAnsi" w:hAnsiTheme="minorHAnsi" w:cstheme="minorHAnsi"/>
          <w:noProof/>
        </w:rPr>
        <w:t xml:space="preserve"> </w:t>
      </w:r>
      <w:r w:rsidR="004173F5" w:rsidRPr="00C63F76">
        <w:rPr>
          <w:rStyle w:val="selectable"/>
          <w:rFonts w:asciiTheme="minorHAnsi" w:hAnsiTheme="minorHAnsi" w:cstheme="minorHAnsi"/>
          <w:color w:val="000000"/>
        </w:rPr>
        <w:t>(Swamy et al., 2019)</w:t>
      </w:r>
    </w:p>
    <w:tbl>
      <w:tblPr>
        <w:tblW w:w="8931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0"/>
        <w:gridCol w:w="1866"/>
        <w:gridCol w:w="2127"/>
        <w:gridCol w:w="2268"/>
      </w:tblGrid>
      <w:tr w:rsidR="006F33A9" w:rsidRPr="00C63F76" w14:paraId="3256F128" w14:textId="77777777" w:rsidTr="006F33A9">
        <w:trPr>
          <w:tblHeader/>
        </w:trPr>
        <w:tc>
          <w:tcPr>
            <w:tcW w:w="2670" w:type="dxa"/>
          </w:tcPr>
          <w:p w14:paraId="2929696E" w14:textId="77777777" w:rsidR="006F33A9" w:rsidRPr="00C63F76" w:rsidRDefault="006F33A9" w:rsidP="00FC44DE">
            <w:pPr>
              <w:pStyle w:val="TableHeading"/>
              <w:rPr>
                <w:rFonts w:asciiTheme="minorHAnsi" w:hAnsiTheme="minorHAnsi" w:cstheme="minorHAnsi"/>
              </w:rPr>
            </w:pPr>
          </w:p>
        </w:tc>
        <w:tc>
          <w:tcPr>
            <w:tcW w:w="3993" w:type="dxa"/>
            <w:gridSpan w:val="2"/>
          </w:tcPr>
          <w:p w14:paraId="34BE5D94" w14:textId="77777777" w:rsidR="006F33A9" w:rsidRPr="00C63F76" w:rsidRDefault="006F33A9" w:rsidP="00FC44DE">
            <w:pPr>
              <w:pStyle w:val="TableHeading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GR2E</w:t>
            </w:r>
          </w:p>
        </w:tc>
        <w:tc>
          <w:tcPr>
            <w:tcW w:w="2268" w:type="dxa"/>
          </w:tcPr>
          <w:p w14:paraId="7A8A9A86" w14:textId="407DC6C0" w:rsidR="006F33A9" w:rsidRPr="00C63F76" w:rsidRDefault="006F33A9" w:rsidP="00FC44DE">
            <w:pPr>
              <w:pStyle w:val="TableHeading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control</w:t>
            </w:r>
          </w:p>
        </w:tc>
      </w:tr>
      <w:tr w:rsidR="006F33A9" w:rsidRPr="00C63F76" w14:paraId="206DEA03" w14:textId="77777777" w:rsidTr="006F33A9">
        <w:trPr>
          <w:tblHeader/>
        </w:trPr>
        <w:tc>
          <w:tcPr>
            <w:tcW w:w="2670" w:type="dxa"/>
          </w:tcPr>
          <w:p w14:paraId="4C6E4EE4" w14:textId="77777777" w:rsidR="006F33A9" w:rsidRPr="00C63F76" w:rsidRDefault="006F33A9" w:rsidP="00FC44DE">
            <w:pPr>
              <w:pStyle w:val="TableHeading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component</w:t>
            </w:r>
          </w:p>
        </w:tc>
        <w:tc>
          <w:tcPr>
            <w:tcW w:w="1866" w:type="dxa"/>
          </w:tcPr>
          <w:p w14:paraId="3ED565FB" w14:textId="77777777" w:rsidR="006F33A9" w:rsidRPr="00C63F76" w:rsidRDefault="006F33A9" w:rsidP="00FC44DE">
            <w:pPr>
              <w:pStyle w:val="TableHeading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mean</w:t>
            </w:r>
          </w:p>
        </w:tc>
        <w:tc>
          <w:tcPr>
            <w:tcW w:w="2127" w:type="dxa"/>
          </w:tcPr>
          <w:p w14:paraId="1BB63044" w14:textId="77777777" w:rsidR="006F33A9" w:rsidRPr="00C63F76" w:rsidRDefault="006F33A9" w:rsidP="00FC44DE">
            <w:pPr>
              <w:pStyle w:val="TableHeading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range</w:t>
            </w:r>
          </w:p>
        </w:tc>
        <w:tc>
          <w:tcPr>
            <w:tcW w:w="2268" w:type="dxa"/>
          </w:tcPr>
          <w:p w14:paraId="376671A0" w14:textId="77777777" w:rsidR="006F33A9" w:rsidRPr="00C63F76" w:rsidRDefault="006F33A9" w:rsidP="00FC44DE">
            <w:pPr>
              <w:pStyle w:val="TableHeading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mean</w:t>
            </w:r>
          </w:p>
        </w:tc>
      </w:tr>
      <w:tr w:rsidR="00AD3371" w:rsidRPr="00C63F76" w14:paraId="5EFDB881" w14:textId="77777777" w:rsidTr="006F33A9">
        <w:tc>
          <w:tcPr>
            <w:tcW w:w="8931" w:type="dxa"/>
            <w:gridSpan w:val="4"/>
          </w:tcPr>
          <w:p w14:paraId="07C9ACFA" w14:textId="77777777" w:rsidR="00AD3371" w:rsidRPr="00C63F76" w:rsidRDefault="00AD3371" w:rsidP="00FC44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Carotenoids (mg/kg DB)</w:t>
            </w:r>
          </w:p>
        </w:tc>
      </w:tr>
      <w:tr w:rsidR="006F33A9" w:rsidRPr="00C63F76" w14:paraId="547A9B18" w14:textId="77777777" w:rsidTr="006F33A9">
        <w:tc>
          <w:tcPr>
            <w:tcW w:w="2670" w:type="dxa"/>
          </w:tcPr>
          <w:p w14:paraId="469C03DB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β-cryptoxanthin</w:t>
            </w:r>
          </w:p>
        </w:tc>
        <w:tc>
          <w:tcPr>
            <w:tcW w:w="1866" w:type="dxa"/>
          </w:tcPr>
          <w:p w14:paraId="6A4CBDF9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0.31</w:t>
            </w:r>
          </w:p>
        </w:tc>
        <w:tc>
          <w:tcPr>
            <w:tcW w:w="2127" w:type="dxa"/>
          </w:tcPr>
          <w:p w14:paraId="1D20FC5C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(0.23–0.46)</w:t>
            </w:r>
          </w:p>
        </w:tc>
        <w:tc>
          <w:tcPr>
            <w:tcW w:w="2268" w:type="dxa"/>
          </w:tcPr>
          <w:p w14:paraId="157E156A" w14:textId="77777777" w:rsidR="006F33A9" w:rsidRPr="00C63F76" w:rsidRDefault="006F33A9" w:rsidP="00FC44DE">
            <w:pPr>
              <w:pStyle w:val="TableContents"/>
              <w:rPr>
                <w:rStyle w:val="Hyperlink"/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  <w:i/>
              </w:rPr>
              <w:t>&lt;</w:t>
            </w:r>
            <w:hyperlink r:id="rId4" w:anchor="tbl5-fn1" w:history="1">
              <w:r w:rsidRPr="00C63F76">
                <w:rPr>
                  <w:rFonts w:asciiTheme="minorHAnsi" w:hAnsiTheme="minorHAnsi" w:cstheme="minorHAnsi"/>
                </w:rPr>
                <w:t>LOQ</w:t>
              </w:r>
            </w:hyperlink>
          </w:p>
        </w:tc>
      </w:tr>
      <w:tr w:rsidR="006F33A9" w:rsidRPr="00C63F76" w14:paraId="261CCB1B" w14:textId="77777777" w:rsidTr="006F33A9">
        <w:tc>
          <w:tcPr>
            <w:tcW w:w="2670" w:type="dxa"/>
          </w:tcPr>
          <w:p w14:paraId="7E9CBF75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  <w:i/>
              </w:rPr>
              <w:t>all</w:t>
            </w:r>
            <w:r w:rsidRPr="00C63F76">
              <w:rPr>
                <w:rFonts w:asciiTheme="minorHAnsi" w:hAnsiTheme="minorHAnsi" w:cstheme="minorHAnsi"/>
              </w:rPr>
              <w:t>-</w:t>
            </w:r>
            <w:r w:rsidRPr="00C63F76">
              <w:rPr>
                <w:rFonts w:asciiTheme="minorHAnsi" w:hAnsiTheme="minorHAnsi" w:cstheme="minorHAnsi"/>
                <w:i/>
              </w:rPr>
              <w:t>trans</w:t>
            </w:r>
            <w:r w:rsidRPr="00C63F76">
              <w:rPr>
                <w:rFonts w:asciiTheme="minorHAnsi" w:hAnsiTheme="minorHAnsi" w:cstheme="minorHAnsi"/>
              </w:rPr>
              <w:t>-α-carotene</w:t>
            </w:r>
          </w:p>
        </w:tc>
        <w:tc>
          <w:tcPr>
            <w:tcW w:w="1866" w:type="dxa"/>
          </w:tcPr>
          <w:p w14:paraId="5E69E03E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0.71</w:t>
            </w:r>
          </w:p>
        </w:tc>
        <w:tc>
          <w:tcPr>
            <w:tcW w:w="2127" w:type="dxa"/>
          </w:tcPr>
          <w:p w14:paraId="1ECC845D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(0.35–1.32)</w:t>
            </w:r>
          </w:p>
        </w:tc>
        <w:tc>
          <w:tcPr>
            <w:tcW w:w="2268" w:type="dxa"/>
          </w:tcPr>
          <w:p w14:paraId="26FEB575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  <w:i/>
              </w:rPr>
              <w:t>&lt;</w:t>
            </w:r>
            <w:r w:rsidRPr="00C63F76">
              <w:rPr>
                <w:rFonts w:asciiTheme="minorHAnsi" w:hAnsiTheme="minorHAnsi" w:cstheme="minorHAnsi"/>
              </w:rPr>
              <w:t>LOQ</w:t>
            </w:r>
          </w:p>
        </w:tc>
      </w:tr>
      <w:tr w:rsidR="006F33A9" w:rsidRPr="00C63F76" w14:paraId="21BAA56D" w14:textId="77777777" w:rsidTr="006F33A9">
        <w:tc>
          <w:tcPr>
            <w:tcW w:w="2670" w:type="dxa"/>
          </w:tcPr>
          <w:p w14:paraId="39A88554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  <w:i/>
              </w:rPr>
              <w:t>all</w:t>
            </w:r>
            <w:r w:rsidRPr="00C63F76">
              <w:rPr>
                <w:rFonts w:asciiTheme="minorHAnsi" w:hAnsiTheme="minorHAnsi" w:cstheme="minorHAnsi"/>
              </w:rPr>
              <w:t>-</w:t>
            </w:r>
            <w:r w:rsidRPr="00C63F76">
              <w:rPr>
                <w:rFonts w:asciiTheme="minorHAnsi" w:hAnsiTheme="minorHAnsi" w:cstheme="minorHAnsi"/>
                <w:i/>
              </w:rPr>
              <w:t>trans</w:t>
            </w:r>
            <w:r w:rsidRPr="00C63F76">
              <w:rPr>
                <w:rFonts w:asciiTheme="minorHAnsi" w:hAnsiTheme="minorHAnsi" w:cstheme="minorHAnsi"/>
              </w:rPr>
              <w:t>-β-carotene</w:t>
            </w:r>
          </w:p>
        </w:tc>
        <w:tc>
          <w:tcPr>
            <w:tcW w:w="1866" w:type="dxa"/>
          </w:tcPr>
          <w:p w14:paraId="110FC78A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3.57</w:t>
            </w:r>
          </w:p>
        </w:tc>
        <w:tc>
          <w:tcPr>
            <w:tcW w:w="2127" w:type="dxa"/>
          </w:tcPr>
          <w:p w14:paraId="2566B707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(1.96–7.31)</w:t>
            </w:r>
          </w:p>
        </w:tc>
        <w:tc>
          <w:tcPr>
            <w:tcW w:w="2268" w:type="dxa"/>
          </w:tcPr>
          <w:p w14:paraId="70883C5D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  <w:i/>
              </w:rPr>
              <w:t>&lt;</w:t>
            </w:r>
            <w:r w:rsidRPr="00C63F76">
              <w:rPr>
                <w:rFonts w:asciiTheme="minorHAnsi" w:hAnsiTheme="minorHAnsi" w:cstheme="minorHAnsi"/>
              </w:rPr>
              <w:t>LOQ</w:t>
            </w:r>
          </w:p>
        </w:tc>
      </w:tr>
      <w:tr w:rsidR="006F33A9" w:rsidRPr="00C63F76" w14:paraId="46504BFD" w14:textId="77777777" w:rsidTr="006F33A9">
        <w:tc>
          <w:tcPr>
            <w:tcW w:w="2670" w:type="dxa"/>
          </w:tcPr>
          <w:p w14:paraId="1068F8F4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9′-</w:t>
            </w:r>
            <w:r w:rsidRPr="00C63F76">
              <w:rPr>
                <w:rFonts w:asciiTheme="minorHAnsi" w:hAnsiTheme="minorHAnsi" w:cstheme="minorHAnsi"/>
                <w:i/>
              </w:rPr>
              <w:t>cis</w:t>
            </w:r>
            <w:r w:rsidRPr="00C63F76">
              <w:rPr>
                <w:rFonts w:asciiTheme="minorHAnsi" w:hAnsiTheme="minorHAnsi" w:cstheme="minorHAnsi"/>
              </w:rPr>
              <w:t>-β-carotene</w:t>
            </w:r>
          </w:p>
        </w:tc>
        <w:tc>
          <w:tcPr>
            <w:tcW w:w="1866" w:type="dxa"/>
          </w:tcPr>
          <w:p w14:paraId="26235E84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0.76</w:t>
            </w:r>
          </w:p>
        </w:tc>
        <w:tc>
          <w:tcPr>
            <w:tcW w:w="2127" w:type="dxa"/>
          </w:tcPr>
          <w:p w14:paraId="35EDB86F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(0.5–1.32)</w:t>
            </w:r>
          </w:p>
        </w:tc>
        <w:tc>
          <w:tcPr>
            <w:tcW w:w="2268" w:type="dxa"/>
          </w:tcPr>
          <w:p w14:paraId="7BC942ED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  <w:i/>
              </w:rPr>
              <w:t>&lt;</w:t>
            </w:r>
            <w:r w:rsidRPr="00C63F76">
              <w:rPr>
                <w:rFonts w:asciiTheme="minorHAnsi" w:hAnsiTheme="minorHAnsi" w:cstheme="minorHAnsi"/>
              </w:rPr>
              <w:t>LOQ</w:t>
            </w:r>
          </w:p>
        </w:tc>
      </w:tr>
      <w:tr w:rsidR="006F33A9" w:rsidRPr="00C63F76" w14:paraId="7F1ECFC1" w14:textId="77777777" w:rsidTr="006F33A9">
        <w:tc>
          <w:tcPr>
            <w:tcW w:w="2670" w:type="dxa"/>
          </w:tcPr>
          <w:p w14:paraId="11800573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total carotenoids</w:t>
            </w:r>
          </w:p>
        </w:tc>
        <w:tc>
          <w:tcPr>
            <w:tcW w:w="1866" w:type="dxa"/>
          </w:tcPr>
          <w:p w14:paraId="775DCCC3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5.88</w:t>
            </w:r>
          </w:p>
        </w:tc>
        <w:tc>
          <w:tcPr>
            <w:tcW w:w="2127" w:type="dxa"/>
          </w:tcPr>
          <w:p w14:paraId="648559B0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</w:rPr>
              <w:t>(3.5–10.9)</w:t>
            </w:r>
          </w:p>
        </w:tc>
        <w:tc>
          <w:tcPr>
            <w:tcW w:w="2268" w:type="dxa"/>
          </w:tcPr>
          <w:p w14:paraId="6ACE90B9" w14:textId="77777777" w:rsidR="006F33A9" w:rsidRPr="00C63F76" w:rsidRDefault="006F33A9" w:rsidP="00FC44DE">
            <w:pPr>
              <w:pStyle w:val="TableContents"/>
              <w:rPr>
                <w:rFonts w:asciiTheme="minorHAnsi" w:hAnsiTheme="minorHAnsi" w:cstheme="minorHAnsi"/>
              </w:rPr>
            </w:pPr>
            <w:r w:rsidRPr="00C63F76">
              <w:rPr>
                <w:rFonts w:asciiTheme="minorHAnsi" w:hAnsiTheme="minorHAnsi" w:cstheme="minorHAnsi"/>
                <w:i/>
              </w:rPr>
              <w:t>&lt;</w:t>
            </w:r>
            <w:r w:rsidRPr="00C63F76">
              <w:rPr>
                <w:rFonts w:asciiTheme="minorHAnsi" w:hAnsiTheme="minorHAnsi" w:cstheme="minorHAnsi"/>
              </w:rPr>
              <w:t>LOQ</w:t>
            </w:r>
          </w:p>
        </w:tc>
      </w:tr>
    </w:tbl>
    <w:p w14:paraId="38F85032" w14:textId="05115CAC" w:rsidR="00AD3371" w:rsidRPr="00C63F76" w:rsidRDefault="00AD3371">
      <w:pPr>
        <w:rPr>
          <w:rFonts w:asciiTheme="minorHAnsi" w:hAnsiTheme="minorHAnsi" w:cstheme="minorHAnsi"/>
        </w:rPr>
      </w:pPr>
    </w:p>
    <w:p w14:paraId="0622028C" w14:textId="77777777" w:rsidR="005D207B" w:rsidRPr="00C63F76" w:rsidRDefault="005D207B">
      <w:pPr>
        <w:rPr>
          <w:rFonts w:asciiTheme="minorHAnsi" w:hAnsiTheme="minorHAnsi" w:cstheme="minorHAnsi"/>
        </w:rPr>
      </w:pPr>
    </w:p>
    <w:p w14:paraId="41474CCC" w14:textId="77777777" w:rsidR="00244892" w:rsidRPr="00C63F76" w:rsidRDefault="006F33A9">
      <w:pPr>
        <w:rPr>
          <w:rFonts w:asciiTheme="minorHAnsi" w:hAnsiTheme="minorHAnsi" w:cstheme="minorHAnsi"/>
        </w:rPr>
      </w:pPr>
      <w:r w:rsidRPr="00C63F76">
        <w:rPr>
          <w:rFonts w:asciiTheme="minorHAnsi" w:hAnsiTheme="minorHAnsi" w:cstheme="minorHAnsi"/>
        </w:rPr>
        <w:t>Table 1 shows the results of the study</w:t>
      </w:r>
      <w:r w:rsidR="00747389" w:rsidRPr="00C63F76">
        <w:rPr>
          <w:rFonts w:asciiTheme="minorHAnsi" w:hAnsiTheme="minorHAnsi" w:cstheme="minorHAnsi"/>
        </w:rPr>
        <w:t xml:space="preserve"> and lists the concentration of carotenoids found in rice samples. </w:t>
      </w:r>
      <w:r w:rsidR="00232E26" w:rsidRPr="00C63F76">
        <w:rPr>
          <w:rFonts w:asciiTheme="minorHAnsi" w:hAnsiTheme="minorHAnsi" w:cstheme="minorHAnsi"/>
        </w:rPr>
        <w:t xml:space="preserve">These concentrations show that the </w:t>
      </w:r>
      <w:r w:rsidR="00980288" w:rsidRPr="00C63F76">
        <w:rPr>
          <w:rFonts w:asciiTheme="minorHAnsi" w:hAnsiTheme="minorHAnsi" w:cstheme="minorHAnsi"/>
        </w:rPr>
        <w:t xml:space="preserve">presence of the </w:t>
      </w:r>
      <w:r w:rsidR="00232E26" w:rsidRPr="00C63F76">
        <w:rPr>
          <w:rFonts w:asciiTheme="minorHAnsi" w:hAnsiTheme="minorHAnsi" w:cstheme="minorHAnsi"/>
        </w:rPr>
        <w:t>GR2E trait is causing an increase in all carotenoids from below the level of quantification to a significant amount.</w:t>
      </w:r>
      <w:r w:rsidR="005D7E6E" w:rsidRPr="00C63F76">
        <w:rPr>
          <w:rFonts w:asciiTheme="minorHAnsi" w:hAnsiTheme="minorHAnsi" w:cstheme="minorHAnsi"/>
        </w:rPr>
        <w:t xml:space="preserve"> It also shows the amount of each type of carotenoids with trans beta carotene being the most prevalent and comprising of </w:t>
      </w:r>
      <w:proofErr w:type="gramStart"/>
      <w:r w:rsidR="005D7E6E" w:rsidRPr="00C63F76">
        <w:rPr>
          <w:rFonts w:asciiTheme="minorHAnsi" w:hAnsiTheme="minorHAnsi" w:cstheme="minorHAnsi"/>
        </w:rPr>
        <w:t>the majority of</w:t>
      </w:r>
      <w:proofErr w:type="gramEnd"/>
      <w:r w:rsidR="005D7E6E" w:rsidRPr="00C63F76">
        <w:rPr>
          <w:rFonts w:asciiTheme="minorHAnsi" w:hAnsiTheme="minorHAnsi" w:cstheme="minorHAnsi"/>
        </w:rPr>
        <w:t xml:space="preserve"> carotenoids in the BR2E and </w:t>
      </w:r>
      <w:r w:rsidR="003F72CF" w:rsidRPr="00C63F76">
        <w:rPr>
          <w:rFonts w:asciiTheme="minorHAnsi" w:hAnsiTheme="minorHAnsi" w:cstheme="minorHAnsi"/>
        </w:rPr>
        <w:t xml:space="preserve">beta cryptoxanthin and beta cryptoxanthin </w:t>
      </w:r>
      <w:r w:rsidR="006A1A44" w:rsidRPr="00C63F76">
        <w:rPr>
          <w:rFonts w:asciiTheme="minorHAnsi" w:hAnsiTheme="minorHAnsi" w:cstheme="minorHAnsi"/>
        </w:rPr>
        <w:t>being in</w:t>
      </w:r>
      <w:r w:rsidR="003F72CF" w:rsidRPr="00C63F76">
        <w:rPr>
          <w:rFonts w:asciiTheme="minorHAnsi" w:hAnsiTheme="minorHAnsi" w:cstheme="minorHAnsi"/>
        </w:rPr>
        <w:t xml:space="preserve"> a small concentration. </w:t>
      </w:r>
    </w:p>
    <w:p w14:paraId="042C243D" w14:textId="77777777" w:rsidR="00244892" w:rsidRPr="00C63F76" w:rsidRDefault="00244892">
      <w:pPr>
        <w:rPr>
          <w:rFonts w:asciiTheme="minorHAnsi" w:hAnsiTheme="minorHAnsi" w:cstheme="minorHAnsi"/>
        </w:rPr>
      </w:pPr>
    </w:p>
    <w:p w14:paraId="3378F783" w14:textId="3C06EF66" w:rsidR="00AD3371" w:rsidRPr="00C63F76" w:rsidRDefault="00244892">
      <w:pPr>
        <w:rPr>
          <w:rFonts w:asciiTheme="minorHAnsi" w:hAnsiTheme="minorHAnsi" w:cstheme="minorHAnsi"/>
        </w:rPr>
      </w:pPr>
      <w:r w:rsidRPr="00C63F76">
        <w:rPr>
          <w:rFonts w:asciiTheme="minorHAnsi" w:hAnsiTheme="minorHAnsi" w:cstheme="minorHAnsi"/>
        </w:rPr>
        <w:t xml:space="preserve">The results in Table 1 are shown </w:t>
      </w:r>
      <w:r w:rsidR="00A92F45" w:rsidRPr="00C63F76">
        <w:rPr>
          <w:rFonts w:asciiTheme="minorHAnsi" w:hAnsiTheme="minorHAnsi" w:cstheme="minorHAnsi"/>
        </w:rPr>
        <w:t>because of the gene which was been transferred to the rice via genetic engineering processes to create a transgenic specious of rice</w:t>
      </w:r>
      <w:r w:rsidR="00EB3FBF" w:rsidRPr="00C63F76">
        <w:rPr>
          <w:rFonts w:asciiTheme="minorHAnsi" w:hAnsiTheme="minorHAnsi" w:cstheme="minorHAnsi"/>
        </w:rPr>
        <w:t xml:space="preserve"> with altered nutritional properties. The genes transferred are from a specious of maize and bacteria which together creates plants which </w:t>
      </w:r>
      <w:r w:rsidR="003977AD" w:rsidRPr="00C63F76">
        <w:rPr>
          <w:rFonts w:asciiTheme="minorHAnsi" w:hAnsiTheme="minorHAnsi" w:cstheme="minorHAnsi"/>
        </w:rPr>
        <w:t xml:space="preserve">produce carotenoids, a molecule which the body converts to vitamin A. </w:t>
      </w:r>
      <w:r w:rsidR="00F45C06" w:rsidRPr="00C63F76">
        <w:rPr>
          <w:rFonts w:asciiTheme="minorHAnsi" w:hAnsiTheme="minorHAnsi" w:cstheme="minorHAnsi"/>
        </w:rPr>
        <w:t xml:space="preserve">The genetic engineering process which was used to insert the genes into the rice was </w:t>
      </w:r>
      <w:r w:rsidR="00F45C06" w:rsidRPr="00C63F76">
        <w:rPr>
          <w:rFonts w:asciiTheme="minorHAnsi" w:hAnsiTheme="minorHAnsi" w:cstheme="minorHAnsi"/>
        </w:rPr>
        <w:t>Agrobacterium-mediated transformation</w:t>
      </w:r>
      <w:r w:rsidR="00C63F76" w:rsidRPr="00C63F76">
        <w:rPr>
          <w:rFonts w:asciiTheme="minorHAnsi" w:hAnsiTheme="minorHAnsi" w:cstheme="minorHAnsi"/>
        </w:rPr>
        <w:t xml:space="preserve"> </w:t>
      </w:r>
      <w:r w:rsidR="00C63F76" w:rsidRPr="00C63F76">
        <w:rPr>
          <w:rStyle w:val="selectable"/>
          <w:rFonts w:asciiTheme="minorHAnsi" w:hAnsiTheme="minorHAnsi" w:cstheme="minorHAnsi"/>
          <w:color w:val="000000"/>
        </w:rPr>
        <w:t>(Baranski, 2022)</w:t>
      </w:r>
      <w:r w:rsidR="004173F5" w:rsidRPr="00C63F76">
        <w:rPr>
          <w:rFonts w:asciiTheme="minorHAnsi" w:hAnsiTheme="minorHAnsi" w:cstheme="minorHAnsi"/>
        </w:rPr>
        <w:t>.</w:t>
      </w:r>
      <w:r w:rsidR="00AD3371" w:rsidRPr="00C63F76">
        <w:rPr>
          <w:rFonts w:asciiTheme="minorHAnsi" w:hAnsiTheme="minorHAnsi" w:cstheme="minorHAnsi"/>
        </w:rPr>
        <w:br w:type="page"/>
      </w:r>
    </w:p>
    <w:p w14:paraId="77CB3DFF" w14:textId="2433A9F5" w:rsidR="00E2407B" w:rsidRPr="00C63F76" w:rsidRDefault="00AD3371">
      <w:pPr>
        <w:rPr>
          <w:rFonts w:asciiTheme="minorHAnsi" w:hAnsiTheme="minorHAnsi" w:cstheme="minorHAnsi"/>
        </w:rPr>
      </w:pPr>
      <w:r w:rsidRPr="00C63F76">
        <w:rPr>
          <w:rFonts w:asciiTheme="minorHAnsi" w:hAnsiTheme="minorHAnsi" w:cstheme="minorHAnsi"/>
        </w:rPr>
        <w:lastRenderedPageBreak/>
        <w:t>Reference List</w:t>
      </w:r>
    </w:p>
    <w:p w14:paraId="6F41F20B" w14:textId="4FEF808A" w:rsidR="00AD3371" w:rsidRPr="00C63F76" w:rsidRDefault="00AD3371">
      <w:pPr>
        <w:rPr>
          <w:rFonts w:asciiTheme="minorHAnsi" w:hAnsiTheme="minorHAnsi" w:cstheme="minorHAnsi"/>
        </w:rPr>
      </w:pPr>
    </w:p>
    <w:p w14:paraId="32230161" w14:textId="6FED516D" w:rsidR="00AD3371" w:rsidRPr="00C63F76" w:rsidRDefault="000263F5" w:rsidP="000263F5">
      <w:pPr>
        <w:rPr>
          <w:rStyle w:val="selectable"/>
          <w:rFonts w:asciiTheme="minorHAnsi" w:hAnsiTheme="minorHAnsi" w:cstheme="minorHAnsi"/>
          <w:color w:val="000000"/>
        </w:rPr>
      </w:pPr>
      <w:r w:rsidRPr="00C63F76">
        <w:rPr>
          <w:rStyle w:val="selectable"/>
          <w:rFonts w:asciiTheme="minorHAnsi" w:hAnsiTheme="minorHAnsi" w:cstheme="minorHAnsi"/>
          <w:color w:val="000000"/>
        </w:rPr>
        <w:t xml:space="preserve">Swamy, B., </w:t>
      </w:r>
      <w:proofErr w:type="spellStart"/>
      <w:r w:rsidRPr="00C63F76">
        <w:rPr>
          <w:rStyle w:val="selectable"/>
          <w:rFonts w:asciiTheme="minorHAnsi" w:hAnsiTheme="minorHAnsi" w:cstheme="minorHAnsi"/>
          <w:color w:val="000000"/>
        </w:rPr>
        <w:t>Samia</w:t>
      </w:r>
      <w:proofErr w:type="spellEnd"/>
      <w:r w:rsidRPr="00C63F76">
        <w:rPr>
          <w:rStyle w:val="selectable"/>
          <w:rFonts w:asciiTheme="minorHAnsi" w:hAnsiTheme="minorHAnsi" w:cstheme="minorHAnsi"/>
          <w:color w:val="000000"/>
        </w:rPr>
        <w:t xml:space="preserve">, M., </w:t>
      </w:r>
      <w:proofErr w:type="spellStart"/>
      <w:r w:rsidRPr="00C63F76">
        <w:rPr>
          <w:rStyle w:val="selectable"/>
          <w:rFonts w:asciiTheme="minorHAnsi" w:hAnsiTheme="minorHAnsi" w:cstheme="minorHAnsi"/>
          <w:color w:val="000000"/>
        </w:rPr>
        <w:t>Boncodin</w:t>
      </w:r>
      <w:proofErr w:type="spellEnd"/>
      <w:r w:rsidRPr="00C63F76">
        <w:rPr>
          <w:rStyle w:val="selectable"/>
          <w:rFonts w:asciiTheme="minorHAnsi" w:hAnsiTheme="minorHAnsi" w:cstheme="minorHAnsi"/>
          <w:color w:val="000000"/>
        </w:rPr>
        <w:t xml:space="preserve">, R., </w:t>
      </w:r>
      <w:proofErr w:type="spellStart"/>
      <w:r w:rsidRPr="00C63F76">
        <w:rPr>
          <w:rStyle w:val="selectable"/>
          <w:rFonts w:asciiTheme="minorHAnsi" w:hAnsiTheme="minorHAnsi" w:cstheme="minorHAnsi"/>
          <w:color w:val="000000"/>
        </w:rPr>
        <w:t>Marundan</w:t>
      </w:r>
      <w:proofErr w:type="spellEnd"/>
      <w:r w:rsidRPr="00C63F76">
        <w:rPr>
          <w:rStyle w:val="selectable"/>
          <w:rFonts w:asciiTheme="minorHAnsi" w:hAnsiTheme="minorHAnsi" w:cstheme="minorHAnsi"/>
          <w:color w:val="000000"/>
        </w:rPr>
        <w:t xml:space="preserve">, S., </w:t>
      </w:r>
      <w:proofErr w:type="spellStart"/>
      <w:r w:rsidRPr="00C63F76">
        <w:rPr>
          <w:rStyle w:val="selectable"/>
          <w:rFonts w:asciiTheme="minorHAnsi" w:hAnsiTheme="minorHAnsi" w:cstheme="minorHAnsi"/>
          <w:color w:val="000000"/>
        </w:rPr>
        <w:t>Rebong</w:t>
      </w:r>
      <w:proofErr w:type="spellEnd"/>
      <w:r w:rsidRPr="00C63F76">
        <w:rPr>
          <w:rStyle w:val="selectable"/>
          <w:rFonts w:asciiTheme="minorHAnsi" w:hAnsiTheme="minorHAnsi" w:cstheme="minorHAnsi"/>
          <w:color w:val="000000"/>
        </w:rPr>
        <w:t xml:space="preserve">, D., &amp; </w:t>
      </w:r>
      <w:proofErr w:type="spellStart"/>
      <w:r w:rsidRPr="00C63F76">
        <w:rPr>
          <w:rStyle w:val="selectable"/>
          <w:rFonts w:asciiTheme="minorHAnsi" w:hAnsiTheme="minorHAnsi" w:cstheme="minorHAnsi"/>
          <w:color w:val="000000"/>
        </w:rPr>
        <w:t>Ordonio</w:t>
      </w:r>
      <w:proofErr w:type="spellEnd"/>
      <w:r w:rsidRPr="00C63F76">
        <w:rPr>
          <w:rStyle w:val="selectable"/>
          <w:rFonts w:asciiTheme="minorHAnsi" w:hAnsiTheme="minorHAnsi" w:cstheme="minorHAnsi"/>
          <w:color w:val="000000"/>
        </w:rPr>
        <w:t xml:space="preserve">, R. et al. (2019). Compositional Analysis of Genetically Engineered GR2E “Golden Rice” in Comparison to That of Conventional Rice. </w:t>
      </w:r>
      <w:r w:rsidRPr="00C63F76">
        <w:rPr>
          <w:rStyle w:val="selectable"/>
          <w:rFonts w:asciiTheme="minorHAnsi" w:hAnsiTheme="minorHAnsi" w:cstheme="minorHAnsi"/>
          <w:i/>
          <w:iCs/>
          <w:color w:val="000000"/>
        </w:rPr>
        <w:t xml:space="preserve">Journal Of Agricultural </w:t>
      </w:r>
      <w:proofErr w:type="gramStart"/>
      <w:r w:rsidRPr="00C63F76">
        <w:rPr>
          <w:rStyle w:val="selectable"/>
          <w:rFonts w:asciiTheme="minorHAnsi" w:hAnsiTheme="minorHAnsi" w:cstheme="minorHAnsi"/>
          <w:i/>
          <w:iCs/>
          <w:color w:val="000000"/>
        </w:rPr>
        <w:t>And</w:t>
      </w:r>
      <w:proofErr w:type="gramEnd"/>
      <w:r w:rsidRPr="00C63F76">
        <w:rPr>
          <w:rStyle w:val="selectable"/>
          <w:rFonts w:asciiTheme="minorHAnsi" w:hAnsiTheme="minorHAnsi" w:cstheme="minorHAnsi"/>
          <w:i/>
          <w:iCs/>
          <w:color w:val="000000"/>
        </w:rPr>
        <w:t xml:space="preserve"> Food Chemistry</w:t>
      </w:r>
      <w:r w:rsidRPr="00C63F76">
        <w:rPr>
          <w:rStyle w:val="selectable"/>
          <w:rFonts w:asciiTheme="minorHAnsi" w:hAnsiTheme="minorHAnsi" w:cstheme="minorHAnsi"/>
          <w:color w:val="000000"/>
        </w:rPr>
        <w:t xml:space="preserve">, </w:t>
      </w:r>
      <w:r w:rsidRPr="00C63F76">
        <w:rPr>
          <w:rStyle w:val="selectable"/>
          <w:rFonts w:asciiTheme="minorHAnsi" w:hAnsiTheme="minorHAnsi" w:cstheme="minorHAnsi"/>
          <w:i/>
          <w:iCs/>
          <w:color w:val="000000"/>
        </w:rPr>
        <w:t>67</w:t>
      </w:r>
      <w:r w:rsidRPr="00C63F76">
        <w:rPr>
          <w:rStyle w:val="selectable"/>
          <w:rFonts w:asciiTheme="minorHAnsi" w:hAnsiTheme="minorHAnsi" w:cstheme="minorHAnsi"/>
          <w:color w:val="000000"/>
        </w:rPr>
        <w:t xml:space="preserve">(28), 7986-7994. </w:t>
      </w:r>
      <w:r w:rsidR="00C63F76" w:rsidRPr="00C63F76">
        <w:rPr>
          <w:rStyle w:val="selectable"/>
          <w:rFonts w:asciiTheme="minorHAnsi" w:hAnsiTheme="minorHAnsi" w:cstheme="minorHAnsi"/>
          <w:color w:val="000000"/>
        </w:rPr>
        <w:t>https://doi.org/10.1021/acs.jafc.9b01524</w:t>
      </w:r>
    </w:p>
    <w:p w14:paraId="4F62DA62" w14:textId="7E0F57F1" w:rsidR="00C63F76" w:rsidRPr="00C63F76" w:rsidRDefault="00C63F76" w:rsidP="000263F5">
      <w:pPr>
        <w:rPr>
          <w:rStyle w:val="selectable"/>
          <w:rFonts w:asciiTheme="minorHAnsi" w:hAnsiTheme="minorHAnsi" w:cstheme="minorHAnsi"/>
          <w:color w:val="000000"/>
        </w:rPr>
      </w:pPr>
    </w:p>
    <w:p w14:paraId="2DADB502" w14:textId="02DFC164" w:rsidR="00C63F76" w:rsidRPr="00C63F76" w:rsidRDefault="00C63F76" w:rsidP="000263F5">
      <w:pPr>
        <w:rPr>
          <w:rFonts w:asciiTheme="minorHAnsi" w:hAnsiTheme="minorHAnsi" w:cstheme="minorHAnsi"/>
        </w:rPr>
      </w:pPr>
      <w:r w:rsidRPr="00C63F76">
        <w:rPr>
          <w:rStyle w:val="selectable"/>
          <w:rFonts w:asciiTheme="minorHAnsi" w:hAnsiTheme="minorHAnsi" w:cstheme="minorHAnsi"/>
          <w:color w:val="000000"/>
        </w:rPr>
        <w:t xml:space="preserve">Baranski, M. (2022). </w:t>
      </w:r>
      <w:r w:rsidRPr="00C63F76">
        <w:rPr>
          <w:rStyle w:val="selectable"/>
          <w:rFonts w:asciiTheme="minorHAnsi" w:hAnsiTheme="minorHAnsi" w:cstheme="minorHAnsi"/>
          <w:i/>
          <w:iCs/>
          <w:color w:val="000000"/>
        </w:rPr>
        <w:t>Golden Rice</w:t>
      </w:r>
      <w:r w:rsidRPr="00C63F76">
        <w:rPr>
          <w:rStyle w:val="selectable"/>
          <w:rFonts w:asciiTheme="minorHAnsi" w:hAnsiTheme="minorHAnsi" w:cstheme="minorHAnsi"/>
          <w:color w:val="000000"/>
        </w:rPr>
        <w:t>. Embryo.asu.edu. from https://embryo.asu.edu/pages/golden-rice.</w:t>
      </w:r>
    </w:p>
    <w:sectPr w:rsidR="00C63F76" w:rsidRPr="00C63F7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113"/>
    <w:rsid w:val="00010441"/>
    <w:rsid w:val="000263F5"/>
    <w:rsid w:val="00232E26"/>
    <w:rsid w:val="00236113"/>
    <w:rsid w:val="00244892"/>
    <w:rsid w:val="003216E1"/>
    <w:rsid w:val="003977AD"/>
    <w:rsid w:val="003F72CF"/>
    <w:rsid w:val="004024D3"/>
    <w:rsid w:val="004173F5"/>
    <w:rsid w:val="005D207B"/>
    <w:rsid w:val="005D7E6E"/>
    <w:rsid w:val="006606F9"/>
    <w:rsid w:val="006A1A44"/>
    <w:rsid w:val="006F33A9"/>
    <w:rsid w:val="00747389"/>
    <w:rsid w:val="00980288"/>
    <w:rsid w:val="00A92F45"/>
    <w:rsid w:val="00AD3371"/>
    <w:rsid w:val="00C63F76"/>
    <w:rsid w:val="00DE6A40"/>
    <w:rsid w:val="00E2407B"/>
    <w:rsid w:val="00EB3FBF"/>
    <w:rsid w:val="00F4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22F"/>
  <w15:docId w15:val="{89567643-C13F-4807-A663-E7EE9B92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2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character" w:customStyle="1" w:styleId="selectable">
    <w:name w:val="selectable"/>
    <w:basedOn w:val="DefaultParagraphFont"/>
    <w:rsid w:val="00AD3371"/>
  </w:style>
  <w:style w:type="character" w:styleId="Hyperlink">
    <w:name w:val="Hyperlink"/>
    <w:rsid w:val="00AD3371"/>
    <w:rPr>
      <w:color w:val="000080"/>
      <w:u w:val="single"/>
      <w:lang/>
    </w:rPr>
  </w:style>
  <w:style w:type="paragraph" w:customStyle="1" w:styleId="TableContents">
    <w:name w:val="Table Contents"/>
    <w:basedOn w:val="Normal"/>
    <w:qFormat/>
    <w:rsid w:val="00AD3371"/>
    <w:pPr>
      <w:widowControl w:val="0"/>
      <w:suppressLineNumbers/>
    </w:pPr>
  </w:style>
  <w:style w:type="paragraph" w:customStyle="1" w:styleId="TableHeading">
    <w:name w:val="Table Heading"/>
    <w:basedOn w:val="TableContents"/>
    <w:qFormat/>
    <w:rsid w:val="00AD3371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63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s.acs.org/doi/10.1021/acs.jafc.9b015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James Macgillivray</cp:lastModifiedBy>
  <cp:revision>9</cp:revision>
  <dcterms:created xsi:type="dcterms:W3CDTF">2022-09-05T09:40:00Z</dcterms:created>
  <dcterms:modified xsi:type="dcterms:W3CDTF">2022-09-07T04:49:00Z</dcterms:modified>
  <dc:language>en-AU</dc:language>
</cp:coreProperties>
</file>