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893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69"/>
        <w:gridCol w:w="786"/>
        <w:gridCol w:w="1226"/>
        <w:gridCol w:w="881"/>
        <w:gridCol w:w="1226"/>
        <w:gridCol w:w="967"/>
        <w:gridCol w:w="1178"/>
      </w:tblGrid>
      <w:tr>
        <w:trPr>
          <w:tblHeader w:val="true"/>
        </w:trPr>
        <w:tc>
          <w:tcPr>
            <w:tcW w:w="2669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</w:r>
          </w:p>
        </w:tc>
        <w:tc>
          <w:tcPr>
            <w:tcW w:w="2012" w:type="dxa"/>
            <w:gridSpan w:val="2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GR2E</w:t>
            </w:r>
          </w:p>
        </w:tc>
        <w:tc>
          <w:tcPr>
            <w:tcW w:w="2107" w:type="dxa"/>
            <w:gridSpan w:val="2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control</w:t>
            </w:r>
          </w:p>
        </w:tc>
        <w:tc>
          <w:tcPr>
            <w:tcW w:w="967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2669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component</w:t>
            </w:r>
          </w:p>
        </w:tc>
        <w:tc>
          <w:tcPr>
            <w:tcW w:w="786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mean</w:t>
            </w:r>
            <w:r>
              <w:fldChar w:fldCharType="begin"/>
            </w:r>
            <w:r>
              <w:rPr>
                <w:rStyle w:val="InternetLink"/>
              </w:rPr>
              <w:instrText xml:space="preserve"> HYPERLINK "https://pubs.acs.org/doi/10.1021/acs.jafc.9b01524" \l "t5fn1"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a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1226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range</w:t>
            </w:r>
          </w:p>
        </w:tc>
        <w:tc>
          <w:tcPr>
            <w:tcW w:w="881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mean</w:t>
            </w:r>
          </w:p>
        </w:tc>
        <w:tc>
          <w:tcPr>
            <w:tcW w:w="1226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range</w:t>
            </w:r>
          </w:p>
        </w:tc>
        <w:tc>
          <w:tcPr>
            <w:tcW w:w="967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>
                <w:i/>
              </w:rPr>
              <w:t xml:space="preserve">P </w:t>
            </w:r>
            <w:r>
              <w:rPr/>
              <w:t>value</w:t>
            </w:r>
            <w:r>
              <w:fldChar w:fldCharType="begin"/>
            </w:r>
            <w:r>
              <w:rPr>
                <w:rStyle w:val="InternetLink"/>
              </w:rPr>
              <w:instrText xml:space="preserve"> HYPERLINK "https://pubs.acs.org/doi/10.1021/acs.jafc.9b01524" \l "t5fn2"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b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1178" w:type="dxa"/>
            <w:tcBorders/>
          </w:tcPr>
          <w:p>
            <w:pPr>
              <w:pStyle w:val="TableHeading"/>
              <w:bidi w:val="0"/>
              <w:jc w:val="center"/>
              <w:rPr/>
            </w:pPr>
            <w:r>
              <w:rPr/>
              <w:t>Lit. range</w:t>
            </w:r>
            <w:r>
              <w:fldChar w:fldCharType="begin"/>
            </w:r>
            <w:r>
              <w:rPr>
                <w:rStyle w:val="InternetLink"/>
              </w:rPr>
              <w:instrText xml:space="preserve"> HYPERLINK "https://pubs.acs.org/doi/10.1021/acs.jafc.9b01524" \l "t5fn3"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c</w:t>
            </w:r>
            <w:r>
              <w:rPr>
                <w:rStyle w:val="InternetLink"/>
              </w:rPr>
              <w:fldChar w:fldCharType="end"/>
            </w:r>
          </w:p>
        </w:tc>
      </w:tr>
      <w:tr>
        <w:trPr/>
        <w:tc>
          <w:tcPr>
            <w:tcW w:w="8933" w:type="dxa"/>
            <w:gridSpan w:val="7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Vitamins (mg/kg DB)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thiamine (B1)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3.13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(2.33–3.77)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3.08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(2.35–3.81)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0.634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2.35–6.25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niacin (B3)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36.9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(23.4–58.3)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32.6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(20.2–48.8)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0.417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20.2–65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pantothenic acid (B5)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9.15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(7.31–11.9)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9.13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(7.22–11.4)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0.929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7.22–14.0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pyridoxine (B6)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2.72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(2.22–3.3)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2.75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(2.1–5.42)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0.919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2.1–8.0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folic acid (B9)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0.91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(0.56–2.56)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0.88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(0.39–1.54)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0.881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0.39–1.54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α-tocopherol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2.98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(2.47–3.87)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2.75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(2.1–3.5)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0.336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2.1–23</w:t>
            </w:r>
          </w:p>
        </w:tc>
      </w:tr>
      <w:tr>
        <w:trPr/>
        <w:tc>
          <w:tcPr>
            <w:tcW w:w="8933" w:type="dxa"/>
            <w:gridSpan w:val="7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Carotenoids (mg/kg DB)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β-cryptoxanthin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0.31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(0.23–0.46)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i/>
              </w:rPr>
              <w:t>&lt;</w:t>
            </w:r>
            <w:r>
              <w:rPr/>
              <w:t>LOQ</w:t>
            </w:r>
            <w:r>
              <w:fldChar w:fldCharType="begin"/>
            </w:r>
            <w:r>
              <w:rPr>
                <w:rStyle w:val="InternetLink"/>
              </w:rPr>
              <w:instrText xml:space="preserve"> HYPERLINK "https://pubs.acs.org/doi/10.1021/acs.jafc.9b01524" \l "tbl5-fn1"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d</w:t>
            </w:r>
            <w:r>
              <w:rPr>
                <w:rStyle w:val="InternetLink"/>
              </w:rPr>
              <w:fldChar w:fldCharType="end"/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i/>
              </w:rPr>
              <w:t>all</w:t>
            </w:r>
            <w:r>
              <w:rPr/>
              <w:t>-</w:t>
            </w:r>
            <w:r>
              <w:rPr>
                <w:i/>
              </w:rPr>
              <w:t>trans</w:t>
            </w:r>
            <w:r>
              <w:rPr/>
              <w:t>-α-carotene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0.71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(0.35–1.32)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i/>
              </w:rPr>
              <w:t>&lt;</w:t>
            </w:r>
            <w:r>
              <w:rPr/>
              <w:t>LOQ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i/>
              </w:rPr>
              <w:t>all</w:t>
            </w:r>
            <w:r>
              <w:rPr/>
              <w:t>-</w:t>
            </w:r>
            <w:r>
              <w:rPr>
                <w:i/>
              </w:rPr>
              <w:t>trans</w:t>
            </w:r>
            <w:r>
              <w:rPr/>
              <w:t>-β-carotene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3.57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(1.96–7.31)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i/>
              </w:rPr>
              <w:t>&lt;</w:t>
            </w:r>
            <w:r>
              <w:rPr/>
              <w:t>LOQ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9′-</w:t>
            </w:r>
            <w:r>
              <w:rPr>
                <w:i/>
              </w:rPr>
              <w:t>cis</w:t>
            </w:r>
            <w:r>
              <w:rPr/>
              <w:t>-β-carotene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0.76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(0.5–1.32)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i/>
              </w:rPr>
              <w:t>&lt;</w:t>
            </w:r>
            <w:r>
              <w:rPr/>
              <w:t>LOQ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 carotenoids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5.88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(3.5–10.9)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>
                <w:i/>
              </w:rPr>
              <w:t>&lt;</w:t>
            </w:r>
            <w:r>
              <w:rPr/>
              <w:t>LOQ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933" w:type="dxa"/>
            <w:gridSpan w:val="7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Antinutrients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phytic acid (%DB)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0.86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(0.58–1.1)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0.88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(0.61–1.23)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0.622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0.6–1.23</w:t>
            </w:r>
          </w:p>
        </w:tc>
      </w:tr>
      <w:tr>
        <w:trPr/>
        <w:tc>
          <w:tcPr>
            <w:tcW w:w="266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trypsin inhibitor (TIU/mg)</w:t>
            </w:r>
          </w:p>
        </w:tc>
        <w:tc>
          <w:tcPr>
            <w:tcW w:w="7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0.92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(0.28–1.71)</w:t>
            </w:r>
          </w:p>
        </w:tc>
        <w:tc>
          <w:tcPr>
            <w:tcW w:w="881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1.0</w:t>
            </w:r>
          </w:p>
        </w:tc>
        <w:tc>
          <w:tcPr>
            <w:tcW w:w="12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(0.03–4.17)</w:t>
            </w:r>
          </w:p>
        </w:tc>
        <w:tc>
          <w:tcPr>
            <w:tcW w:w="96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0.828</w:t>
            </w:r>
          </w:p>
        </w:tc>
        <w:tc>
          <w:tcPr>
            <w:tcW w:w="117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0.03–4.17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AU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LibreOffice/7.4.0.3$Linux_X86_64 LibreOffice_project/40$Build-3</Application>
  <AppVersion>15.0000</AppVersion>
  <Pages>1</Pages>
  <Words>135</Words>
  <Characters>745</Characters>
  <CharactersWithSpaces>763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2022-08-31T10:17:59Z</dcterms:created>
  <dc:creator/>
  <dc:description/>
  <dc:language>en-AU</dc:language>
  <cp:lastModifiedBy/>
  <dcterms:modified xsi:type="dcterms:W3CDTF">2022-08-31T10:30:51Z</dcterms:modified>
  <cp:revision>2</cp:revision>
  <dc:subject/>
  <dc:title/>
</cp:coreProperties>
</file>