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BESS Benchmarks in India: What They Are and How to Read Them</w:t>
      </w:r>
    </w:p>
    <w:p>
      <w:r>
        <w:t>Status as of 23 October 2026</w:t>
      </w:r>
    </w:p>
    <w:p>
      <w:pPr>
        <w:pStyle w:val="Heading1"/>
      </w:pPr>
      <w:r>
        <w:t>Simple Way to Think About It</w:t>
      </w:r>
    </w:p>
    <w:p>
      <w:r>
        <w:t>A grid battery is like a warehouse for electricity that the DISCOM rents. The developer builds it and the DISCOM pays a fixed monthly rent to use it. Every benchmark is either about how good the warehouse is (technical) or about the rent and build cost (commercial).</w:t>
      </w:r>
    </w:p>
    <w:p>
      <w:pPr>
        <w:pStyle w:val="Heading1"/>
      </w:pPr>
      <w:r>
        <w:t>1. Size: MW vs MWh</w:t>
      </w:r>
    </w:p>
    <w:p>
      <w:pPr>
        <w:pStyle w:val="ListBullet"/>
      </w:pPr>
      <w:r>
        <w:t>MW = how fast the battery can push power out (width of the warehouse door).</w:t>
      </w:r>
    </w:p>
    <w:p>
      <w:pPr>
        <w:pStyle w:val="ListBullet"/>
      </w:pPr>
      <w:r>
        <w:t>MWh = how much energy it holds (warehouse volume).</w:t>
      </w:r>
    </w:p>
    <w:p>
      <w:pPr>
        <w:pStyle w:val="ListBullet"/>
      </w:pPr>
      <w:r>
        <w:t>Duration = MWh / MW. A 1 MW / 2 MWh battery runs at full power for 2 hours. 2-hour systems cover the evening peak; 4-hour systems cover a longer one.</w:t>
      </w:r>
    </w:p>
    <w:p>
      <w:pPr>
        <w:pStyle w:val="Heading1"/>
      </w:pPr>
      <w:r>
        <w:t>2. Technical Benchmarks in Tenders</w:t>
      </w:r>
    </w:p>
    <w:p>
      <w:r>
        <w:t>Example: SECI 50 MW / 100 MWh standalone ESS tender, August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Benchmark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Penalty if missed</w:t>
            </w:r>
          </w:p>
        </w:tc>
      </w:tr>
      <w:tr>
        <w:tc>
          <w:tcPr>
            <w:tcW w:type="dxa" w:w="2160"/>
          </w:tcPr>
          <w:p>
            <w:r>
              <w:t>Round-trip efficiency (RTE)</w:t>
            </w:r>
          </w:p>
        </w:tc>
        <w:tc>
          <w:tcPr>
            <w:tcW w:type="dxa" w:w="2160"/>
          </w:tcPr>
          <w:p>
            <w:r>
              <w:t>&gt;= 85% AC-to-AC, monthly</w:t>
            </w:r>
          </w:p>
        </w:tc>
        <w:tc>
          <w:tcPr>
            <w:tcW w:type="dxa" w:w="2160"/>
          </w:tcPr>
          <w:p>
            <w:r>
              <w:t>Put 100 units in, at least 85 must come out</w:t>
            </w:r>
          </w:p>
        </w:tc>
        <w:tc>
          <w:tcPr>
            <w:tcW w:type="dxa" w:w="2160"/>
          </w:tcPr>
          <w:p>
            <w:r>
              <w:t>Rs 3.50/kWh on extra losses; full monthly tariff withheld if below 70%</w:t>
            </w:r>
          </w:p>
        </w:tc>
      </w:tr>
      <w:tr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&gt;= 95% annual</w:t>
            </w:r>
          </w:p>
        </w:tc>
        <w:tc>
          <w:tcPr>
            <w:tcW w:type="dxa" w:w="2160"/>
          </w:tcPr>
          <w:p>
            <w:r>
              <w:t>Battery ready to use 95% of the time</w:t>
            </w:r>
          </w:p>
        </w:tc>
        <w:tc>
          <w:tcPr>
            <w:tcW w:type="dxa" w:w="2160"/>
          </w:tcPr>
          <w:p>
            <w:r>
              <w:t>2x capacity charge for unavailable capacity</w:t>
            </w:r>
          </w:p>
        </w:tc>
      </w:tr>
      <w:tr>
        <w:tc>
          <w:tcPr>
            <w:tcW w:type="dxa" w:w="2160"/>
          </w:tcPr>
          <w:p>
            <w:r>
              <w:t>Cycles</w:t>
            </w:r>
          </w:p>
        </w:tc>
        <w:tc>
          <w:tcPr>
            <w:tcW w:type="dxa" w:w="2160"/>
          </w:tcPr>
          <w:p>
            <w:r>
              <w:t>1-2 per day; max 485 in contract period</w:t>
            </w:r>
          </w:p>
        </w:tc>
        <w:tc>
          <w:tcPr>
            <w:tcW w:type="dxa" w:w="2160"/>
          </w:tcPr>
          <w:p>
            <w:r>
              <w:t>One cycle = one full charge and discharge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Mostly 2-hour; shift towards 4-hour</w:t>
            </w:r>
          </w:p>
        </w:tc>
        <w:tc>
          <w:tcPr>
            <w:tcW w:type="dxa" w:w="2160"/>
          </w:tcPr>
          <w:p>
            <w:r>
              <w:t>Hours of full-power discharge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Co-located storage (CEA advisory)</w:t>
            </w:r>
          </w:p>
        </w:tc>
        <w:tc>
          <w:tcPr>
            <w:tcW w:type="dxa" w:w="2160"/>
          </w:tcPr>
          <w:p>
            <w:r>
              <w:t>&gt;= 10% of solar capacity, &gt;= 2 hours</w:t>
            </w:r>
          </w:p>
        </w:tc>
        <w:tc>
          <w:tcPr>
            <w:tcW w:type="dxa" w:w="2160"/>
          </w:tcPr>
          <w:p>
            <w:r>
              <w:t>Advisory, not mandatory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Domestic content</w:t>
            </w:r>
          </w:p>
        </w:tc>
        <w:tc>
          <w:tcPr>
            <w:tcW w:type="dxa" w:w="2160"/>
          </w:tcPr>
          <w:p>
            <w:r>
              <w:t>&gt;= 20% of procurement cost</w:t>
            </w:r>
          </w:p>
        </w:tc>
        <w:tc>
          <w:tcPr>
            <w:tcW w:type="dxa" w:w="2160"/>
          </w:tcPr>
          <w:p>
            <w:r>
              <w:t>Needed to qualify for VGF</w:t>
            </w:r>
          </w:p>
        </w:tc>
        <w:tc>
          <w:tcPr>
            <w:tcW w:type="dxa" w:w="2160"/>
          </w:tcPr>
          <w:p>
            <w:r>
              <w:t>No VGF</w:t>
            </w:r>
          </w:p>
        </w:tc>
      </w:tr>
    </w:tbl>
    <w:p>
      <w:pPr>
        <w:pStyle w:val="Heading1"/>
      </w:pPr>
      <w:r>
        <w:t>3. Tariff Benchmarks (Rs lakh per MW per month)</w:t>
      </w:r>
    </w:p>
    <w:p>
      <w:r>
        <w:t>This is the rent. It is paid for capacity, not energy. The DISCOM pays it whether or not it uses the battery, and supplies its own power for charging.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Tender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Discovered tariff</w:t>
            </w:r>
          </w:p>
        </w:tc>
      </w:tr>
      <w:tr>
        <w:tc>
          <w:tcPr>
            <w:tcW w:type="dxa" w:w="2880"/>
          </w:tcPr>
          <w:p>
            <w:r>
              <w:t>2-hour</w:t>
            </w:r>
          </w:p>
        </w:tc>
        <w:tc>
          <w:tcPr>
            <w:tcW w:type="dxa" w:w="2880"/>
          </w:tcPr>
          <w:p>
            <w:r>
              <w:t>GUVNL 335 MW / 670 MWh (Feb 2026)</w:t>
            </w:r>
          </w:p>
        </w:tc>
        <w:tc>
          <w:tcPr>
            <w:tcW w:type="dxa" w:w="2880"/>
          </w:tcPr>
          <w:p>
            <w:r>
              <w:t>2.10</w:t>
            </w:r>
          </w:p>
        </w:tc>
      </w:tr>
      <w:tr>
        <w:tc>
          <w:tcPr>
            <w:tcW w:type="dxa" w:w="2880"/>
          </w:tcPr>
          <w:p>
            <w:r>
              <w:t>2-hour</w:t>
            </w:r>
          </w:p>
        </w:tc>
        <w:tc>
          <w:tcPr>
            <w:tcW w:type="dxa" w:w="2880"/>
          </w:tcPr>
          <w:p>
            <w:r>
              <w:t>GUVNL 450 MW / 900 MWh (Aug 2026)</w:t>
            </w:r>
          </w:p>
        </w:tc>
        <w:tc>
          <w:tcPr>
            <w:tcW w:type="dxa" w:w="2880"/>
          </w:tcPr>
          <w:p>
            <w:r>
              <w:t>2.32</w:t>
            </w:r>
          </w:p>
        </w:tc>
      </w:tr>
      <w:tr>
        <w:tc>
          <w:tcPr>
            <w:tcW w:type="dxa" w:w="2880"/>
          </w:tcPr>
          <w:p>
            <w:r>
              <w:t>4-hour</w:t>
            </w:r>
          </w:p>
        </w:tc>
        <w:tc>
          <w:tcPr>
            <w:tcW w:type="dxa" w:w="2880"/>
          </w:tcPr>
          <w:p>
            <w:r>
              <w:t>WBSEDCL 250 MW / 1,000 MWh (Jan 2026)</w:t>
            </w:r>
          </w:p>
        </w:tc>
        <w:tc>
          <w:tcPr>
            <w:tcW w:type="dxa" w:w="2880"/>
          </w:tcPr>
          <w:p>
            <w:r>
              <w:t>3.47</w:t>
            </w:r>
          </w:p>
        </w:tc>
      </w:tr>
      <w:tr>
        <w:tc>
          <w:tcPr>
            <w:tcW w:type="dxa" w:w="2880"/>
          </w:tcPr>
          <w:p>
            <w:r>
              <w:t>4-hour</w:t>
            </w:r>
          </w:p>
        </w:tc>
        <w:tc>
          <w:tcPr>
            <w:tcW w:type="dxa" w:w="2880"/>
          </w:tcPr>
          <w:p>
            <w:r>
              <w:t>WBSEDCL 500 MW / 2,000 MWh (Aug 2026)</w:t>
            </w:r>
          </w:p>
        </w:tc>
        <w:tc>
          <w:tcPr>
            <w:tcW w:type="dxa" w:w="2880"/>
          </w:tcPr>
          <w:p>
            <w:r>
              <w:t>4.35-4.39</w:t>
            </w:r>
          </w:p>
        </w:tc>
      </w:tr>
      <w:tr>
        <w:tc>
          <w:tcPr>
            <w:tcW w:type="dxa" w:w="2880"/>
          </w:tcPr>
          <w:p>
            <w:r>
              <w:t>2-hour (record low)</w:t>
            </w:r>
          </w:p>
        </w:tc>
        <w:tc>
          <w:tcPr>
            <w:tcW w:type="dxa" w:w="2880"/>
          </w:tcPr>
          <w:p>
            <w:r>
              <w:t>RVUNL 1 GW / 2 GWh (Oct 2025)</w:t>
            </w:r>
          </w:p>
        </w:tc>
        <w:tc>
          <w:tcPr>
            <w:tcW w:type="dxa" w:w="2880"/>
          </w:tcPr>
          <w:p>
            <w:r>
              <w:t>1.775</w:t>
            </w:r>
          </w:p>
        </w:tc>
      </w:tr>
    </w:tbl>
    <w:p>
      <w:r>
        <w:t>Tariffs have risen through 2026 after very low 2025 bids, which raised viability concerns.</w:t>
      </w:r>
    </w:p>
    <w:p>
      <w:pPr>
        <w:pStyle w:val="Heading1"/>
      </w:pPr>
      <w:r>
        <w:t>4. Cost Benchmarks (August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Benchmark</w:t>
            </w:r>
          </w:p>
        </w:tc>
      </w:tr>
      <w:tr>
        <w:tc>
          <w:tcPr>
            <w:tcW w:type="dxa" w:w="4320"/>
          </w:tcPr>
          <w:p>
            <w:r>
              <w:t>314 Ah LFP cell, China (after tax)</w:t>
            </w:r>
          </w:p>
        </w:tc>
        <w:tc>
          <w:tcPr>
            <w:tcW w:type="dxa" w:w="4320"/>
          </w:tcPr>
          <w:p>
            <w:r>
              <w:t>~USD 54/kWh (~Rs 5,114/kWh)</w:t>
            </w:r>
          </w:p>
        </w:tc>
      </w:tr>
      <w:tr>
        <w:tc>
          <w:tcPr>
            <w:tcW w:type="dxa" w:w="4320"/>
          </w:tcPr>
          <w:p>
            <w:r>
              <w:t>LFP cell, landed India</w:t>
            </w:r>
          </w:p>
        </w:tc>
        <w:tc>
          <w:tcPr>
            <w:tcW w:type="dxa" w:w="4320"/>
          </w:tcPr>
          <w:p>
            <w:r>
              <w:t>~USD 61-66/kWh (~Rs 5,824-6,301/kWh); 14-23% above China</w:t>
            </w:r>
          </w:p>
        </w:tc>
      </w:tr>
      <w:tr>
        <w:tc>
          <w:tcPr>
            <w:tcW w:type="dxa" w:w="4320"/>
          </w:tcPr>
          <w:p>
            <w:r>
              <w:t>2-hour AC container system, China</w:t>
            </w:r>
          </w:p>
        </w:tc>
        <w:tc>
          <w:tcPr>
            <w:tcW w:type="dxa" w:w="4320"/>
          </w:tcPr>
          <w:p>
            <w:r>
              <w:t>~USD 86/kWh (~Rs 8,239/kWh)</w:t>
            </w:r>
          </w:p>
        </w:tc>
      </w:tr>
      <w:tr>
        <w:tc>
          <w:tcPr>
            <w:tcW w:type="dxa" w:w="4320"/>
          </w:tcPr>
          <w:p>
            <w:r>
              <w:t>Installed, India, 10 MWh+</w:t>
            </w:r>
          </w:p>
        </w:tc>
        <w:tc>
          <w:tcPr>
            <w:tcW w:type="dxa" w:w="4320"/>
          </w:tcPr>
          <w:p>
            <w:r>
              <w:t>~Rs 15,000-20,000/kWh</w:t>
            </w:r>
          </w:p>
        </w:tc>
      </w:tr>
      <w:tr>
        <w:tc>
          <w:tcPr>
            <w:tcW w:type="dxa" w:w="4320"/>
          </w:tcPr>
          <w:p>
            <w:r>
              <w:t>Installed, India, small C&amp;I (100-500 kWh)</w:t>
            </w:r>
          </w:p>
        </w:tc>
        <w:tc>
          <w:tcPr>
            <w:tcW w:type="dxa" w:w="4320"/>
          </w:tcPr>
          <w:p>
            <w:r>
              <w:t>~Rs 30,000-40,000/kWh</w:t>
            </w:r>
          </w:p>
        </w:tc>
      </w:tr>
      <w:tr>
        <w:tc>
          <w:tcPr>
            <w:tcW w:type="dxa" w:w="4320"/>
          </w:tcPr>
          <w:p>
            <w:r>
              <w:t>VGF support (tranche 2)</w:t>
            </w:r>
          </w:p>
        </w:tc>
        <w:tc>
          <w:tcPr>
            <w:tcW w:type="dxa" w:w="4320"/>
          </w:tcPr>
          <w:p>
            <w:r>
              <w:t>Rs 18 lakh/MWh</w:t>
            </w:r>
          </w:p>
        </w:tc>
      </w:tr>
    </w:tbl>
    <w:p>
      <w:r>
        <w:t>The cell is about 60% of the container price, which is why local cell manufacturing and the 20% domestic content rule matter for BESS economics.</w:t>
      </w:r>
    </w:p>
    <w:p>
      <w:pPr>
        <w:pStyle w:val="Heading1"/>
      </w:pPr>
      <w:r>
        <w:t>5. Worked Example (Own Rough Calculation)</w:t>
      </w:r>
    </w:p>
    <w:p>
      <w:r>
        <w:t>These are illustrative calculations from the benchmarks above, not figures from a report. Assumes 1 cycle per day.</w:t>
      </w:r>
    </w:p>
    <w:p>
      <w:pPr>
        <w:pStyle w:val="ListBullet"/>
      </w:pPr>
      <w:r>
        <w:t>2-hour at Rs 2.10 lakh/MW/month: 1 MW x 2 h x 30 days = 60 MWh shifted per month, so about Rs 3.5 per kWh shifted.</w:t>
      </w:r>
    </w:p>
    <w:p>
      <w:pPr>
        <w:pStyle w:val="ListBullet"/>
      </w:pPr>
      <w:r>
        <w:t>4-hour at Rs 4.35 lakh/MW/month: 120 MWh shifted per month, so about Rs 3.6 per kWh shifted.</w:t>
      </w:r>
    </w:p>
    <w:p>
      <w:pPr>
        <w:pStyle w:val="ListBullet"/>
      </w:pPr>
      <w:r>
        <w:t>This is the cost of moving midday solar to the evening peak, on top of the charging power and ~15% loss.</w:t>
      </w:r>
    </w:p>
    <w:p>
      <w:pPr>
        <w:pStyle w:val="ListBullet"/>
      </w:pPr>
      <w:r>
        <w:t>Capex for 1 MW / 2 MWh utility project: ~Rs 2.5-3 crore (containers ~Rs 8,200/kWh plus civil, grid connection and balance of system).</w:t>
      </w:r>
    </w:p>
    <w:p>
      <w:pPr>
        <w:pStyle w:val="ListBullet"/>
      </w:pPr>
      <w:r>
        <w:t>VGF reduces capex by ~Rs 36 lakh (Rs 18 lakh/MWh x 2 MWh).</w:t>
      </w:r>
    </w:p>
    <w:p>
      <w:pPr>
        <w:pStyle w:val="ListBullet"/>
      </w:pPr>
      <w:r>
        <w:t>Rent income: Rs 2.10 lakh x 12 = ~Rs 25 lakh per year.</w:t>
      </w:r>
    </w:p>
    <w:p>
      <w:pPr>
        <w:pStyle w:val="ListBullet"/>
      </w:pPr>
      <w:r>
        <w:t>Payback: roughly 9-10 years before O&amp;M, interest and battery replacement. This is why record-low 2025 bids were seen as risky.</w:t>
      </w:r>
    </w:p>
    <w:p>
      <w:pPr>
        <w:pStyle w:val="Heading1"/>
      </w:pPr>
      <w:r>
        <w:t>Sources</w:t>
      </w:r>
    </w:p>
    <w:p>
      <w:r>
        <w:t>1. IEEFA-JMK EnergyWatts, September 2026 - https://ieefa.org/sites/default/files/2026-09/ESSjmk-0926.pdf</w:t>
      </w:r>
    </w:p>
    <w:p>
      <w:r>
        <w:t>2. SolarQuarter - SECI invites bids for 50 MW / 100 MWh standalone ESS (Aug 2026) - https://solarquarter.com/2026/08/29/seci-invites-bids-for-50-mw-100-mwh-standalone-energy-storage-system/</w:t>
      </w:r>
    </w:p>
    <w:p>
      <w:r>
        <w:t>3. SolarQuarter - RVUNL concludes 1 GW / 2 GWh BESS auction at record low Rs 1.775 - https://solarquarter.com/2025/10/08/rvunl-concludes-1-gw-2-gwh-bess-auction-with-record-low-tariff-of-₹1-775</w:t>
      </w:r>
    </w:p>
    <w:p>
      <w:r>
        <w:t>4. pv magazine India - 10.4 GW standalone BESS awarded in 2025, tariff viability concern (IEEFA-JMK) - https://www.pv-magazine-india.com/2026/05/19/india-awards-10-4-gw-of-standalone-bess-capacity-in-2025-but-tariff-viability-remains-a-concern-ieefa-jmk-report/</w:t>
      </w:r>
    </w:p>
    <w:p>
      <w:r>
        <w:t>5. DC&amp;T Global - BESS in India: 2026 C&amp;I buyer's guide - https://www.dcntglobal.com/bess-india-2026-a-ci-buyers-guide/</w:t>
      </w:r>
    </w:p>
    <w:p>
      <w:r>
        <w:t>6. Energy-Storage.news - 20% domestic content rule for BESS VGF - https://www.energy-storage.news/?p=92648</w:t>
      </w:r>
    </w:p>
    <w:p>
      <w:r>
        <w:t>7. SolarQuarter - Rs 5,400 crore VGF and transmission incentives (CEA advisory) - https://solarquarter.com/2026/08/12/india-strengthens-energy-storage-framework-with-inr-5400-crore-vgf-and-transmission-incentives/</w:t>
      </w:r>
    </w:p>
    <w:p>
      <w:r>
        <w:t>8. SolarQuarter - Govt roadmap for 60.63 GW storage by FY30 (VGF rates) - https://solarquarter.com/2026/02/04/government-unveils-multi-pronged-policy-financial-and-regulatory-roadmap-to-build-60-63-gw-energy-storage-capacity-by-fy30/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