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Government of India Policies for BESS</w:t>
      </w:r>
    </w:p>
    <w:p>
      <w:r>
        <w:t>Status as of 23 October 2026</w:t>
      </w:r>
    </w:p>
    <w:p>
      <w:pPr>
        <w:pStyle w:val="Heading1"/>
      </w:pPr>
      <w:r>
        <w:t>Summary</w:t>
      </w:r>
    </w:p>
    <w:p>
      <w:r>
        <w:t>India's BESS policy rests on five things: a storage obligation on power buyers, viability gap funding (VGF), transmission-charge waivers, procurement rules that push storage-linked tenders, and manufacturing incentives.</w:t>
      </w:r>
    </w:p>
    <w:p>
      <w:pPr>
        <w:pStyle w:val="Heading1"/>
      </w:pPr>
      <w:r>
        <w:t>1. Demand Creation (Mandates and Targets)</w:t>
      </w:r>
    </w:p>
    <w:p>
      <w:pPr>
        <w:pStyle w:val="ListBullet"/>
      </w:pPr>
      <w:r>
        <w:t>Energy Storage Obligation (ESO), Ministry of Power, 2022: DISCOMs and other obligated buyers must have storage equal to 1% of electricity consumption in 2023-24, rising to 4% by 2029-30. Counts only if at least 85% of the stored energy each year comes from renewables.</w:t>
      </w:r>
    </w:p>
    <w:p>
      <w:pPr>
        <w:pStyle w:val="ListBullet"/>
      </w:pPr>
      <w:r>
        <w:t>CEA target: 60.63 GW of storage by FY2029-30 (41.65 GW BESS + 18.98 GW pumped storage).</w:t>
      </w:r>
    </w:p>
    <w:p>
      <w:pPr>
        <w:pStyle w:val="ListBullet"/>
      </w:pPr>
      <w:r>
        <w:t>CEA advisory: new solar plants should consider co-located storage of at least 10% of installed capacity with at least 2 hours duration (advisory, not mandatory).</w:t>
      </w:r>
    </w:p>
    <w:p>
      <w:pPr>
        <w:pStyle w:val="Heading1"/>
      </w:pPr>
      <w:r>
        <w:t>2. Financial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Support rate / condition</w:t>
            </w:r>
          </w:p>
        </w:tc>
      </w:tr>
      <w:tr>
        <w:tc>
          <w:tcPr>
            <w:tcW w:type="dxa" w:w="2160"/>
          </w:tcPr>
          <w:p>
            <w:r>
              <w:t>VGF tranche 1</w:t>
            </w:r>
          </w:p>
        </w:tc>
        <w:tc>
          <w:tcPr>
            <w:tcW w:type="dxa" w:w="2160"/>
          </w:tcPr>
          <w:p>
            <w:r>
              <w:t>March 2024</w:t>
            </w:r>
          </w:p>
        </w:tc>
        <w:tc>
          <w:tcPr>
            <w:tcW w:type="dxa" w:w="2160"/>
          </w:tcPr>
          <w:p>
            <w:r>
              <w:t>Rs 3,760 crore for 13,220 MWh</w:t>
            </w:r>
          </w:p>
        </w:tc>
        <w:tc>
          <w:tcPr>
            <w:tcW w:type="dxa" w:w="2160"/>
          </w:tcPr>
          <w:p>
            <w:r>
              <w:t>Rs 27 lakh per MWh</w:t>
            </w:r>
          </w:p>
        </w:tc>
      </w:tr>
      <w:tr>
        <w:tc>
          <w:tcPr>
            <w:tcW w:type="dxa" w:w="2160"/>
          </w:tcPr>
          <w:p>
            <w:r>
              <w:t>VGF tranche 2</w:t>
            </w:r>
          </w:p>
        </w:tc>
        <w:tc>
          <w:tcPr>
            <w:tcW w:type="dxa" w:w="2160"/>
          </w:tcPr>
          <w:p>
            <w:r>
              <w:t>June 2025</w:t>
            </w:r>
          </w:p>
        </w:tc>
        <w:tc>
          <w:tcPr>
            <w:tcW w:type="dxa" w:w="2160"/>
          </w:tcPr>
          <w:p>
            <w:r>
              <w:t>Rs 5,400 crore (Power System Development Fund) for 30 GWh</w:t>
            </w:r>
          </w:p>
        </w:tc>
        <w:tc>
          <w:tcPr>
            <w:tcW w:type="dxa" w:w="2160"/>
          </w:tcPr>
          <w:p>
            <w:r>
              <w:t>Rs 18 lakh per MWh</w:t>
            </w:r>
          </w:p>
        </w:tc>
      </w:tr>
      <w:tr>
        <w:tc>
          <w:tcPr>
            <w:tcW w:type="dxa" w:w="2160"/>
          </w:tcPr>
          <w:p>
            <w:r>
              <w:t>ISTS charge waiver</w:t>
            </w:r>
          </w:p>
        </w:tc>
        <w:tc>
          <w:tcPr>
            <w:tcW w:type="dxa" w:w="2160"/>
          </w:tcPr>
          <w:p>
            <w:r>
              <w:t>Valid to June 2028</w:t>
            </w:r>
          </w:p>
        </w:tc>
        <w:tc>
          <w:tcPr>
            <w:tcW w:type="dxa" w:w="2160"/>
          </w:tcPr>
          <w:p>
            <w:r>
              <w:t>100% for co-located BESS commissioned and PSP awarded by June 2028</w:t>
            </w:r>
          </w:p>
        </w:tc>
        <w:tc>
          <w:tcPr>
            <w:tcW w:type="dxa" w:w="2160"/>
          </w:tcPr>
          <w:p>
            <w:r>
              <w:t>Reduces by 25% each year after</w:t>
            </w:r>
          </w:p>
        </w:tc>
      </w:tr>
    </w:tbl>
    <w:p>
      <w:pPr>
        <w:pStyle w:val="Heading1"/>
      </w:pPr>
      <w:r>
        <w:t>3. Frameworks and Procurement Rules</w:t>
      </w:r>
    </w:p>
    <w:p>
      <w:pPr>
        <w:pStyle w:val="ListBullet"/>
      </w:pPr>
      <w:r>
        <w:t>National Framework for Energy Storage Systems (Ministry of Power).</w:t>
      </w:r>
    </w:p>
    <w:p>
      <w:pPr>
        <w:pStyle w:val="ListBullet"/>
      </w:pPr>
      <w:r>
        <w:t>MNRE BESS procurement and utilisation guidelines covering generation, transmission, distribution and ancillary services; separate pumped storage development guidelines.</w:t>
      </w:r>
    </w:p>
    <w:p>
      <w:pPr>
        <w:pStyle w:val="ListBullet"/>
      </w:pPr>
      <w:r>
        <w:t>Tender shift: SECI, NTPC, NHPC and SJVN advised to move to storage-linked, peak-power and FDRE tenders, and to aggregate demand from DISCOMs and large consumers before tendering.</w:t>
      </w:r>
    </w:p>
    <w:p>
      <w:pPr>
        <w:pStyle w:val="ListBullet"/>
      </w:pPr>
      <w:r>
        <w:t>Electricity Rules amendment: consumers can develop, own, lease or operate energy storage systems.</w:t>
      </w:r>
    </w:p>
    <w:p>
      <w:pPr>
        <w:pStyle w:val="ListBullet"/>
      </w:pPr>
      <w:r>
        <w:t>Pumped storage: CEA concurrence threshold raised from Rs 1,000 crore to Rs 3,000 crore; off-stream closed-loop PSP exempted from CEA concurrence.</w:t>
      </w:r>
    </w:p>
    <w:p>
      <w:pPr>
        <w:pStyle w:val="Heading1"/>
      </w:pPr>
      <w:r>
        <w:t>4. Localisation and Manufacturing</w:t>
      </w:r>
    </w:p>
    <w:p>
      <w:pPr>
        <w:pStyle w:val="ListBullet"/>
      </w:pPr>
      <w:r>
        <w:t>20% domestic content for VGF (Ministry of Power, December 2025): at least 20% of BESS procurement cost must be local; EMS software counts towards it. Class-I and Class-II local suppliers remain eligible.</w:t>
      </w:r>
    </w:p>
    <w:p>
      <w:pPr>
        <w:pStyle w:val="ListBullet"/>
      </w:pPr>
      <w:r>
        <w:t>ACC PLI: 10 GWh earmarked for grid-scale stationary storage. FY27 allocation Rs 86 crore, up from Rs 26 crore in FY26 (RE).</w:t>
      </w:r>
    </w:p>
    <w:p>
      <w:pPr>
        <w:pStyle w:val="ListBullet"/>
      </w:pPr>
      <w:r>
        <w:t>Union Budget 2026-27: basic customs duty exemption on capital goods for Li-ion cell manufacturing for BESS, and on critical mineral processing equipment.</w:t>
      </w:r>
    </w:p>
    <w:p>
      <w:pPr>
        <w:pStyle w:val="ListBullet"/>
      </w:pPr>
      <w:r>
        <w:t>R&amp;D: MNRE RE Research and Technology Development Programme; DST Clean Energy Material Initiative (CEMI).</w:t>
      </w:r>
    </w:p>
    <w:p>
      <w:pPr>
        <w:pStyle w:val="Heading1"/>
      </w:pPr>
      <w:r>
        <w:t>5. Gaps Flagged by Industry</w:t>
      </w:r>
    </w:p>
    <w:p>
      <w:pPr>
        <w:pStyle w:val="ListBullet"/>
      </w:pPr>
      <w:r>
        <w:t>GST on BESS remains 18%; industry asked for it to be cut to nil (not granted in Budget 2026-27).</w:t>
      </w:r>
    </w:p>
    <w:p>
      <w:pPr>
        <w:pStyle w:val="ListBullet"/>
      </w:pPr>
      <w:r>
        <w:t>No dedicated PLI for BESS components yet.</w:t>
      </w:r>
    </w:p>
    <w:p>
      <w:pPr>
        <w:pStyle w:val="Heading1"/>
      </w:pPr>
      <w:r>
        <w:t>Sources</w:t>
      </w:r>
    </w:p>
    <w:p>
      <w:r>
        <w:t>1. SolarQuarter - Govt roadmap to build 60.63 GW energy storage by FY30 (Feb 2026) - https://solarquarter.com/2026/02/04/government-unveils-multi-pronged-policy-financial-and-regulatory-roadmap-to-build-60-63-gw-energy-storage-capacity-by-fy30/</w:t>
      </w:r>
    </w:p>
    <w:p>
      <w:r>
        <w:t>2. SolarQuarter - Rs 5,400 crore VGF and transmission incentives (Aug 2026) - https://solarquarter.com/2026/08/12/india-strengthens-energy-storage-framework-with-inr-5400-crore-vgf-and-transmission-incentives/</w:t>
      </w:r>
    </w:p>
    <w:p>
      <w:r>
        <w:t>3. Renewable Watch - RPO and ESO up to 2030 notified by the Ministry of Power - https://renewablewatch.in/2022/07/25/rpo-and-eso-upto-2030-notified-by-the-ministry-of-power/</w:t>
      </w:r>
    </w:p>
    <w:p>
      <w:r>
        <w:t>4. Energy-Storage.news - India introduces 20% domestic content rule for BESS VGF - https://www.energy-storage.news/?p=92648</w:t>
      </w:r>
    </w:p>
    <w:p>
      <w:r>
        <w:t>5. pv magazine India - Union Budget 2026-27 removes import duties on Li-ion cell machinery - https://www.pv-magazine-india.com/2026/02/02/indias-union-budget-2026-27-removes-import-duties-on-solar-glass-inputs-lithium-battery-cell-machinery-and-critical-minerals-processing-equipment/</w:t>
      </w:r>
    </w:p>
    <w:p>
      <w:r>
        <w:t>6. Mercom - Top policies that shaped the Indian BESS market in 2025 - https://mercomindia.com/top-policies-that-shaped-the-indian-bess-market-in-2025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