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RCM Specialist Badge Competency Matrix</w:t>
      </w:r>
    </w:p>
    <w:p>
      <w:pPr/>
      <w:r>
        <w:t xml:space="preserve">Oct 8, 2026</w:t>
      </w:r>
      <w:r>
        <w:t xml:space="preserve"> · </w:t>
      </w:r>
      <w:r>
        <w:t xml:space="preserve">@Kamil Salameh</w:t>
      </w:r>
    </w:p>
    <w:p>
      <w:pPr>
        <w:pStyle w:val="Heading2"/>
      </w:pPr>
      <w:r>
        <w:t xml:space="preserve">How the badge system works</w:t>
      </w:r>
    </w:p>
    <w:p>
      <w:pPr/>
      <w:r>
        <w:t xml:space="preserve">A badge certifies that a specialist can do one task type alone at production quality; it controls what work ClickUp routes to them and which level they can reach. Every specialist in a full-cycle team is assessed against the same badges, whatever their previous title (coder, biller or negotiator).</w:t>
      </w:r>
    </w:p>
    <w:p>
      <w:pPr/>
      <w:r>
        <w:rPr>
          <w:b/>
        </w:rPr>
        <w:t xml:space="preserve">Earning a badge follows four steps, the same for every badge:</w:t>
      </w:r>
    </w:p>
    <w:p>
      <w:pPr>
        <w:pStyle w:val="ListParagraph"/>
        <w:numPr>
          <w:ilvl w:val="0"/>
          <w:numId w:val="2"/>
        </w:numPr>
      </w:pPr>
      <w:r>
        <w:rPr>
          <w:b/>
        </w:rPr>
        <w:t xml:space="preserve">Academy module.</w:t>
      </w:r>
      <w:r>
        <w:t xml:space="preserve"> Training run by the Academy owner (see Who runs the badge program), ending in a written or practical check.</w:t>
      </w:r>
    </w:p>
    <w:p>
      <w:pPr>
        <w:pStyle w:val="ListParagraph"/>
        <w:numPr>
          <w:ilvl w:val="0"/>
          <w:numId w:val="2"/>
        </w:numPr>
      </w:pPr>
      <w:r>
        <w:rPr>
          <w:b/>
        </w:rPr>
        <w:t xml:space="preserve">Supervised production.</w:t>
      </w:r>
      <w:r>
        <w:t xml:space="preserve"> A set number of real cases done under a badge-holder's review. The holder signs off each case in ClickUp.</w:t>
      </w:r>
    </w:p>
    <w:p>
      <w:pPr>
        <w:pStyle w:val="ListParagraph"/>
        <w:numPr>
          <w:ilvl w:val="0"/>
          <w:numId w:val="2"/>
        </w:numPr>
      </w:pPr>
      <w:r>
        <w:rPr>
          <w:b/>
        </w:rPr>
        <w:t xml:space="preserve">Assessment.</w:t>
      </w:r>
      <w:r>
        <w:t xml:space="preserve"> The Badge Panel scores a practical test plus a random sample of the supervised cases.</w:t>
      </w:r>
    </w:p>
    <w:p>
      <w:pPr>
        <w:pStyle w:val="ListParagraph"/>
        <w:numPr>
          <w:ilvl w:val="0"/>
          <w:numId w:val="2"/>
        </w:numPr>
      </w:pPr>
      <w:r>
        <w:rPr>
          <w:b/>
        </w:rPr>
        <w:t xml:space="preserve">Award.</w:t>
      </w:r>
      <w:r>
        <w:t xml:space="preserve"> The Academy owner confirms the badge. Routing rights switch on the same day.</w:t>
      </w:r>
    </w:p>
    <w:p>
      <w:pPr/>
      <w:r>
        <w:rPr>
          <w:b/>
        </w:rPr>
        <w:t xml:space="preserve">Common rules:</w:t>
      </w:r>
    </w:p>
    <w:p>
      <w:pPr>
        <w:pStyle w:val="ListParagraph"/>
        <w:numPr>
          <w:ilvl w:val="0"/>
          <w:numId w:val="3"/>
        </w:numPr>
      </w:pPr>
      <w:r>
        <w:t xml:space="preserve">QA scores use the QA department's checklist for each badge. A </w:t>
      </w:r>
      <w:r>
        <w:rPr>
          <w:b/>
        </w:rPr>
        <w:t xml:space="preserve">critical error</w:t>
      </w:r>
      <w:r>
        <w:t xml:space="preserve"> (missed deadline, wrong payer or patient, PHI sent to the wrong party, unsupported code) fails the case regardless of score.</w:t>
      </w:r>
    </w:p>
    <w:p>
      <w:pPr>
        <w:pStyle w:val="ListParagraph"/>
        <w:numPr>
          <w:ilvl w:val="0"/>
          <w:numId w:val="3"/>
        </w:numPr>
      </w:pPr>
      <w:r>
        <w:t xml:space="preserve">Assessors may not assess members of their own team.</w:t>
      </w:r>
    </w:p>
    <w:p>
      <w:pPr>
        <w:pStyle w:val="ListParagraph"/>
        <w:numPr>
          <w:ilvl w:val="0"/>
          <w:numId w:val="3"/>
        </w:numPr>
      </w:pPr>
      <w:r>
        <w:t xml:space="preserve">Thresholds below are starting values. The Academy owner and the QA department review them after the first two quarters of data.</w:t>
      </w:r>
    </w:p>
    <w:p>
      <w:pPr>
        <w:pStyle w:val="Heading2"/>
      </w:pPr>
      <w:r>
        <w:t xml:space="preserve">Who runs the badge program</w:t>
      </w:r>
    </w:p>
    <w:p>
      <w:pPr/>
      <w:r>
        <w:t xml:space="preserve">The Training Academy Committee runs the program, chaired by a manager (preferably the Senior Manager). The QA department checks quality, and senior specialists assess. The Badges, Levels and Transition appendix sets the levels, test windows and badge-loss rules, and takes precedence where it differs from this matrix.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Role</w:t>
            </w:r>
          </w:p>
        </w:tc>
        <w:tc>
          <w:tcPr>
            <w:tcW w:w="3120" w:type="dxa"/>
            <w:shd w:val="clear" w:color="auto" w:fill="F2F2F2"/>
          </w:tcPr>
          <w:p>
            <w:pPr/>
            <w:r>
              <w:t xml:space="preserve">Who</w:t>
            </w:r>
          </w:p>
        </w:tc>
        <w:tc>
          <w:tcPr>
            <w:tcW w:w="3120" w:type="dxa"/>
            <w:shd w:val="clear" w:color="auto" w:fill="F2F2F2"/>
          </w:tcPr>
          <w:p>
            <w:pPr/>
            <w:r>
              <w:t xml:space="preserve">Responsibilities</w:t>
            </w:r>
          </w:p>
        </w:tc>
      </w:tr>
      <w:tr>
        <w:tc>
          <w:tcPr>
            <w:tcW w:w="3120" w:type="dxa"/>
          </w:tcPr>
          <w:p>
            <w:pPr/>
            <w:r>
              <w:t xml:space="preserve">Academy Committee chair</w:t>
            </w:r>
          </w:p>
        </w:tc>
        <w:tc>
          <w:tcPr>
            <w:tcW w:w="3120" w:type="dxa"/>
          </w:tcPr>
          <w:p>
            <w:pPr/>
            <w:r>
              <w:t xml:space="preserve">A manager, preferably the Senior Manager (L5)</w:t>
            </w:r>
          </w:p>
        </w:tc>
        <w:tc>
          <w:tcPr>
            <w:tcW w:w="3120" w:type="dxa"/>
          </w:tcPr>
          <w:p>
            <w:pPr/>
            <w:r>
              <w:t xml:space="preserve">Training calendar, badge records, award decisions, quarterly test windows, semiannual review, monthly team badge grid</w:t>
            </w:r>
          </w:p>
        </w:tc>
      </w:tr>
      <w:tr>
        <w:tc>
          <w:tcPr>
            <w:tcW w:w="3120" w:type="dxa"/>
          </w:tcPr>
          <w:p>
            <w:pPr/>
            <w:r>
              <w:t xml:space="preserve">Academy Committee</w:t>
            </w:r>
          </w:p>
        </w:tc>
        <w:tc>
          <w:tcPr>
            <w:tcW w:w="3120" w:type="dxa"/>
          </w:tcPr>
          <w:p>
            <w:pPr/>
            <w:r>
              <w:t xml:space="preserve">2–3 managers, 2 L4 Senior Specialists II, 2 L3 Senior Specialists I, 2 rotating team leads, 1 QA reviewer</w:t>
            </w:r>
          </w:p>
        </w:tc>
        <w:tc>
          <w:tcPr>
            <w:tcW w:w="3120" w:type="dxa"/>
          </w:tcPr>
          <w:p>
            <w:pPr/>
            <w:r>
              <w:t xml:space="preserve">Calibrates awards, placements and promotions</w:t>
            </w:r>
          </w:p>
        </w:tc>
      </w:tr>
      <w:tr>
        <w:tc>
          <w:tcPr>
            <w:tcW w:w="3120" w:type="dxa"/>
          </w:tcPr>
          <w:p>
            <w:pPr/>
            <w:r>
              <w:t xml:space="preserve">Badge Panel</w:t>
            </w:r>
          </w:p>
        </w:tc>
        <w:tc>
          <w:tcPr>
            <w:tcW w:w="3120" w:type="dxa"/>
          </w:tcPr>
          <w:p>
            <w:pPr/>
            <w:r>
              <w:t xml:space="preserve">A QA department reviewer plus 2 L4 Senior Specialists II or team leads from other teams</w:t>
            </w:r>
          </w:p>
        </w:tc>
        <w:tc>
          <w:tcPr>
            <w:tcW w:w="3120" w:type="dxa"/>
          </w:tcPr>
          <w:p>
            <w:pPr/>
            <w:r>
              <w:t xml:space="preserve">Scores assessments and samples of supervised cases</w:t>
            </w:r>
          </w:p>
        </w:tc>
      </w:tr>
      <w:tr>
        <w:tc>
          <w:tcPr>
            <w:tcW w:w="3120" w:type="dxa"/>
          </w:tcPr>
          <w:p>
            <w:pPr/>
            <w:r>
              <w:t xml:space="preserve">QA department</w:t>
            </w:r>
          </w:p>
        </w:tc>
        <w:tc>
          <w:tcPr>
            <w:tcW w:w="3120" w:type="dxa"/>
          </w:tcPr>
          <w:p>
            <w:pPr/>
            <w:r>
              <w:t xml:space="preserve">The existing, separate QA department</w:t>
            </w:r>
          </w:p>
        </w:tc>
        <w:tc>
          <w:tcPr>
            <w:tcW w:w="3120" w:type="dxa"/>
          </w:tcPr>
          <w:p>
            <w:pPr/>
            <w:r>
              <w:t xml:space="preserve">QA checklists and scores, coding audit sample (5–10% of charts)</w:t>
            </w:r>
          </w:p>
        </w:tc>
      </w:tr>
      <w:tr>
        <w:tc>
          <w:tcPr>
            <w:tcW w:w="3120" w:type="dxa"/>
          </w:tcPr>
          <w:p>
            <w:pPr/>
            <w:r>
              <w:t xml:space="preserve">Pricing guide owner</w:t>
            </w:r>
          </w:p>
        </w:tc>
        <w:tc>
          <w:tcPr>
            <w:tcW w:w="3120" w:type="dxa"/>
          </w:tcPr>
          <w:p>
            <w:pPr/>
            <w:r>
              <w:t xml:space="preserve">A team manager, with the A4 Payer Strategy holders</w:t>
            </w:r>
          </w:p>
        </w:tc>
        <w:tc>
          <w:tcPr>
            <w:tcW w:w="3120" w:type="dxa"/>
          </w:tcPr>
          <w:p>
            <w:pPr/>
            <w:r>
              <w:t xml:space="preserve">Offer pricing guide and payer playbooks</w:t>
            </w:r>
          </w:p>
        </w:tc>
      </w:tr>
      <w:tr>
        <w:tc>
          <w:tcPr>
            <w:tcW w:w="3120" w:type="dxa"/>
          </w:tcPr>
          <w:p>
            <w:pPr/>
            <w:r>
              <w:t xml:space="preserve">Onshore–Offshore Liaison owner</w:t>
            </w:r>
          </w:p>
        </w:tc>
        <w:tc>
          <w:tcPr>
            <w:tcW w:w="3120" w:type="dxa"/>
          </w:tcPr>
          <w:p>
            <w:pPr/>
            <w:r>
              <w:t xml:space="preserve">A team manager</w:t>
            </w:r>
          </w:p>
        </w:tc>
        <w:tc>
          <w:tcPr>
            <w:tcW w:w="3120" w:type="dxa"/>
          </w:tcPr>
          <w:p>
            <w:pPr/>
            <w:r>
              <w:t xml:space="preserve">Ticket quality, coordination with the US desk; the bridge night rota reports here</w:t>
            </w:r>
          </w:p>
        </w:tc>
      </w:tr>
      <w:tr>
        <w:tc>
          <w:tcPr>
            <w:tcW w:w="3120" w:type="dxa"/>
          </w:tcPr>
          <w:p>
            <w:pPr/>
            <w:r>
              <w:t xml:space="preserve">Trainers</w:t>
            </w:r>
          </w:p>
        </w:tc>
        <w:tc>
          <w:tcPr>
            <w:tcW w:w="3120" w:type="dxa"/>
          </w:tcPr>
          <w:p>
            <w:pPr/>
            <w:r>
              <w:t xml:space="preserve">L4 Senior Specialists II and team leads</w:t>
            </w:r>
          </w:p>
        </w:tc>
        <w:tc>
          <w:tcPr>
            <w:tcW w:w="3120" w:type="dxa"/>
          </w:tcPr>
          <w:p>
            <w:pPr/>
            <w:r>
              <w:t xml:space="preserve">Teach Academy modules; teaching counts toward L4</w:t>
            </w:r>
          </w:p>
        </w:tc>
      </w:tr>
    </w:tbl>
    <w:p>
      <w:pPr>
        <w:pStyle w:val="Heading2"/>
      </w:pPr>
      <w:r>
        <w:t xml:space="preserve">Badges to levels</w:t>
      </w:r>
    </w:p>
    <w:p>
      <w:pPr/>
      <w:r>
        <w:t xml:space="preserve">Level is set by badges held plus results on the specialist's own portfolio; former title plays no part. Promotion is reviewed quarterly, and a level is confirmed only when both columns are met for two consecutive months.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Level</w:t>
            </w:r>
          </w:p>
        </w:tc>
        <w:tc>
          <w:tcPr>
            <w:tcW w:w="1872" w:type="dxa"/>
            <w:shd w:val="clear" w:color="auto" w:fill="F2F2F2"/>
          </w:tcPr>
          <w:p>
            <w:pPr/>
            <w:r>
              <w:t xml:space="preserve">Badges required</w:t>
            </w:r>
          </w:p>
        </w:tc>
        <w:tc>
          <w:tcPr>
            <w:tcW w:w="1872" w:type="dxa"/>
            <w:shd w:val="clear" w:color="auto" w:fill="F2F2F2"/>
          </w:tcPr>
          <w:p>
            <w:pPr/>
            <w:r>
              <w:t xml:space="preserve">Performance required</w:t>
            </w:r>
          </w:p>
        </w:tc>
        <w:tc>
          <w:tcPr>
            <w:tcW w:w="1872" w:type="dxa"/>
            <w:shd w:val="clear" w:color="auto" w:fill="F2F2F2"/>
          </w:tcPr>
          <w:p>
            <w:pPr/>
            <w:r>
              <w:t xml:space="preserve">Portfolio tier</w:t>
            </w:r>
          </w:p>
        </w:tc>
        <w:tc>
          <w:tcPr>
            <w:tcW w:w="1872" w:type="dxa"/>
            <w:shd w:val="clear" w:color="auto" w:fill="F2F2F2"/>
          </w:tcPr>
          <w:p>
            <w:pPr/>
            <w:r>
              <w:t xml:space="preserve">Typical role</w:t>
            </w:r>
          </w:p>
        </w:tc>
      </w:tr>
      <w:tr>
        <w:tc>
          <w:tcPr>
            <w:tcW w:w="1872" w:type="dxa"/>
          </w:tcPr>
          <w:p>
            <w:pPr/>
            <w:r>
              <w:t xml:space="preserve">L1 RCM Specialist I</w:t>
            </w:r>
          </w:p>
        </w:tc>
        <w:tc>
          <w:tcPr>
            <w:tcW w:w="1872" w:type="dxa"/>
          </w:tcPr>
          <w:p>
            <w:pPr/>
            <w:r>
              <w:t xml:space="preserve">Working toward the 5 core badges</w:t>
            </w:r>
          </w:p>
        </w:tc>
        <w:tc>
          <w:tcPr>
            <w:tcW w:w="1872" w:type="dxa"/>
          </w:tcPr>
          <w:p>
            <w:pPr/>
            <w:r>
              <w:t xml:space="preserve">Meets work-unit target after 90 days; QA at or above 90%</w:t>
            </w:r>
          </w:p>
        </w:tc>
        <w:tc>
          <w:tcPr>
            <w:tcW w:w="1872" w:type="dxa"/>
          </w:tcPr>
          <w:p>
            <w:pPr/>
            <w:r>
              <w:t xml:space="preserve">Tier 3 (low-dollar, high-volume)</w:t>
            </w:r>
          </w:p>
        </w:tc>
        <w:tc>
          <w:tcPr>
            <w:tcW w:w="1872" w:type="dxa"/>
          </w:tcPr>
          <w:p>
            <w:pPr/>
            <w:r>
              <w:t xml:space="preserve">New hire or retraining</w:t>
            </w:r>
          </w:p>
        </w:tc>
      </w:tr>
      <w:tr>
        <w:tc>
          <w:tcPr>
            <w:tcW w:w="1872" w:type="dxa"/>
          </w:tcPr>
          <w:p>
            <w:pPr/>
            <w:r>
              <w:t xml:space="preserve">L2 RCM Specialist II</w:t>
            </w:r>
          </w:p>
        </w:tc>
        <w:tc>
          <w:tcPr>
            <w:tcW w:w="1872" w:type="dxa"/>
          </w:tcPr>
          <w:p>
            <w:pPr/>
            <w:r>
              <w:t xml:space="preserve">All 5 core badges</w:t>
            </w:r>
          </w:p>
        </w:tc>
        <w:tc>
          <w:tcPr>
            <w:tcW w:w="1872" w:type="dxa"/>
          </w:tcPr>
          <w:p>
            <w:pPr/>
            <w:r>
              <w:t xml:space="preserve">Work units at or above 100% of target; QA at or above 95%; zero missed deadlines in the quarter</w:t>
            </w:r>
          </w:p>
        </w:tc>
        <w:tc>
          <w:tcPr>
            <w:tcW w:w="1872" w:type="dxa"/>
          </w:tcPr>
          <w:p>
            <w:pPr/>
            <w:r>
              <w:t xml:space="preserve">Tier 2 (standard NSA)</w:t>
            </w:r>
          </w:p>
        </w:tc>
        <w:tc>
          <w:tcPr>
            <w:tcW w:w="1872" w:type="dxa"/>
          </w:tcPr>
          <w:p>
            <w:pPr/>
            <w:r>
              <w:t xml:space="preserve">Full-cycle account owner</w:t>
            </w:r>
          </w:p>
        </w:tc>
      </w:tr>
      <w:tr>
        <w:tc>
          <w:tcPr>
            <w:tcW w:w="1872" w:type="dxa"/>
          </w:tcPr>
          <w:p>
            <w:pPr/>
            <w:r>
              <w:t xml:space="preserve">L3 Senior Specialist I</w:t>
            </w:r>
          </w:p>
        </w:tc>
        <w:tc>
          <w:tcPr>
            <w:tcW w:w="1872" w:type="dxa"/>
          </w:tcPr>
          <w:p>
            <w:pPr/>
            <w:r>
              <w:t xml:space="preserve">All core + 2 advanced from A1, A2 and A3</w:t>
            </w:r>
          </w:p>
        </w:tc>
        <w:tc>
          <w:tcPr>
            <w:tcW w:w="1872" w:type="dxa"/>
          </w:tcPr>
          <w:p>
            <w:pPr/>
            <w:r>
              <w:t xml:space="preserve">Net Recovery in the top 40% of the tier; QA at or above 97%</w:t>
            </w:r>
          </w:p>
        </w:tc>
        <w:tc>
          <w:tcPr>
            <w:tcW w:w="1872" w:type="dxa"/>
          </w:tcPr>
          <w:p>
            <w:pPr/>
            <w:r>
              <w:t xml:space="preserve">Tier 1 (high-dollar, hardest payers)</w:t>
            </w:r>
          </w:p>
        </w:tc>
        <w:tc>
          <w:tcPr>
            <w:tcW w:w="1872" w:type="dxa"/>
          </w:tcPr>
          <w:p>
            <w:pPr/>
            <w:r>
              <w:t xml:space="preserve">Team expert, peer QA, mentor; eligible for team lead</w:t>
            </w:r>
          </w:p>
        </w:tc>
      </w:tr>
      <w:tr>
        <w:tc>
          <w:tcPr>
            <w:tcW w:w="1872" w:type="dxa"/>
          </w:tcPr>
          <w:p>
            <w:pPr/>
            <w:r>
              <w:t xml:space="preserve">L4 Senior Specialist II</w:t>
            </w:r>
          </w:p>
        </w:tc>
        <w:tc>
          <w:tcPr>
            <w:tcW w:w="1872" w:type="dxa"/>
          </w:tcPr>
          <w:p>
            <w:pPr/>
            <w:r>
              <w:t xml:space="preserve">All core + A2 + A4 + either A1 or A3</w:t>
            </w:r>
          </w:p>
        </w:tc>
        <w:tc>
          <w:tcPr>
            <w:tcW w:w="1872" w:type="dxa"/>
          </w:tcPr>
          <w:p>
            <w:pPr/>
            <w:r>
              <w:t xml:space="preserve">Net Recovery in the top 20% of the tier; teaches at least one Academy module</w:t>
            </w:r>
          </w:p>
        </w:tc>
        <w:tc>
          <w:tcPr>
            <w:tcW w:w="1872" w:type="dxa"/>
          </w:tcPr>
          <w:p>
            <w:pPr/>
            <w:r>
              <w:t xml:space="preserve">Tier 1 + one specialty-group lead</w:t>
            </w:r>
          </w:p>
        </w:tc>
        <w:tc>
          <w:tcPr>
            <w:tcW w:w="1872" w:type="dxa"/>
          </w:tcPr>
          <w:p>
            <w:pPr/>
            <w:r>
              <w:t xml:space="preserve">Specialty-group lead, Badge Panel assessor, Academy trainer</w:t>
            </w:r>
          </w:p>
        </w:tc>
      </w:tr>
      <w:tr>
        <w:tc>
          <w:tcPr>
            <w:tcW w:w="1872" w:type="dxa"/>
          </w:tcPr>
          <w:p>
            <w:pPr/>
            <w:r>
              <w:t xml:space="preserve">L5 Principal (Leadership)</w:t>
            </w:r>
          </w:p>
        </w:tc>
        <w:tc>
          <w:tcPr>
            <w:tcW w:w="1872" w:type="dxa"/>
          </w:tcPr>
          <w:p>
            <w:pPr/>
            <w:r>
              <w:t xml:space="preserve">Team leads, managers and the Senior Manager only</w:t>
            </w:r>
          </w:p>
        </w:tc>
        <w:tc>
          <w:tcPr>
            <w:tcW w:w="1872" w:type="dxa"/>
          </w:tcPr>
          <w:p>
            <w:pPr/>
            <w:r>
              <w:t xml:space="preserve">Set by the leadership role</w:t>
            </w:r>
          </w:p>
        </w:tc>
        <w:tc>
          <w:tcPr>
            <w:tcW w:w="1872" w:type="dxa"/>
          </w:tcPr>
          <w:p>
            <w:pPr/>
            <w:r>
              <w:t xml:space="preserve">A team or a portfolio</w:t>
            </w:r>
          </w:p>
        </w:tc>
        <w:tc>
          <w:tcPr>
            <w:tcW w:w="1872" w:type="dxa"/>
          </w:tcPr>
          <w:p>
            <w:pPr/>
            <w:r>
              <w:t xml:space="preserve">Team Lead, Manager, Senior Manager</w:t>
            </w:r>
          </w:p>
        </w:tc>
      </w:tr>
    </w:tbl>
    <w:p>
      <w:pPr/>
      <w:r>
        <w:rPr>
          <w:b/>
        </w:rPr>
        <w:t xml:space="preserve">Leadership (L5):</w:t>
      </w:r>
      <w:r>
        <w:t xml:space="preserve"> Team Lead requires L3 or L4 plus a coaching assessment. Manager requires 12 months as a team lead, or L4 plus leadership training. Leaders keep their badges and their QA reviews.</w:t>
      </w:r>
    </w:p>
    <w:p>
      <w:pPr>
        <w:pStyle w:val="Heading2"/>
      </w:pPr>
      <w:r>
        <w:t xml:space="preserve">Core badges (all five required for L2)</w:t>
      </w:r>
    </w:p>
    <w:p>
      <w:pPr/>
      <w:r>
        <w:t xml:space="preserve">The core badges cover all the routine work on an account, so any L2 can own an account end to end and cover for a colleague.</w:t>
      </w:r>
    </w:p>
    <w:p>
      <w:pPr>
        <w:pStyle w:val="Heading3"/>
      </w:pPr>
      <w:r>
        <w:t xml:space="preserve">C1. Claim Follow-up and Receipt Confirmation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Confirming payer receipt of paper claims, status follow-up by portal and phone, resubmission requests to Logistics, attaching received documents to the patient hub</w:t>
            </w:r>
          </w:p>
        </w:tc>
      </w:tr>
      <w:tr>
        <w:tc>
          <w:tcPr>
            <w:tcW w:w="4680" w:type="dxa"/>
          </w:tcPr>
          <w:p>
            <w:pPr/>
            <w:r>
              <w:t xml:space="preserve">Prerequisite</w:t>
            </w:r>
          </w:p>
        </w:tc>
        <w:tc>
          <w:tcPr>
            <w:tcW w:w="4680" w:type="dxa"/>
          </w:tcPr>
          <w:p>
            <w:pPr/>
            <w:r>
              <w:t xml:space="preserve">None</w:t>
            </w:r>
          </w:p>
        </w:tc>
      </w:tr>
      <w:tr>
        <w:tc>
          <w:tcPr>
            <w:tcW w:w="4680" w:type="dxa"/>
          </w:tcPr>
          <w:p>
            <w:pPr/>
            <w:r>
              <w:t xml:space="preserve">Competency criteria</w:t>
            </w:r>
          </w:p>
        </w:tc>
        <w:tc>
          <w:tcPr>
            <w:tcW w:w="4680" w:type="dxa"/>
          </w:tcPr>
          <w:p>
            <w:pPr/>
            <w:r>
              <w:t xml:space="preserve">Logs the mail date for every claim; confirms payer receipt within 21 days of mailing; every open claim has a next-action date; correct ClickUp status on every touch; follows the payer call script and records the reference number</w:t>
            </w:r>
          </w:p>
        </w:tc>
      </w:tr>
      <w:tr>
        <w:tc>
          <w:tcPr>
            <w:tcW w:w="4680" w:type="dxa"/>
          </w:tcPr>
          <w:p>
            <w:pPr/>
            <w:r>
              <w:t xml:space="preserve">Supervised production</w:t>
            </w:r>
          </w:p>
        </w:tc>
        <w:tc>
          <w:tcPr>
            <w:tcW w:w="4680" w:type="dxa"/>
          </w:tcPr>
          <w:p>
            <w:pPr/>
            <w:r>
              <w:t xml:space="preserve">40 claims across at least 5 payers</w:t>
            </w:r>
          </w:p>
        </w:tc>
      </w:tr>
      <w:tr>
        <w:tc>
          <w:tcPr>
            <w:tcW w:w="4680" w:type="dxa"/>
          </w:tcPr>
          <w:p>
            <w:pPr/>
            <w:r>
              <w:t xml:space="preserve">Assessment</w:t>
            </w:r>
          </w:p>
        </w:tc>
        <w:tc>
          <w:tcPr>
            <w:tcW w:w="4680" w:type="dxa"/>
          </w:tcPr>
          <w:p>
            <w:pPr/>
            <w:r>
              <w:t xml:space="preserve">Live status check of 10 claims with the assessor watching; review of 3 recorded payer calls</w:t>
            </w:r>
          </w:p>
        </w:tc>
      </w:tr>
      <w:tr>
        <w:tc>
          <w:tcPr>
            <w:tcW w:w="4680" w:type="dxa"/>
          </w:tcPr>
          <w:p>
            <w:pPr/>
            <w:r>
              <w:t xml:space="preserve">QA to earn</w:t>
            </w:r>
          </w:p>
        </w:tc>
        <w:tc>
          <w:tcPr>
            <w:tcW w:w="4680" w:type="dxa"/>
          </w:tcPr>
          <w:p>
            <w:pPr/>
            <w:r>
              <w:t xml:space="preserve">95% or higher on the supervised cases</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Claim left without a next-action date for more than 14 days; wrong patient or payer on a call; documents attached to the wrong account</w:t>
            </w:r>
          </w:p>
        </w:tc>
      </w:tr>
    </w:tbl>
    <w:p>
      <w:pPr>
        <w:pStyle w:val="Heading3"/>
      </w:pPr>
      <w:r>
        <w:t xml:space="preserve">C2. Open Negotiation (OMB)</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Determining NSA eligibility at the initial payment or denial, sending the Open Negotiation notice (OMB form), running the 30-business-day negotiation period, settling within decision rights, logging the outcome</w:t>
            </w:r>
          </w:p>
        </w:tc>
      </w:tr>
      <w:tr>
        <w:tc>
          <w:tcPr>
            <w:tcW w:w="4680" w:type="dxa"/>
          </w:tcPr>
          <w:p>
            <w:pPr/>
            <w:r>
              <w:t xml:space="preserve">Prerequisite</w:t>
            </w:r>
          </w:p>
        </w:tc>
        <w:tc>
          <w:tcPr>
            <w:tcW w:w="4680" w:type="dxa"/>
          </w:tcPr>
          <w:p>
            <w:pPr/>
            <w:r>
              <w:t xml:space="preserve">C1</w:t>
            </w:r>
          </w:p>
        </w:tc>
      </w:tr>
      <w:tr>
        <w:tc>
          <w:tcPr>
            <w:tcW w:w="4680" w:type="dxa"/>
          </w:tcPr>
          <w:p>
            <w:pPr/>
            <w:r>
              <w:t xml:space="preserve">Competency criteria</w:t>
            </w:r>
          </w:p>
        </w:tc>
        <w:tc>
          <w:tcPr>
            <w:tcW w:w="4680" w:type="dxa"/>
          </w:tcPr>
          <w:p>
            <w:pPr/>
            <w:r>
              <w:t xml:space="preserve">Classifies NSA eligibility correctly (emergency service, out of network, plan type, date of initial payment or denial); notice is complete with the right claim items and QPA and sent with proof of delivery inside the 30-business-day window; negotiation counter-offers follow the pricing guide; every settlement is inside the specialist's decision rights or approved by the TL or manager</w:t>
            </w:r>
          </w:p>
        </w:tc>
      </w:tr>
      <w:tr>
        <w:tc>
          <w:tcPr>
            <w:tcW w:w="4680" w:type="dxa"/>
          </w:tcPr>
          <w:p>
            <w:pPr/>
            <w:r>
              <w:t xml:space="preserve">Supervised production</w:t>
            </w:r>
          </w:p>
        </w:tc>
        <w:tc>
          <w:tcPr>
            <w:tcW w:w="4680" w:type="dxa"/>
          </w:tcPr>
          <w:p>
            <w:pPr/>
            <w:r>
              <w:t xml:space="preserve">30 notices and 10 negotiations</w:t>
            </w:r>
          </w:p>
        </w:tc>
      </w:tr>
      <w:tr>
        <w:tc>
          <w:tcPr>
            <w:tcW w:w="4680" w:type="dxa"/>
          </w:tcPr>
          <w:p>
            <w:pPr/>
            <w:r>
              <w:t xml:space="preserve">Assessment</w:t>
            </w:r>
          </w:p>
        </w:tc>
        <w:tc>
          <w:tcPr>
            <w:tcW w:w="4680" w:type="dxa"/>
          </w:tcPr>
          <w:p>
            <w:pPr/>
            <w:r>
              <w:t xml:space="preserve">Eligibility test of 20 scenarios (90% or higher); one practical notice; one negotiation role-play scored by the assessor</w:t>
            </w:r>
          </w:p>
        </w:tc>
      </w:tr>
      <w:tr>
        <w:tc>
          <w:tcPr>
            <w:tcW w:w="4680" w:type="dxa"/>
          </w:tcPr>
          <w:p>
            <w:pPr/>
            <w:r>
              <w:t xml:space="preserve">QA to earn</w:t>
            </w:r>
          </w:p>
        </w:tc>
        <w:tc>
          <w:tcPr>
            <w:tcW w:w="4680" w:type="dxa"/>
          </w:tcPr>
          <w:p>
            <w:pPr/>
            <w:r>
              <w:t xml:space="preserve">98% or higher (deadline-critical work)</w:t>
            </w:r>
          </w:p>
        </w:tc>
      </w:tr>
      <w:tr>
        <w:tc>
          <w:tcPr>
            <w:tcW w:w="4680" w:type="dxa"/>
          </w:tcPr>
          <w:p>
            <w:pPr/>
            <w:r>
              <w:t xml:space="preserve">QA to keep</w:t>
            </w:r>
          </w:p>
        </w:tc>
        <w:tc>
          <w:tcPr>
            <w:tcW w:w="4680" w:type="dxa"/>
          </w:tcPr>
          <w:p>
            <w:pPr/>
            <w:r>
              <w:t xml:space="preserve">97% or higher each quarter</w:t>
            </w:r>
          </w:p>
        </w:tc>
      </w:tr>
      <w:tr>
        <w:tc>
          <w:tcPr>
            <w:tcW w:w="4680" w:type="dxa"/>
          </w:tcPr>
          <w:p>
            <w:pPr/>
            <w:r>
              <w:t xml:space="preserve">Critical errors</w:t>
            </w:r>
          </w:p>
        </w:tc>
        <w:tc>
          <w:tcPr>
            <w:tcW w:w="4680" w:type="dxa"/>
          </w:tcPr>
          <w:p>
            <w:pPr/>
            <w:r>
              <w:t xml:space="preserve">Notice sent outside the window; wrong items or missing QPA; settlement accepted beyond decision rights</w:t>
            </w:r>
          </w:p>
        </w:tc>
      </w:tr>
    </w:tbl>
    <w:p>
      <w:pPr>
        <w:pStyle w:val="Heading3"/>
      </w:pPr>
      <w:r>
        <w:t xml:space="preserve">C3. NNSA Appeal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Code appeals and money appeals under the NNSA process maps, including state-regulated plan claims; non-NSA denial resolution; applying the 12-month closing rule</w:t>
            </w:r>
          </w:p>
        </w:tc>
      </w:tr>
      <w:tr>
        <w:tc>
          <w:tcPr>
            <w:tcW w:w="4680" w:type="dxa"/>
          </w:tcPr>
          <w:p>
            <w:pPr/>
            <w:r>
              <w:t xml:space="preserve">Prerequisite</w:t>
            </w:r>
          </w:p>
        </w:tc>
        <w:tc>
          <w:tcPr>
            <w:tcW w:w="4680" w:type="dxa"/>
          </w:tcPr>
          <w:p>
            <w:pPr/>
            <w:r>
              <w:t xml:space="preserve">C1</w:t>
            </w:r>
          </w:p>
        </w:tc>
      </w:tr>
      <w:tr>
        <w:tc>
          <w:tcPr>
            <w:tcW w:w="4680" w:type="dxa"/>
          </w:tcPr>
          <w:p>
            <w:pPr/>
            <w:r>
              <w:t xml:space="preserve">Competency criteria</w:t>
            </w:r>
          </w:p>
        </w:tc>
        <w:tc>
          <w:tcPr>
            <w:tcW w:w="4680" w:type="dxa"/>
          </w:tcPr>
          <w:p>
            <w:pPr/>
            <w:r>
              <w:t xml:space="preserve">Selects the right appeal type; uses the approved letter template and cites the medical-necessity report; files within the payer's appeal limit; recommends closure at 12 months from DOS, with a final review for high-dollar claims</w:t>
            </w:r>
          </w:p>
        </w:tc>
      </w:tr>
      <w:tr>
        <w:tc>
          <w:tcPr>
            <w:tcW w:w="4680" w:type="dxa"/>
          </w:tcPr>
          <w:p>
            <w:pPr/>
            <w:r>
              <w:t xml:space="preserve">Supervised production</w:t>
            </w:r>
          </w:p>
        </w:tc>
        <w:tc>
          <w:tcPr>
            <w:tcW w:w="4680" w:type="dxa"/>
          </w:tcPr>
          <w:p>
            <w:pPr/>
            <w:r>
              <w:t xml:space="preserve">25 appeals covering at least 2 appeal types</w:t>
            </w:r>
          </w:p>
        </w:tc>
      </w:tr>
      <w:tr>
        <w:tc>
          <w:tcPr>
            <w:tcW w:w="4680" w:type="dxa"/>
          </w:tcPr>
          <w:p>
            <w:pPr/>
            <w:r>
              <w:t xml:space="preserve">Assessment</w:t>
            </w:r>
          </w:p>
        </w:tc>
        <w:tc>
          <w:tcPr>
            <w:tcW w:w="4680" w:type="dxa"/>
          </w:tcPr>
          <w:p>
            <w:pPr/>
            <w:r>
              <w:t xml:space="preserve">Writes 2 appeals from case files; scored by the Badge Panel</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Appeal filed after the payer's limit; letter sent without supporting documents; claim closed without the required review</w:t>
            </w:r>
          </w:p>
        </w:tc>
      </w:tr>
    </w:tbl>
    <w:p>
      <w:pPr>
        <w:pStyle w:val="Heading3"/>
      </w:pPr>
      <w:r>
        <w:t xml:space="preserve">C4. Payment Posting and Reconciliation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Working the ERA exception queue, manual posting (about 10% of payments), posting IDR award payments, adjustments, refund flags, claim closure</w:t>
            </w:r>
          </w:p>
        </w:tc>
      </w:tr>
      <w:tr>
        <w:tc>
          <w:tcPr>
            <w:tcW w:w="4680" w:type="dxa"/>
          </w:tcPr>
          <w:p>
            <w:pPr/>
            <w:r>
              <w:t xml:space="preserve">Prerequisite</w:t>
            </w:r>
          </w:p>
        </w:tc>
        <w:tc>
          <w:tcPr>
            <w:tcW w:w="4680" w:type="dxa"/>
          </w:tcPr>
          <w:p>
            <w:pPr/>
            <w:r>
              <w:t xml:space="preserve">None</w:t>
            </w:r>
          </w:p>
        </w:tc>
      </w:tr>
      <w:tr>
        <w:tc>
          <w:tcPr>
            <w:tcW w:w="4680" w:type="dxa"/>
          </w:tcPr>
          <w:p>
            <w:pPr/>
            <w:r>
              <w:t xml:space="preserve">Competency criteria</w:t>
            </w:r>
          </w:p>
        </w:tc>
        <w:tc>
          <w:tcPr>
            <w:tcW w:w="4680" w:type="dxa"/>
          </w:tcPr>
          <w:p>
            <w:pPr/>
            <w:r>
              <w:t xml:space="preserve">Posted amounts match the remittance to the cent; correct adjustment codes; IDR award payments matched to the determination within 2 business days of receipt; awards still unpaid 30 calendar days after the determination are flagged for follow-up</w:t>
            </w:r>
          </w:p>
        </w:tc>
      </w:tr>
      <w:tr>
        <w:tc>
          <w:tcPr>
            <w:tcW w:w="4680" w:type="dxa"/>
          </w:tcPr>
          <w:p>
            <w:pPr/>
            <w:r>
              <w:t xml:space="preserve">Supervised production</w:t>
            </w:r>
          </w:p>
        </w:tc>
        <w:tc>
          <w:tcPr>
            <w:tcW w:w="4680" w:type="dxa"/>
          </w:tcPr>
          <w:p>
            <w:pPr/>
            <w:r>
              <w:t xml:space="preserve">100 postings, including at least 20 manual and 10 IDR award payments</w:t>
            </w:r>
          </w:p>
        </w:tc>
      </w:tr>
      <w:tr>
        <w:tc>
          <w:tcPr>
            <w:tcW w:w="4680" w:type="dxa"/>
          </w:tcPr>
          <w:p>
            <w:pPr/>
            <w:r>
              <w:t xml:space="preserve">Assessment</w:t>
            </w:r>
          </w:p>
        </w:tc>
        <w:tc>
          <w:tcPr>
            <w:tcW w:w="4680" w:type="dxa"/>
          </w:tcPr>
          <w:p>
            <w:pPr/>
            <w:r>
              <w:t xml:space="preserve">Posting test of 30 items; the batch must balance exactly</w:t>
            </w:r>
          </w:p>
        </w:tc>
      </w:tr>
      <w:tr>
        <w:tc>
          <w:tcPr>
            <w:tcW w:w="4680" w:type="dxa"/>
          </w:tcPr>
          <w:p>
            <w:pPr/>
            <w:r>
              <w:t xml:space="preserve">QA to earn</w:t>
            </w:r>
          </w:p>
        </w:tc>
        <w:tc>
          <w:tcPr>
            <w:tcW w:w="4680" w:type="dxa"/>
          </w:tcPr>
          <w:p>
            <w:pPr/>
            <w:r>
              <w:t xml:space="preserve">99% or higher</w:t>
            </w:r>
          </w:p>
        </w:tc>
      </w:tr>
      <w:tr>
        <w:tc>
          <w:tcPr>
            <w:tcW w:w="4680" w:type="dxa"/>
          </w:tcPr>
          <w:p>
            <w:pPr/>
            <w:r>
              <w:t xml:space="preserve">QA to keep</w:t>
            </w:r>
          </w:p>
        </w:tc>
        <w:tc>
          <w:tcPr>
            <w:tcW w:w="4680" w:type="dxa"/>
          </w:tcPr>
          <w:p>
            <w:pPr/>
            <w:r>
              <w:t xml:space="preserve">98% or higher each quarter</w:t>
            </w:r>
          </w:p>
        </w:tc>
      </w:tr>
      <w:tr>
        <w:tc>
          <w:tcPr>
            <w:tcW w:w="4680" w:type="dxa"/>
          </w:tcPr>
          <w:p>
            <w:pPr/>
            <w:r>
              <w:t xml:space="preserve">Critical errors</w:t>
            </w:r>
          </w:p>
        </w:tc>
        <w:tc>
          <w:tcPr>
            <w:tcW w:w="4680" w:type="dxa"/>
          </w:tcPr>
          <w:p>
            <w:pPr/>
            <w:r>
              <w:t xml:space="preserve">Posting to the wrong account; unbalanced batch; claim closed with an open balance</w:t>
            </w:r>
          </w:p>
        </w:tc>
      </w:tr>
    </w:tbl>
    <w:p>
      <w:pPr>
        <w:pStyle w:val="Heading3"/>
      </w:pPr>
      <w:r>
        <w:t xml:space="preserve">C5. Medical-Necessity Report and Documentation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Generating the medical-necessity report with the approved LLM prompt library, reviewing and correcting it against the chart, filing it to the patient hub</w:t>
            </w:r>
          </w:p>
        </w:tc>
      </w:tr>
      <w:tr>
        <w:tc>
          <w:tcPr>
            <w:tcW w:w="4680" w:type="dxa"/>
          </w:tcPr>
          <w:p>
            <w:pPr/>
            <w:r>
              <w:t xml:space="preserve">Prerequisite</w:t>
            </w:r>
          </w:p>
        </w:tc>
        <w:tc>
          <w:tcPr>
            <w:tcW w:w="4680" w:type="dxa"/>
          </w:tcPr>
          <w:p>
            <w:pPr/>
            <w:r>
              <w:t xml:space="preserve">None</w:t>
            </w:r>
          </w:p>
        </w:tc>
      </w:tr>
      <w:tr>
        <w:tc>
          <w:tcPr>
            <w:tcW w:w="4680" w:type="dxa"/>
          </w:tcPr>
          <w:p>
            <w:pPr/>
            <w:r>
              <w:t xml:space="preserve">Competency criteria</w:t>
            </w:r>
          </w:p>
        </w:tc>
        <w:tc>
          <w:tcPr>
            <w:tcW w:w="4680" w:type="dxa"/>
          </w:tcPr>
          <w:p>
            <w:pPr/>
            <w:r>
              <w:t xml:space="preserve">Uses only the current approved prompt version in the approved tool; every fact in the report is in the chart; covers presenting complaint, acuity, workup, treatment and disposition; filed within 1 business day of coding</w:t>
            </w:r>
          </w:p>
        </w:tc>
      </w:tr>
      <w:tr>
        <w:tc>
          <w:tcPr>
            <w:tcW w:w="4680" w:type="dxa"/>
          </w:tcPr>
          <w:p>
            <w:pPr/>
            <w:r>
              <w:t xml:space="preserve">Supervised production</w:t>
            </w:r>
          </w:p>
        </w:tc>
        <w:tc>
          <w:tcPr>
            <w:tcW w:w="4680" w:type="dxa"/>
          </w:tcPr>
          <w:p>
            <w:pPr/>
            <w:r>
              <w:t xml:space="preserve">30 reports</w:t>
            </w:r>
          </w:p>
        </w:tc>
      </w:tr>
      <w:tr>
        <w:tc>
          <w:tcPr>
            <w:tcW w:w="4680" w:type="dxa"/>
          </w:tcPr>
          <w:p>
            <w:pPr/>
            <w:r>
              <w:t xml:space="preserve">Assessment</w:t>
            </w:r>
          </w:p>
        </w:tc>
        <w:tc>
          <w:tcPr>
            <w:tcW w:w="4680" w:type="dxa"/>
          </w:tcPr>
          <w:p>
            <w:pPr/>
            <w:r>
              <w:t xml:space="preserve">Produces reports for 5 charts; the assessor checks each against the chart; zero factual errors allowed</w:t>
            </w:r>
          </w:p>
        </w:tc>
      </w:tr>
      <w:tr>
        <w:tc>
          <w:tcPr>
            <w:tcW w:w="4680" w:type="dxa"/>
          </w:tcPr>
          <w:p>
            <w:pPr/>
            <w:r>
              <w:t xml:space="preserve">QA to earn</w:t>
            </w:r>
          </w:p>
        </w:tc>
        <w:tc>
          <w:tcPr>
            <w:tcW w:w="4680" w:type="dxa"/>
          </w:tcPr>
          <w:p>
            <w:pPr/>
            <w:r>
              <w:t xml:space="preserve">97% or higher, with zero factual errors</w:t>
            </w:r>
          </w:p>
        </w:tc>
      </w:tr>
      <w:tr>
        <w:tc>
          <w:tcPr>
            <w:tcW w:w="4680" w:type="dxa"/>
          </w:tcPr>
          <w:p>
            <w:pPr/>
            <w:r>
              <w:t xml:space="preserve">QA to keep</w:t>
            </w:r>
          </w:p>
        </w:tc>
        <w:tc>
          <w:tcPr>
            <w:tcW w:w="4680" w:type="dxa"/>
          </w:tcPr>
          <w:p>
            <w:pPr/>
            <w:r>
              <w:t xml:space="preserve">96% or higher each quarter</w:t>
            </w:r>
          </w:p>
        </w:tc>
      </w:tr>
      <w:tr>
        <w:tc>
          <w:tcPr>
            <w:tcW w:w="4680" w:type="dxa"/>
          </w:tcPr>
          <w:p>
            <w:pPr/>
            <w:r>
              <w:t xml:space="preserve">Critical errors</w:t>
            </w:r>
          </w:p>
        </w:tc>
        <w:tc>
          <w:tcPr>
            <w:tcW w:w="4680" w:type="dxa"/>
          </w:tcPr>
          <w:p>
            <w:pPr/>
            <w:r>
              <w:t xml:space="preserve">Any statement not supported by the chart; wrong patient; PHI entered into an unapproved tool</w:t>
            </w:r>
          </w:p>
        </w:tc>
      </w:tr>
    </w:tbl>
    <w:p>
      <w:pPr>
        <w:pStyle w:val="Heading2"/>
      </w:pPr>
      <w:r>
        <w:t xml:space="preserve">Advanced badges (2 for L3; A2, A4 and one more for L4)</w:t>
      </w:r>
    </w:p>
    <w:p>
      <w:pPr/>
      <w:r>
        <w:t xml:space="preserve">Advanced badges mark the team's experts; each team needs at least 2 holders of each. They carry stricter review cycles because errors here cost the most.</w:t>
      </w:r>
    </w:p>
    <w:p>
      <w:pPr>
        <w:pStyle w:val="Heading3"/>
      </w:pPr>
      <w:r>
        <w:t xml:space="preserve">A1. Coding (Certified)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ER professional and facility coding: E/M level, procedures, ICD-10, modifiers, claim scrubbing, HCFA and UB-04 preparation for Logistics</w:t>
            </w:r>
          </w:p>
        </w:tc>
      </w:tr>
      <w:tr>
        <w:tc>
          <w:tcPr>
            <w:tcW w:w="4680" w:type="dxa"/>
          </w:tcPr>
          <w:p>
            <w:pPr/>
            <w:r>
              <w:t xml:space="preserve">Prerequisite</w:t>
            </w:r>
          </w:p>
        </w:tc>
        <w:tc>
          <w:tcPr>
            <w:tcW w:w="4680" w:type="dxa"/>
          </w:tcPr>
          <w:p>
            <w:pPr/>
            <w:r>
              <w:t xml:space="preserve">Active coding certification (CPC, COC or CCS); C5</w:t>
            </w:r>
          </w:p>
        </w:tc>
      </w:tr>
      <w:tr>
        <w:tc>
          <w:tcPr>
            <w:tcW w:w="4680" w:type="dxa"/>
          </w:tcPr>
          <w:p>
            <w:pPr/>
            <w:r>
              <w:t xml:space="preserve">Competency criteria</w:t>
            </w:r>
          </w:p>
        </w:tc>
        <w:tc>
          <w:tcPr>
            <w:tcW w:w="4680" w:type="dxa"/>
          </w:tcPr>
          <w:p>
            <w:pPr/>
            <w:r>
              <w:t xml:space="preserve">E/M level supported by the documentation; no unsupported level or code; correct modifiers; scrubbed claim passes edits on the first try; about 50 charts per coding day at full productivity</w:t>
            </w:r>
          </w:p>
        </w:tc>
      </w:tr>
      <w:tr>
        <w:tc>
          <w:tcPr>
            <w:tcW w:w="4680" w:type="dxa"/>
          </w:tcPr>
          <w:p>
            <w:pPr/>
            <w:r>
              <w:t xml:space="preserve">Supervised production</w:t>
            </w:r>
          </w:p>
        </w:tc>
        <w:tc>
          <w:tcPr>
            <w:tcW w:w="4680" w:type="dxa"/>
          </w:tcPr>
          <w:p>
            <w:pPr/>
            <w:r>
              <w:t xml:space="preserve">200 charts: 100% review of the first 50, then a 20% sample</w:t>
            </w:r>
          </w:p>
        </w:tc>
      </w:tr>
      <w:tr>
        <w:tc>
          <w:tcPr>
            <w:tcW w:w="4680" w:type="dxa"/>
          </w:tcPr>
          <w:p>
            <w:pPr/>
            <w:r>
              <w:t xml:space="preserve">Assessment</w:t>
            </w:r>
          </w:p>
        </w:tc>
        <w:tc>
          <w:tcPr>
            <w:tcW w:w="4680" w:type="dxa"/>
          </w:tcPr>
          <w:p>
            <w:pPr/>
            <w:r>
              <w:t xml:space="preserve">Blind coding test of 50 charts; 95% or higher accuracy</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95% or higher on the QA department's audit sample (5–10% of charts), </w:t>
            </w:r>
            <w:r>
              <w:rPr>
                <w:b/>
              </w:rPr>
              <w:t xml:space="preserve">reviewed monthly</w:t>
            </w:r>
            <w:r>
              <w:t xml:space="preserve">; certification kept active</w:t>
            </w:r>
          </w:p>
        </w:tc>
      </w:tr>
      <w:tr>
        <w:tc>
          <w:tcPr>
            <w:tcW w:w="4680" w:type="dxa"/>
          </w:tcPr>
          <w:p>
            <w:pPr/>
            <w:r>
              <w:t xml:space="preserve">Critical errors</w:t>
            </w:r>
          </w:p>
        </w:tc>
        <w:tc>
          <w:tcPr>
            <w:tcW w:w="4680" w:type="dxa"/>
          </w:tcPr>
          <w:p>
            <w:pPr/>
            <w:r>
              <w:t xml:space="preserve">Code or level not supported by the documentation; wrong patient or date of service</w:t>
            </w:r>
          </w:p>
        </w:tc>
      </w:tr>
    </w:tbl>
    <w:p>
      <w:pPr>
        <w:pStyle w:val="Heading3"/>
      </w:pPr>
      <w:r>
        <w:t xml:space="preserve">A2. IDR Packet and Offer Strategy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Initiation and batching decisions, tickets to the US Gateway Desk, IDRE selection decisions, choosing offer amounts, writing the packet, logging determinations, reviewing outcomes</w:t>
            </w:r>
          </w:p>
        </w:tc>
      </w:tr>
      <w:tr>
        <w:tc>
          <w:tcPr>
            <w:tcW w:w="4680" w:type="dxa"/>
          </w:tcPr>
          <w:p>
            <w:pPr/>
            <w:r>
              <w:t xml:space="preserve">Prerequisite</w:t>
            </w:r>
          </w:p>
        </w:tc>
        <w:tc>
          <w:tcPr>
            <w:tcW w:w="4680" w:type="dxa"/>
          </w:tcPr>
          <w:p>
            <w:pPr/>
            <w:r>
              <w:t xml:space="preserve">C2 and C5</w:t>
            </w:r>
          </w:p>
        </w:tc>
      </w:tr>
      <w:tr>
        <w:tc>
          <w:tcPr>
            <w:tcW w:w="4680" w:type="dxa"/>
          </w:tcPr>
          <w:p>
            <w:pPr/>
            <w:r>
              <w:t xml:space="preserve">Competency criteria</w:t>
            </w:r>
          </w:p>
        </w:tc>
        <w:tc>
          <w:tcPr>
            <w:tcW w:w="4680" w:type="dxa"/>
          </w:tcPr>
          <w:p>
            <w:pPr/>
            <w:r>
              <w:t xml:space="preserve">Batching rules applied correctly (same payer, same or similar service codes, within the allowed window); offers follow the pricing guide; packet answers the QPA and the additional factors (acuity, complexity, good-faith negotiation); US desk tickets complete and correct on the first pass; zero missed deadlines</w:t>
            </w:r>
          </w:p>
        </w:tc>
      </w:tr>
      <w:tr>
        <w:tc>
          <w:tcPr>
            <w:tcW w:w="4680" w:type="dxa"/>
          </w:tcPr>
          <w:p>
            <w:pPr/>
            <w:r>
              <w:t xml:space="preserve">Supervised production</w:t>
            </w:r>
          </w:p>
        </w:tc>
        <w:tc>
          <w:tcPr>
            <w:tcW w:w="4680" w:type="dxa"/>
          </w:tcPr>
          <w:p>
            <w:pPr/>
            <w:r>
              <w:t xml:space="preserve">20 batched disputes end to end, covering at least 160 codes</w:t>
            </w:r>
          </w:p>
        </w:tc>
      </w:tr>
      <w:tr>
        <w:tc>
          <w:tcPr>
            <w:tcW w:w="4680" w:type="dxa"/>
          </w:tcPr>
          <w:p>
            <w:pPr/>
            <w:r>
              <w:t xml:space="preserve">Assessment</w:t>
            </w:r>
          </w:p>
        </w:tc>
        <w:tc>
          <w:tcPr>
            <w:tcW w:w="4680" w:type="dxa"/>
          </w:tcPr>
          <w:p>
            <w:pPr/>
            <w:r>
              <w:t xml:space="preserve">Case study: full packet and written offer rationale for one batched dispute; reviewed by a panel of 2 L4 Senior Specialists II or Badge Panel assessors</w:t>
            </w:r>
          </w:p>
        </w:tc>
      </w:tr>
      <w:tr>
        <w:tc>
          <w:tcPr>
            <w:tcW w:w="4680" w:type="dxa"/>
          </w:tcPr>
          <w:p>
            <w:pPr/>
            <w:r>
              <w:t xml:space="preserve">QA to earn</w:t>
            </w:r>
          </w:p>
        </w:tc>
        <w:tc>
          <w:tcPr>
            <w:tcW w:w="4680" w:type="dxa"/>
          </w:tcPr>
          <w:p>
            <w:pPr/>
            <w:r>
              <w:t xml:space="preserve">97% or higher, and 98% or higher first-pass ticket accuracy</w:t>
            </w:r>
          </w:p>
        </w:tc>
      </w:tr>
      <w:tr>
        <w:tc>
          <w:tcPr>
            <w:tcW w:w="4680" w:type="dxa"/>
          </w:tcPr>
          <w:p>
            <w:pPr/>
            <w:r>
              <w:t xml:space="preserve">QA to keep</w:t>
            </w:r>
          </w:p>
        </w:tc>
        <w:tc>
          <w:tcPr>
            <w:tcW w:w="4680" w:type="dxa"/>
          </w:tcPr>
          <w:p>
            <w:pPr/>
            <w:r>
              <w:t xml:space="preserve">96% or higher and 97% or higher first-pass ticket accuracy, </w:t>
            </w:r>
            <w:r>
              <w:rPr>
                <w:b/>
              </w:rPr>
              <w:t xml:space="preserve">reviewed monthly</w:t>
            </w:r>
          </w:p>
        </w:tc>
      </w:tr>
      <w:tr>
        <w:tc>
          <w:tcPr>
            <w:tcW w:w="4680" w:type="dxa"/>
          </w:tcPr>
          <w:p>
            <w:pPr/>
            <w:r>
              <w:t xml:space="preserve">Critical errors</w:t>
            </w:r>
          </w:p>
        </w:tc>
        <w:tc>
          <w:tcPr>
            <w:tcW w:w="4680" w:type="dxa"/>
          </w:tcPr>
          <w:p>
            <w:pPr/>
            <w:r>
              <w:t xml:space="preserve">Missed initiation, selection or offer deadline; ticket that causes a wrong submission on the gateway; offer outside the pricing guide without approval</w:t>
            </w:r>
          </w:p>
        </w:tc>
      </w:tr>
    </w:tbl>
    <w:p>
      <w:pPr>
        <w:pStyle w:val="Heading3"/>
      </w:pPr>
      <w:r>
        <w:t xml:space="preserve">A3. MVA and Adjuster Negotiation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Auto-carrier claims, PIP and MedPay, liability claims, attorney and lien correspondence, settlement negotiation with adjusters</w:t>
            </w:r>
          </w:p>
        </w:tc>
      </w:tr>
      <w:tr>
        <w:tc>
          <w:tcPr>
            <w:tcW w:w="4680" w:type="dxa"/>
          </w:tcPr>
          <w:p>
            <w:pPr/>
            <w:r>
              <w:t xml:space="preserve">Prerequisite</w:t>
            </w:r>
          </w:p>
        </w:tc>
        <w:tc>
          <w:tcPr>
            <w:tcW w:w="4680" w:type="dxa"/>
          </w:tcPr>
          <w:p>
            <w:pPr/>
            <w:r>
              <w:t xml:space="preserve">C1 and C3</w:t>
            </w:r>
          </w:p>
        </w:tc>
      </w:tr>
      <w:tr>
        <w:tc>
          <w:tcPr>
            <w:tcW w:w="4680" w:type="dxa"/>
          </w:tcPr>
          <w:p>
            <w:pPr/>
            <w:r>
              <w:t xml:space="preserve">Competency criteria</w:t>
            </w:r>
          </w:p>
        </w:tc>
        <w:tc>
          <w:tcPr>
            <w:tcW w:w="4680" w:type="dxa"/>
          </w:tcPr>
          <w:p>
            <w:pPr/>
            <w:r>
              <w:t xml:space="preserve">Identifies the order of coverage before billing; files within carrier limits; documents every offer and counter-offer; settles within decision rights; releases records only with valid authorization</w:t>
            </w:r>
          </w:p>
        </w:tc>
      </w:tr>
      <w:tr>
        <w:tc>
          <w:tcPr>
            <w:tcW w:w="4680" w:type="dxa"/>
          </w:tcPr>
          <w:p>
            <w:pPr/>
            <w:r>
              <w:t xml:space="preserve">Supervised production</w:t>
            </w:r>
          </w:p>
        </w:tc>
        <w:tc>
          <w:tcPr>
            <w:tcW w:w="4680" w:type="dxa"/>
          </w:tcPr>
          <w:p>
            <w:pPr/>
            <w:r>
              <w:t xml:space="preserve">15 settlements</w:t>
            </w:r>
          </w:p>
        </w:tc>
      </w:tr>
      <w:tr>
        <w:tc>
          <w:tcPr>
            <w:tcW w:w="4680" w:type="dxa"/>
          </w:tcPr>
          <w:p>
            <w:pPr/>
            <w:r>
              <w:t xml:space="preserve">Assessment</w:t>
            </w:r>
          </w:p>
        </w:tc>
        <w:tc>
          <w:tcPr>
            <w:tcW w:w="4680" w:type="dxa"/>
          </w:tcPr>
          <w:p>
            <w:pPr/>
            <w:r>
              <w:t xml:space="preserve">Negotiation role-play with the assessor acting as the adjuster; review of 3 closed case files</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Settlement below decision rights without approval; records released without authorization</w:t>
            </w:r>
          </w:p>
        </w:tc>
      </w:tr>
    </w:tbl>
    <w:p>
      <w:pPr>
        <w:pStyle w:val="Heading3"/>
      </w:pPr>
      <w:r>
        <w:t xml:space="preserve">A4. Payer Strategy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Owning the playbook for 1–2 payers: QPA patterns, negotiation behavior, IDRE outcome trends, recommended offer ranges, escalation contacts; presenting monthly to the specialty group</w:t>
            </w:r>
          </w:p>
        </w:tc>
      </w:tr>
      <w:tr>
        <w:tc>
          <w:tcPr>
            <w:tcW w:w="4680" w:type="dxa"/>
          </w:tcPr>
          <w:p>
            <w:pPr/>
            <w:r>
              <w:t xml:space="preserve">Prerequisite</w:t>
            </w:r>
          </w:p>
        </w:tc>
        <w:tc>
          <w:tcPr>
            <w:tcW w:w="4680" w:type="dxa"/>
          </w:tcPr>
          <w:p>
            <w:pPr/>
            <w:r>
              <w:t xml:space="preserve">A2 and L2 or above</w:t>
            </w:r>
          </w:p>
        </w:tc>
      </w:tr>
      <w:tr>
        <w:tc>
          <w:tcPr>
            <w:tcW w:w="4680" w:type="dxa"/>
          </w:tcPr>
          <w:p>
            <w:pPr/>
            <w:r>
              <w:t xml:space="preserve">Competency criteria</w:t>
            </w:r>
          </w:p>
        </w:tc>
        <w:tc>
          <w:tcPr>
            <w:tcW w:w="4680" w:type="dxa"/>
          </w:tcPr>
          <w:p>
            <w:pPr/>
            <w:r>
              <w:t xml:space="preserve">Playbook updated at least monthly; every recommendation backed by outcome data; measurable change in Net Recovery on the payer within 2 quarters</w:t>
            </w:r>
          </w:p>
        </w:tc>
      </w:tr>
      <w:tr>
        <w:tc>
          <w:tcPr>
            <w:tcW w:w="4680" w:type="dxa"/>
          </w:tcPr>
          <w:p>
            <w:pPr/>
            <w:r>
              <w:t xml:space="preserve">Supervised production</w:t>
            </w:r>
          </w:p>
        </w:tc>
        <w:tc>
          <w:tcPr>
            <w:tcW w:w="4680" w:type="dxa"/>
          </w:tcPr>
          <w:p>
            <w:pPr/>
            <w:r>
              <w:t xml:space="preserve">Co-own one payer playbook with an L4 Senior Specialist II for 1 quarter</w:t>
            </w:r>
          </w:p>
        </w:tc>
      </w:tr>
      <w:tr>
        <w:tc>
          <w:tcPr>
            <w:tcW w:w="4680" w:type="dxa"/>
          </w:tcPr>
          <w:p>
            <w:pPr/>
            <w:r>
              <w:t xml:space="preserve">Assessment</w:t>
            </w:r>
          </w:p>
        </w:tc>
        <w:tc>
          <w:tcPr>
            <w:tcW w:w="4680" w:type="dxa"/>
          </w:tcPr>
          <w:p>
            <w:pPr/>
            <w:r>
              <w:t xml:space="preserve">Presents the playbook to the Badge Panel and defends its recommendations</w:t>
            </w:r>
          </w:p>
        </w:tc>
      </w:tr>
      <w:tr>
        <w:tc>
          <w:tcPr>
            <w:tcW w:w="4680" w:type="dxa"/>
          </w:tcPr>
          <w:p>
            <w:pPr/>
            <w:r>
              <w:t xml:space="preserve">QA to earn</w:t>
            </w:r>
          </w:p>
        </w:tc>
        <w:tc>
          <w:tcPr>
            <w:tcW w:w="4680" w:type="dxa"/>
          </w:tcPr>
          <w:p>
            <w:pPr/>
            <w:r>
              <w:t xml:space="preserve">90% or higher on the panel's playbook scorecard</w:t>
            </w:r>
          </w:p>
        </w:tc>
      </w:tr>
      <w:tr>
        <w:tc>
          <w:tcPr>
            <w:tcW w:w="4680" w:type="dxa"/>
          </w:tcPr>
          <w:p>
            <w:pPr/>
            <w:r>
              <w:t xml:space="preserve">QA to keep</w:t>
            </w:r>
          </w:p>
        </w:tc>
        <w:tc>
          <w:tcPr>
            <w:tcW w:w="4680" w:type="dxa"/>
          </w:tcPr>
          <w:p>
            <w:pPr/>
            <w:r>
              <w:t xml:space="preserve">90% or higher on the quarterly playbook review; no section older than 45 days</w:t>
            </w:r>
          </w:p>
        </w:tc>
      </w:tr>
      <w:tr>
        <w:tc>
          <w:tcPr>
            <w:tcW w:w="4680" w:type="dxa"/>
          </w:tcPr>
          <w:p>
            <w:pPr/>
            <w:r>
              <w:t xml:space="preserve">Critical errors</w:t>
            </w:r>
          </w:p>
        </w:tc>
        <w:tc>
          <w:tcPr>
            <w:tcW w:w="4680" w:type="dxa"/>
          </w:tcPr>
          <w:p>
            <w:pPr/>
            <w:r>
              <w:t xml:space="preserve">Recommendation contradicting the outcome data; playbook shared outside the team</w:t>
            </w:r>
          </w:p>
        </w:tc>
      </w:tr>
    </w:tbl>
    <w:p>
      <w:pPr>
        <w:pStyle w:val="Heading2"/>
      </w:pPr>
      <w:r>
        <w:t xml:space="preserve">Keeping, suspending and covering badges</w:t>
      </w:r>
    </w:p>
    <w:p>
      <w:pPr/>
      <w:r>
        <w:t xml:space="preserve">A badge is kept only while its QA holds: one review below the bar triggers coaching, and two in a row suspend it. Every June 30 and December 31, a semiannual KPI review decides which badges each member keeps. Consequences start with the December 2027 review.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Situation</w:t>
            </w:r>
          </w:p>
        </w:tc>
        <w:tc>
          <w:tcPr>
            <w:tcW w:w="3120" w:type="dxa"/>
            <w:shd w:val="clear" w:color="auto" w:fill="F2F2F2"/>
          </w:tcPr>
          <w:p>
            <w:pPr/>
            <w:r>
              <w:t xml:space="preserve">What happens</w:t>
            </w:r>
          </w:p>
        </w:tc>
        <w:tc>
          <w:tcPr>
            <w:tcW w:w="3120" w:type="dxa"/>
            <w:shd w:val="clear" w:color="auto" w:fill="F2F2F2"/>
          </w:tcPr>
          <w:p>
            <w:pPr/>
            <w:r>
              <w:t xml:space="preserve">Who decides</w:t>
            </w:r>
          </w:p>
        </w:tc>
      </w:tr>
      <w:tr>
        <w:tc>
          <w:tcPr>
            <w:tcW w:w="3120" w:type="dxa"/>
          </w:tcPr>
          <w:p>
            <w:pPr/>
            <w:r>
              <w:t xml:space="preserve">One review below the keep threshold</w:t>
            </w:r>
          </w:p>
        </w:tc>
        <w:tc>
          <w:tcPr>
            <w:tcW w:w="3120" w:type="dxa"/>
          </w:tcPr>
          <w:p>
            <w:pPr/>
            <w:r>
              <w:t xml:space="preserve">Written coaching plan; 100% review of that badge's work for 30 days</w:t>
            </w:r>
          </w:p>
        </w:tc>
        <w:tc>
          <w:tcPr>
            <w:tcW w:w="3120" w:type="dxa"/>
          </w:tcPr>
          <w:p>
            <w:pPr/>
            <w:r>
              <w:t xml:space="preserve">TL</w:t>
            </w:r>
          </w:p>
        </w:tc>
      </w:tr>
      <w:tr>
        <w:tc>
          <w:tcPr>
            <w:tcW w:w="3120" w:type="dxa"/>
          </w:tcPr>
          <w:p>
            <w:pPr/>
            <w:r>
              <w:t xml:space="preserve">Two consecutive reviews below the threshold</w:t>
            </w:r>
          </w:p>
        </w:tc>
        <w:tc>
          <w:tcPr>
            <w:tcW w:w="3120" w:type="dxa"/>
          </w:tcPr>
          <w:p>
            <w:pPr/>
            <w:r>
              <w:t xml:space="preserve">Badge suspended; that work routes to other holders in the team; re-earn it in the next test window, after half the original supervised case count</w:t>
            </w:r>
          </w:p>
        </w:tc>
        <w:tc>
          <w:tcPr>
            <w:tcW w:w="3120" w:type="dxa"/>
          </w:tcPr>
          <w:p>
            <w:pPr/>
            <w:r>
              <w:t xml:space="preserve">Academy chair, with the team manager informed</w:t>
            </w:r>
          </w:p>
        </w:tc>
      </w:tr>
      <w:tr>
        <w:tc>
          <w:tcPr>
            <w:tcW w:w="3120" w:type="dxa"/>
          </w:tcPr>
          <w:p>
            <w:pPr/>
            <w:r>
              <w:t xml:space="preserve">Any critical error</w:t>
            </w:r>
          </w:p>
        </w:tc>
        <w:tc>
          <w:tcPr>
            <w:tcW w:w="3120" w:type="dxa"/>
          </w:tcPr>
          <w:p>
            <w:pPr/>
            <w:r>
              <w:t xml:space="preserve">Case reviewed within 2 business days; a second critical error within 90 days counts as a failed review</w:t>
            </w:r>
          </w:p>
        </w:tc>
        <w:tc>
          <w:tcPr>
            <w:tcW w:w="3120" w:type="dxa"/>
          </w:tcPr>
          <w:p>
            <w:pPr/>
            <w:r>
              <w:t xml:space="preserve">TL, escalated to manager</w:t>
            </w:r>
          </w:p>
        </w:tc>
      </w:tr>
      <w:tr>
        <w:tc>
          <w:tcPr>
            <w:tcW w:w="3120" w:type="dxa"/>
          </w:tcPr>
          <w:p>
            <w:pPr/>
            <w:r>
              <w:t xml:space="preserve">Semiannual review (June 30 and December 31)</w:t>
            </w:r>
          </w:p>
        </w:tc>
        <w:tc>
          <w:tcPr>
            <w:tcW w:w="3120" w:type="dxa"/>
          </w:tcPr>
          <w:p>
            <w:pPr/>
            <w:r>
              <w:t xml:space="preserve">A badge is lost if, over the half-year, its QA is below the keep threshold, it has 2 or more critical errors, or it was suspended and not re-earned</w:t>
            </w:r>
          </w:p>
        </w:tc>
        <w:tc>
          <w:tcPr>
            <w:tcW w:w="3120" w:type="dxa"/>
          </w:tcPr>
          <w:p>
            <w:pPr/>
            <w:r>
              <w:t xml:space="preserve">Academy Committee</w:t>
            </w:r>
          </w:p>
        </w:tc>
      </w:tr>
      <w:tr>
        <w:tc>
          <w:tcPr>
            <w:tcW w:w="3120" w:type="dxa"/>
          </w:tcPr>
          <w:p>
            <w:pPr/>
            <w:r>
              <w:t xml:space="preserve">25% or more of badges lost in a half-year</w:t>
            </w:r>
          </w:p>
        </w:tc>
        <w:tc>
          <w:tcPr>
            <w:tcW w:w="3120" w:type="dxa"/>
          </w:tcPr>
          <w:p>
            <w:pPr/>
            <w:r>
              <w:t xml:space="preserve">90-day probation and coaching: written plan, 100% review of the affected work, weekly check-ins, re-test in the next window</w:t>
            </w:r>
          </w:p>
        </w:tc>
        <w:tc>
          <w:tcPr>
            <w:tcW w:w="3120" w:type="dxa"/>
          </w:tcPr>
          <w:p>
            <w:pPr/>
            <w:r>
              <w:t xml:space="preserve">Team manager and Academy chair</w:t>
            </w:r>
          </w:p>
        </w:tc>
      </w:tr>
      <w:tr>
        <w:tc>
          <w:tcPr>
            <w:tcW w:w="3120" w:type="dxa"/>
          </w:tcPr>
          <w:p>
            <w:pPr/>
            <w:r>
              <w:t xml:space="preserve">50% or more of badges lost in a half-year</w:t>
            </w:r>
          </w:p>
        </w:tc>
        <w:tc>
          <w:tcPr>
            <w:tcW w:w="3120" w:type="dxa"/>
          </w:tcPr>
          <w:p>
            <w:pPr/>
            <w:r>
              <w:t xml:space="preserve">Termination through the HR process, with one appeal (subject to HR and legal review)</w:t>
            </w:r>
          </w:p>
        </w:tc>
        <w:tc>
          <w:tcPr>
            <w:tcW w:w="3120" w:type="dxa"/>
          </w:tcPr>
          <w:p>
            <w:pPr/>
            <w:r>
              <w:t xml:space="preserve">Director, on the committee's recommendation</w:t>
            </w:r>
          </w:p>
        </w:tc>
      </w:tr>
      <w:tr>
        <w:tc>
          <w:tcPr>
            <w:tcW w:w="3120" w:type="dxa"/>
          </w:tcPr>
          <w:p>
            <w:pPr/>
            <w:r>
              <w:t xml:space="preserve">Badge needed for the current level is lost</w:t>
            </w:r>
          </w:p>
        </w:tc>
        <w:tc>
          <w:tcPr>
            <w:tcW w:w="3120" w:type="dxa"/>
          </w:tcPr>
          <w:p>
            <w:pPr/>
            <w:r>
              <w:t xml:space="preserve">Level reset at the next quarterly window; pay protected</w:t>
            </w:r>
          </w:p>
        </w:tc>
        <w:tc>
          <w:tcPr>
            <w:tcW w:w="3120" w:type="dxa"/>
          </w:tcPr>
          <w:p>
            <w:pPr/>
            <w:r>
              <w:t xml:space="preserve">Team manager and Academy chair</w:t>
            </w:r>
          </w:p>
        </w:tc>
      </w:tr>
      <w:tr>
        <w:tc>
          <w:tcPr>
            <w:tcW w:w="3120" w:type="dxa"/>
          </w:tcPr>
          <w:p>
            <w:pPr/>
            <w:r>
              <w:t xml:space="preserve">Badge unused for 6 months</w:t>
            </w:r>
          </w:p>
        </w:tc>
        <w:tc>
          <w:tcPr>
            <w:tcW w:w="3120" w:type="dxa"/>
          </w:tcPr>
          <w:p>
            <w:pPr/>
            <w:r>
              <w:t xml:space="preserve">Refresher module and 10 supervised cases before routing resumes</w:t>
            </w:r>
          </w:p>
        </w:tc>
        <w:tc>
          <w:tcPr>
            <w:tcW w:w="3120" w:type="dxa"/>
          </w:tcPr>
          <w:p>
            <w:pPr/>
            <w:r>
              <w:t xml:space="preserve">Academy chair</w:t>
            </w:r>
          </w:p>
        </w:tc>
      </w:tr>
    </w:tbl>
    <w:p>
      <w:pPr/>
      <w:r>
        <w:rPr>
          <w:b/>
        </w:rPr>
        <w:t xml:space="preserve">Team coverage rule:</w:t>
      </w:r>
      <w:r>
        <w:t xml:space="preserve"> every team keeps at least 2 holders of every core and advanced badge. The Academy owner publishes a team badge grid monthly; a gap of more than 30 days goes on the manager's scorecard and sets that team's training priorities.</w:t>
      </w:r>
    </w:p>
    <w:p>
      <w:pPr>
        <w:pStyle w:val="Heading2"/>
      </w:pPr>
      <w:r>
        <w:t xml:space="preserve">Transition period, January–March 2027</w:t>
      </w:r>
    </w:p>
    <w:p>
      <w:pPr/>
      <w:r>
        <w:t xml:space="preserve">Current staff start at the default level for their role: Seniors at L3, and Negotiators, Coders and Billers at L2. Each role is ranked on 2026 KPIs, and levels take effect on April 1, 2027. The full rules are in the Badges, Levels and Transition appendix.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 (per role)</w:t>
            </w:r>
          </w:p>
        </w:tc>
        <w:tc>
          <w:tcPr>
            <w:tcW w:w="3120" w:type="dxa"/>
            <w:shd w:val="clear" w:color="auto" w:fill="F2F2F2"/>
          </w:tcPr>
          <w:p>
            <w:pPr/>
            <w:r>
              <w:t xml:space="preserve">What happens</w:t>
            </w:r>
          </w:p>
        </w:tc>
        <w:tc>
          <w:tcPr>
            <w:tcW w:w="3120" w:type="dxa"/>
            <w:shd w:val="clear" w:color="auto" w:fill="F2F2F2"/>
          </w:tcPr>
          <w:p>
            <w:pPr/>
            <w:r>
              <w:t xml:space="preserve">Result</w:t>
            </w:r>
          </w:p>
        </w:tc>
      </w:tr>
      <w:tr>
        <w:tc>
          <w:tcPr>
            <w:tcW w:w="3120" w:type="dxa"/>
          </w:tcPr>
          <w:p>
            <w:pPr/>
            <w:r>
              <w:t xml:space="preserve">Top 10%</w:t>
            </w:r>
          </w:p>
        </w:tc>
        <w:tc>
          <w:tcPr>
            <w:tcW w:w="3120" w:type="dxa"/>
          </w:tcPr>
          <w:p>
            <w:pPr/>
            <w:r>
              <w:t xml:space="preserve">Earn their role badges automatically, with no tests</w:t>
            </w:r>
          </w:p>
        </w:tc>
        <w:tc>
          <w:tcPr>
            <w:tcW w:w="3120" w:type="dxa"/>
          </w:tcPr>
          <w:p>
            <w:pPr/>
            <w:r>
              <w:t xml:space="preserve">Default level confirmed</w:t>
            </w:r>
          </w:p>
        </w:tc>
      </w:tr>
      <w:tr>
        <w:tc>
          <w:tcPr>
            <w:tcW w:w="3120" w:type="dxa"/>
          </w:tcPr>
          <w:p>
            <w:pPr/>
            <w:r>
              <w:t xml:space="preserve">Middle 80%</w:t>
            </w:r>
          </w:p>
        </w:tc>
        <w:tc>
          <w:tcPr>
            <w:tcW w:w="3120" w:type="dxa"/>
          </w:tcPr>
          <w:p>
            <w:pPr/>
            <w:r>
              <w:t xml:space="preserve">Optional skill assessment in January; 3 months to pass their role badge tests (February or March window)</w:t>
            </w:r>
          </w:p>
        </w:tc>
        <w:tc>
          <w:tcPr>
            <w:tcW w:w="3120" w:type="dxa"/>
          </w:tcPr>
          <w:p>
            <w:pPr/>
            <w:r>
              <w:t xml:space="preserve">Pass: confirmed. Fail: one level down. Pass the next level's test: one level up</w:t>
            </w:r>
          </w:p>
        </w:tc>
      </w:tr>
      <w:tr>
        <w:tc>
          <w:tcPr>
            <w:tcW w:w="3120" w:type="dxa"/>
          </w:tcPr>
          <w:p>
            <w:pPr/>
            <w:r>
              <w:t xml:space="preserve">Bottom 10%</w:t>
            </w:r>
          </w:p>
        </w:tc>
        <w:tc>
          <w:tcPr>
            <w:tcW w:w="3120" w:type="dxa"/>
          </w:tcPr>
          <w:p>
            <w:pPr/>
            <w:r>
              <w:t xml:space="preserve">Enrolled in the Academy and placed at L1</w:t>
            </w:r>
          </w:p>
        </w:tc>
        <w:tc>
          <w:tcPr>
            <w:tcW w:w="3120" w:type="dxa"/>
          </w:tcPr>
          <w:p>
            <w:pPr/>
            <w:r>
              <w:t xml:space="preserve">Can sit the skill assessment in any window to return to L2</w:t>
            </w:r>
          </w:p>
        </w:tc>
      </w:tr>
    </w:tbl>
    <w:p>
      <w:pPr/>
      <w:r>
        <w:t xml:space="preserve">Role badges: Negotiator C2, A2, C5. Coder A1 (if certified), C5. Biller C1, C3, C4, C5, plus A3 for MVA settlements. No one's pay goes down, and anyone moving up a level gets a guaranteed raise.</w:t>
      </w:r>
    </w:p>
    <w:p>
      <w:pPr>
        <w:pStyle w:val="Heading2"/>
      </w:pPr>
      <w:r>
        <w:t xml:space="preserve">Salary bands by level</w:t>
      </w:r>
    </w:p>
    <w:p>
      <w:pPr/>
      <w:r>
        <w:t xml:space="preserve">Base pay follows level, not individual badges: badges move a person up a level, and the level sets the band. Paying per badge would reward collecting badges the team doesn't need.</w:t>
      </w:r>
    </w:p>
    <w:p>
      <w:pPr/>
      <w:r>
        <w:t xml:space="preserve">Bands are in </w:t>
      </w:r>
      <w:r>
        <w:rPr>
          <w:b/>
        </w:rPr>
        <w:t xml:space="preserve">USD per month</w:t>
      </w:r>
      <w:r>
        <w:t xml:space="preserve">, built from current pay: new recruits at $1,000–1,100 and experienced staff at $1,300–1,800. Team leads stay at </w:t>
      </w:r>
      <w:r>
        <w:rPr>
          <w:b/>
        </w:rPr>
        <w:t xml:space="preserve">$1,400–2,000</w:t>
      </w:r>
      <w:r>
        <w:t xml:space="preserve"> and managers at </w:t>
      </w:r>
      <w:r>
        <w:rPr>
          <w:b/>
        </w:rPr>
        <w:t xml:space="preserve">$2,000–3,000</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Level</w:t>
            </w:r>
          </w:p>
        </w:tc>
        <w:tc>
          <w:tcPr>
            <w:tcW w:w="1560" w:type="dxa"/>
            <w:shd w:val="clear" w:color="auto" w:fill="F2F2F2"/>
          </w:tcPr>
          <w:p>
            <w:pPr/>
            <w:r>
              <w:t xml:space="preserve">Band min (USD/month)</w:t>
            </w:r>
          </w:p>
        </w:tc>
        <w:tc>
          <w:tcPr>
            <w:tcW w:w="1560" w:type="dxa"/>
            <w:shd w:val="clear" w:color="auto" w:fill="F2F2F2"/>
          </w:tcPr>
          <w:p>
            <w:pPr/>
            <w:r>
              <w:t xml:space="preserve">Midpoint</w:t>
            </w:r>
          </w:p>
        </w:tc>
        <w:tc>
          <w:tcPr>
            <w:tcW w:w="1560" w:type="dxa"/>
            <w:shd w:val="clear" w:color="auto" w:fill="F2F2F2"/>
          </w:tcPr>
          <w:p>
            <w:pPr/>
            <w:r>
              <w:t xml:space="preserve">Band max</w:t>
            </w:r>
          </w:p>
        </w:tc>
        <w:tc>
          <w:tcPr>
            <w:tcW w:w="1560" w:type="dxa"/>
            <w:shd w:val="clear" w:color="auto" w:fill="F2F2F2"/>
          </w:tcPr>
          <w:p>
            <w:pPr/>
            <w:r>
              <w:t xml:space="preserve">Midpoint gap to level below</w:t>
            </w:r>
          </w:p>
        </w:tc>
        <w:tc>
          <w:tcPr>
            <w:tcW w:w="1560" w:type="dxa"/>
            <w:shd w:val="clear" w:color="auto" w:fill="F2F2F2"/>
          </w:tcPr>
          <w:p>
            <w:pPr/>
            <w:r>
              <w:t xml:space="preserve">Where current staff sit</w:t>
            </w:r>
          </w:p>
        </w:tc>
      </w:tr>
      <w:tr>
        <w:tc>
          <w:tcPr>
            <w:tcW w:w="1560" w:type="dxa"/>
          </w:tcPr>
          <w:p>
            <w:pPr/>
            <w:r>
              <w:t xml:space="preserve">L1 RCM Specialist I</w:t>
            </w:r>
          </w:p>
        </w:tc>
        <w:tc>
          <w:tcPr>
            <w:tcW w:w="1560" w:type="dxa"/>
          </w:tcPr>
          <w:p>
            <w:pPr/>
            <w:r>
              <w:t xml:space="preserve">1,000</w:t>
            </w:r>
          </w:p>
        </w:tc>
        <w:tc>
          <w:tcPr>
            <w:tcW w:w="1560" w:type="dxa"/>
          </w:tcPr>
          <w:p>
            <w:pPr/>
            <w:r>
              <w:t xml:space="preserve">1,150</w:t>
            </w:r>
          </w:p>
        </w:tc>
        <w:tc>
          <w:tcPr>
            <w:tcW w:w="1560" w:type="dxa"/>
          </w:tcPr>
          <w:p>
            <w:pPr/>
            <w:r>
              <w:t xml:space="preserve">1,300</w:t>
            </w:r>
          </w:p>
        </w:tc>
        <w:tc>
          <w:tcPr>
            <w:tcW w:w="1560" w:type="dxa"/>
          </w:tcPr>
          <w:p>
            <w:pPr/>
            <w:r>
              <w:t xml:space="preserve">—</w:t>
            </w:r>
          </w:p>
        </w:tc>
        <w:tc>
          <w:tcPr>
            <w:tcW w:w="1560" w:type="dxa"/>
          </w:tcPr>
          <w:p>
            <w:pPr/>
            <w:r>
              <w:t xml:space="preserve">New recruits ($1,000–1,100) enter in the lower half</w:t>
            </w:r>
          </w:p>
        </w:tc>
      </w:tr>
      <w:tr>
        <w:tc>
          <w:tcPr>
            <w:tcW w:w="1560" w:type="dxa"/>
          </w:tcPr>
          <w:p>
            <w:pPr/>
            <w:r>
              <w:t xml:space="preserve">L2 RCM Specialist II</w:t>
            </w:r>
          </w:p>
        </w:tc>
        <w:tc>
          <w:tcPr>
            <w:tcW w:w="1560" w:type="dxa"/>
          </w:tcPr>
          <w:p>
            <w:pPr/>
            <w:r>
              <w:t xml:space="preserve">1,200</w:t>
            </w:r>
          </w:p>
        </w:tc>
        <w:tc>
          <w:tcPr>
            <w:tcW w:w="1560" w:type="dxa"/>
          </w:tcPr>
          <w:p>
            <w:pPr/>
            <w:r>
              <w:t xml:space="preserve">1,375</w:t>
            </w:r>
          </w:p>
        </w:tc>
        <w:tc>
          <w:tcPr>
            <w:tcW w:w="1560" w:type="dxa"/>
          </w:tcPr>
          <w:p>
            <w:pPr/>
            <w:r>
              <w:t xml:space="preserve">1,550</w:t>
            </w:r>
          </w:p>
        </w:tc>
        <w:tc>
          <w:tcPr>
            <w:tcW w:w="1560" w:type="dxa"/>
          </w:tcPr>
          <w:p>
            <w:pPr/>
            <w:r>
              <w:t xml:space="preserve">+20%</w:t>
            </w:r>
          </w:p>
        </w:tc>
        <w:tc>
          <w:tcPr>
            <w:tcW w:w="1560" w:type="dxa"/>
          </w:tcPr>
          <w:p>
            <w:pPr/>
            <w:r>
              <w:t xml:space="preserve">Lower part of today's experienced range</w:t>
            </w:r>
          </w:p>
        </w:tc>
      </w:tr>
      <w:tr>
        <w:tc>
          <w:tcPr>
            <w:tcW w:w="1560" w:type="dxa"/>
          </w:tcPr>
          <w:p>
            <w:pPr/>
            <w:r>
              <w:t xml:space="preserve">L3 Senior Specialist I</w:t>
            </w:r>
          </w:p>
        </w:tc>
        <w:tc>
          <w:tcPr>
            <w:tcW w:w="1560" w:type="dxa"/>
          </w:tcPr>
          <w:p>
            <w:pPr/>
            <w:r>
              <w:t xml:space="preserve">1,400</w:t>
            </w:r>
          </w:p>
        </w:tc>
        <w:tc>
          <w:tcPr>
            <w:tcW w:w="1560" w:type="dxa"/>
          </w:tcPr>
          <w:p>
            <w:pPr/>
            <w:r>
              <w:t xml:space="preserve">1,600</w:t>
            </w:r>
          </w:p>
        </w:tc>
        <w:tc>
          <w:tcPr>
            <w:tcW w:w="1560" w:type="dxa"/>
          </w:tcPr>
          <w:p>
            <w:pPr/>
            <w:r>
              <w:t xml:space="preserve">1,800</w:t>
            </w:r>
          </w:p>
        </w:tc>
        <w:tc>
          <w:tcPr>
            <w:tcW w:w="1560" w:type="dxa"/>
          </w:tcPr>
          <w:p>
            <w:pPr/>
            <w:r>
              <w:t xml:space="preserve">+16%</w:t>
            </w:r>
          </w:p>
        </w:tc>
        <w:tc>
          <w:tcPr>
            <w:tcW w:w="1560" w:type="dxa"/>
          </w:tcPr>
          <w:p>
            <w:pPr/>
            <w:r>
              <w:t xml:space="preserve">Upper part of today's experienced range</w:t>
            </w:r>
          </w:p>
        </w:tc>
      </w:tr>
      <w:tr>
        <w:tc>
          <w:tcPr>
            <w:tcW w:w="1560" w:type="dxa"/>
          </w:tcPr>
          <w:p>
            <w:pPr/>
            <w:r>
              <w:t xml:space="preserve">L4 Senior Specialist II</w:t>
            </w:r>
          </w:p>
        </w:tc>
        <w:tc>
          <w:tcPr>
            <w:tcW w:w="1560" w:type="dxa"/>
          </w:tcPr>
          <w:p>
            <w:pPr/>
            <w:r>
              <w:t xml:space="preserve">1,600</w:t>
            </w:r>
          </w:p>
        </w:tc>
        <w:tc>
          <w:tcPr>
            <w:tcW w:w="1560" w:type="dxa"/>
          </w:tcPr>
          <w:p>
            <w:pPr/>
            <w:r>
              <w:t xml:space="preserve">1,800</w:t>
            </w:r>
          </w:p>
        </w:tc>
        <w:tc>
          <w:tcPr>
            <w:tcW w:w="1560" w:type="dxa"/>
          </w:tcPr>
          <w:p>
            <w:pPr/>
            <w:r>
              <w:t xml:space="preserve">2,000</w:t>
            </w:r>
          </w:p>
        </w:tc>
        <w:tc>
          <w:tcPr>
            <w:tcW w:w="1560" w:type="dxa"/>
          </w:tcPr>
          <w:p>
            <w:pPr/>
            <w:r>
              <w:t xml:space="preserve">+13%</w:t>
            </w:r>
          </w:p>
        </w:tc>
        <w:tc>
          <w:tcPr>
            <w:tcW w:w="1560" w:type="dxa"/>
          </w:tcPr>
          <w:p>
            <w:pPr/>
            <w:r>
              <w:t xml:space="preserve">New level</w:t>
            </w:r>
          </w:p>
        </w:tc>
      </w:tr>
      <w:tr>
        <w:tc>
          <w:tcPr>
            <w:tcW w:w="1560" w:type="dxa"/>
          </w:tcPr>
          <w:p>
            <w:pPr/>
            <w:r>
              <w:t xml:space="preserve">L5 Team Lead</w:t>
            </w:r>
          </w:p>
        </w:tc>
        <w:tc>
          <w:tcPr>
            <w:tcW w:w="1560" w:type="dxa"/>
          </w:tcPr>
          <w:p>
            <w:pPr/>
            <w:r>
              <w:t xml:space="preserve">1,400</w:t>
            </w:r>
          </w:p>
        </w:tc>
        <w:tc>
          <w:tcPr>
            <w:tcW w:w="1560" w:type="dxa"/>
          </w:tcPr>
          <w:p>
            <w:pPr/>
            <w:r>
              <w:t xml:space="preserve">1,700</w:t>
            </w:r>
          </w:p>
        </w:tc>
        <w:tc>
          <w:tcPr>
            <w:tcW w:w="1560" w:type="dxa"/>
          </w:tcPr>
          <w:p>
            <w:pPr/>
            <w:r>
              <w:t xml:space="preserve">2,000</w:t>
            </w:r>
          </w:p>
        </w:tc>
        <w:tc>
          <w:tcPr>
            <w:tcW w:w="1560" w:type="dxa"/>
          </w:tcPr>
          <w:p>
            <w:pPr/>
            <w:r>
              <w:t xml:space="preserve">—</w:t>
            </w:r>
          </w:p>
        </w:tc>
        <w:tc>
          <w:tcPr>
            <w:tcW w:w="1560" w:type="dxa"/>
          </w:tcPr>
          <w:p>
            <w:pPr/>
            <w:r>
              <w:t xml:space="preserve">Matches today's team lead range</w:t>
            </w:r>
          </w:p>
        </w:tc>
      </w:tr>
      <w:tr>
        <w:tc>
          <w:tcPr>
            <w:tcW w:w="1560" w:type="dxa"/>
          </w:tcPr>
          <w:p>
            <w:pPr/>
            <w:r>
              <w:t xml:space="preserve">L5 Manager</w:t>
            </w:r>
          </w:p>
        </w:tc>
        <w:tc>
          <w:tcPr>
            <w:tcW w:w="1560" w:type="dxa"/>
          </w:tcPr>
          <w:p>
            <w:pPr/>
            <w:r>
              <w:t xml:space="preserve">2,000</w:t>
            </w:r>
          </w:p>
        </w:tc>
        <w:tc>
          <w:tcPr>
            <w:tcW w:w="1560" w:type="dxa"/>
          </w:tcPr>
          <w:p>
            <w:pPr/>
            <w:r>
              <w:t xml:space="preserve">2,500</w:t>
            </w:r>
          </w:p>
        </w:tc>
        <w:tc>
          <w:tcPr>
            <w:tcW w:w="1560" w:type="dxa"/>
          </w:tcPr>
          <w:p>
            <w:pPr/>
            <w:r>
              <w:t xml:space="preserve">3,000</w:t>
            </w:r>
          </w:p>
        </w:tc>
        <w:tc>
          <w:tcPr>
            <w:tcW w:w="1560" w:type="dxa"/>
          </w:tcPr>
          <w:p>
            <w:pPr/>
            <w:r>
              <w:t xml:space="preserve">+47% over Team Lead</w:t>
            </w:r>
          </w:p>
        </w:tc>
        <w:tc>
          <w:tcPr>
            <w:tcW w:w="1560" w:type="dxa"/>
          </w:tcPr>
          <w:p>
            <w:pPr/>
            <w:r>
              <w:t xml:space="preserve">Set as requested</w:t>
            </w:r>
          </w:p>
        </w:tc>
      </w:tr>
      <w:tr>
        <w:tc>
          <w:tcPr>
            <w:tcW w:w="1560" w:type="dxa"/>
          </w:tcPr>
          <w:p>
            <w:pPr/>
            <w:r>
              <w:t xml:space="preserve">L5 Senior Manager</w:t>
            </w:r>
          </w:p>
        </w:tc>
        <w:tc>
          <w:tcPr>
            <w:tcW w:w="1560" w:type="dxa"/>
          </w:tcPr>
          <w:p>
            <w:pPr/>
            <w:r>
              <w:t xml:space="preserve">To be set</w:t>
            </w:r>
          </w:p>
        </w:tc>
        <w:tc>
          <w:tcPr>
            <w:tcW w:w="1560" w:type="dxa"/>
          </w:tcPr>
          <w:p>
            <w:pPr/>
            <w:r>
              <w:t xml:space="preserve">—</w:t>
            </w:r>
          </w:p>
        </w:tc>
        <w:tc>
          <w:tcPr>
            <w:tcW w:w="1560" w:type="dxa"/>
          </w:tcPr>
          <w:p>
            <w:pPr/>
            <w:r>
              <w:t xml:space="preserve">—</w:t>
            </w:r>
          </w:p>
        </w:tc>
        <w:tc>
          <w:tcPr>
            <w:tcW w:w="1560" w:type="dxa"/>
          </w:tcPr>
          <w:p>
            <w:pPr/>
            <w:r>
              <w:t xml:space="preserve">—</w:t>
            </w:r>
          </w:p>
        </w:tc>
        <w:tc>
          <w:tcPr>
            <w:tcW w:w="1560" w:type="dxa"/>
          </w:tcPr>
          <w:p>
            <w:pPr/>
            <w:r>
              <w:t xml:space="preserve">New role</w:t>
            </w:r>
          </w:p>
        </w:tc>
      </w:tr>
    </w:tbl>
    <w:p>
      <w:pPr>
        <w:pStyle w:val="ListParagraph"/>
        <w:numPr>
          <w:ilvl w:val="0"/>
          <w:numId w:val="4"/>
        </w:numPr>
      </w:pPr>
      <w:r>
        <w:t xml:space="preserve">Overlapping bands let a strong L2 earn more than a new L3, so experience inside a level is still rewarded.</w:t>
      </w:r>
    </w:p>
    <w:p>
      <w:pPr>
        <w:pStyle w:val="ListParagraph"/>
        <w:numPr>
          <w:ilvl w:val="0"/>
          <w:numId w:val="4"/>
        </w:numPr>
      </w:pPr>
      <w:r>
        <w:t xml:space="preserve">L4 and Team Lead share the $2,000 ceiling, so a strong specialist can reach team lead pay without managing people.</w:t>
      </w:r>
    </w:p>
    <w:p>
      <w:pPr>
        <w:pStyle w:val="ListParagraph"/>
        <w:numPr>
          <w:ilvl w:val="0"/>
          <w:numId w:val="4"/>
        </w:numPr>
      </w:pPr>
      <w:r>
        <w:t xml:space="preserve">No raise is needed to fit team leads into their band, because it matches today's range.</w:t>
      </w:r>
    </w:p>
    <w:p>
      <w:pPr>
        <w:pStyle w:val="ListParagraph"/>
        <w:numPr>
          <w:ilvl w:val="0"/>
          <w:numId w:val="4"/>
        </w:numPr>
      </w:pPr>
      <w:r>
        <w:t xml:space="preserve">No one's pay goes down in the transition, including anyone moved down a level; see the Badges, Levels and Transition appendix.</w:t>
      </w:r>
    </w:p>
    <w:p>
      <w:pPr>
        <w:pStyle w:val="Heading2"/>
      </w:pPr>
      <w:r>
        <w:t xml:space="preserve">Badge allowances and variable pay</w:t>
      </w:r>
    </w:p>
    <w:p>
      <w:pPr/>
      <w:r>
        <w:t xml:space="preserve">Core badges carry no allowance because they are rewarded through promotion to L2. Advanced badges carry a monthly allowance, paid only while the badge is active and the team uses it, capped at 2 allowances per person.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Advanced badge</w:t>
            </w:r>
          </w:p>
        </w:tc>
        <w:tc>
          <w:tcPr>
            <w:tcW w:w="2340" w:type="dxa"/>
            <w:shd w:val="clear" w:color="auto" w:fill="F2F2F2"/>
          </w:tcPr>
          <w:p>
            <w:pPr/>
            <w:r>
              <w:t xml:space="preserve">Monthly allowance (USD)</w:t>
            </w:r>
          </w:p>
        </w:tc>
        <w:tc>
          <w:tcPr>
            <w:tcW w:w="2340" w:type="dxa"/>
            <w:shd w:val="clear" w:color="auto" w:fill="F2F2F2"/>
          </w:tcPr>
          <w:p>
            <w:pPr/>
            <w:r>
              <w:t xml:space="preserve">One-time award on earning (USD)</w:t>
            </w:r>
          </w:p>
        </w:tc>
        <w:tc>
          <w:tcPr>
            <w:tcW w:w="2340" w:type="dxa"/>
            <w:shd w:val="clear" w:color="auto" w:fill="F2F2F2"/>
          </w:tcPr>
          <w:p>
            <w:pPr/>
            <w:r>
              <w:t xml:space="preserve">Company-paid extras</w:t>
            </w:r>
          </w:p>
        </w:tc>
      </w:tr>
      <w:tr>
        <w:tc>
          <w:tcPr>
            <w:tcW w:w="2340" w:type="dxa"/>
          </w:tcPr>
          <w:p>
            <w:pPr/>
            <w:r>
              <w:t xml:space="preserve">A1 Coding (Certified)</w:t>
            </w:r>
          </w:p>
        </w:tc>
        <w:tc>
          <w:tcPr>
            <w:tcW w:w="2340" w:type="dxa"/>
          </w:tcPr>
          <w:p>
            <w:pPr/>
            <w:r>
              <w:t xml:space="preserve">70</w:t>
            </w:r>
          </w:p>
        </w:tc>
        <w:tc>
          <w:tcPr>
            <w:tcW w:w="2340" w:type="dxa"/>
          </w:tcPr>
          <w:p>
            <w:pPr/>
            <w:r>
              <w:t xml:space="preserve">100</w:t>
            </w:r>
          </w:p>
        </w:tc>
        <w:tc>
          <w:tcPr>
            <w:tcW w:w="2340" w:type="dxa"/>
          </w:tcPr>
          <w:p>
            <w:pPr/>
            <w:r>
              <w:t xml:space="preserve">Certification exam, renewal and CEUs</w:t>
            </w:r>
          </w:p>
        </w:tc>
      </w:tr>
      <w:tr>
        <w:tc>
          <w:tcPr>
            <w:tcW w:w="2340" w:type="dxa"/>
          </w:tcPr>
          <w:p>
            <w:pPr/>
            <w:r>
              <w:t xml:space="preserve">A2 IDR Packet and Offer Strategy</w:t>
            </w:r>
          </w:p>
        </w:tc>
        <w:tc>
          <w:tcPr>
            <w:tcW w:w="2340" w:type="dxa"/>
          </w:tcPr>
          <w:p>
            <w:pPr/>
            <w:r>
              <w:t xml:space="preserve">70</w:t>
            </w:r>
          </w:p>
        </w:tc>
        <w:tc>
          <w:tcPr>
            <w:tcW w:w="2340" w:type="dxa"/>
          </w:tcPr>
          <w:p>
            <w:pPr/>
            <w:r>
              <w:t xml:space="preserve">100</w:t>
            </w:r>
          </w:p>
        </w:tc>
        <w:tc>
          <w:tcPr>
            <w:tcW w:w="2340" w:type="dxa"/>
          </w:tcPr>
          <w:p>
            <w:pPr/>
            <w:r>
              <w:t xml:space="preserve">External NSA/IDR training</w:t>
            </w:r>
          </w:p>
        </w:tc>
      </w:tr>
      <w:tr>
        <w:tc>
          <w:tcPr>
            <w:tcW w:w="2340" w:type="dxa"/>
          </w:tcPr>
          <w:p>
            <w:pPr/>
            <w:r>
              <w:t xml:space="preserve">A4 Payer Strategy</w:t>
            </w:r>
          </w:p>
        </w:tc>
        <w:tc>
          <w:tcPr>
            <w:tcW w:w="2340" w:type="dxa"/>
          </w:tcPr>
          <w:p>
            <w:pPr/>
            <w:r>
              <w:t xml:space="preserve">60</w:t>
            </w:r>
          </w:p>
        </w:tc>
        <w:tc>
          <w:tcPr>
            <w:tcW w:w="2340" w:type="dxa"/>
          </w:tcPr>
          <w:p>
            <w:pPr/>
            <w:r>
              <w:t xml:space="preserve">100</w:t>
            </w:r>
          </w:p>
        </w:tc>
        <w:tc>
          <w:tcPr>
            <w:tcW w:w="2340" w:type="dxa"/>
          </w:tcPr>
          <w:p>
            <w:pPr/>
            <w:r>
              <w:t xml:space="preserve">—</w:t>
            </w:r>
          </w:p>
        </w:tc>
      </w:tr>
      <w:tr>
        <w:tc>
          <w:tcPr>
            <w:tcW w:w="2340" w:type="dxa"/>
          </w:tcPr>
          <w:p>
            <w:pPr/>
            <w:r>
              <w:t xml:space="preserve">A3 MVA and Adjuster Negotiation</w:t>
            </w:r>
          </w:p>
        </w:tc>
        <w:tc>
          <w:tcPr>
            <w:tcW w:w="2340" w:type="dxa"/>
          </w:tcPr>
          <w:p>
            <w:pPr/>
            <w:r>
              <w:t xml:space="preserve">45</w:t>
            </w:r>
          </w:p>
        </w:tc>
        <w:tc>
          <w:tcPr>
            <w:tcW w:w="2340" w:type="dxa"/>
          </w:tcPr>
          <w:p>
            <w:pPr/>
            <w:r>
              <w:t xml:space="preserve">75</w:t>
            </w:r>
          </w:p>
        </w:tc>
        <w:tc>
          <w:tcPr>
            <w:tcW w:w="2340" w:type="dxa"/>
          </w:tcPr>
          <w:p>
            <w:pPr/>
            <w:r>
              <w:t xml:space="preserve">—</w:t>
            </w:r>
          </w:p>
        </w:tc>
      </w:tr>
    </w:tbl>
    <w:p>
      <w:pPr/>
      <w:r>
        <w:t xml:space="preserve">A suspended badge stops its allowance from the next pay cycle; it resumes when the badge is re-earned.</w:t>
      </w:r>
    </w:p>
    <w:p>
      <w:pPr/>
      <w:r>
        <w:rPr>
          <w:b/>
        </w:rPr>
        <w:t xml:space="preserve">Quarterly bonus:</w:t>
      </w:r>
      <w:r>
        <w:t xml:space="preserve"> a target percentage of base pay, paid on these weights. Any missed deadline caused by the person's own error caps their bonus at 50% for that quarter.</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Level</w:t>
            </w:r>
          </w:p>
        </w:tc>
        <w:tc>
          <w:tcPr>
            <w:tcW w:w="1560" w:type="dxa"/>
            <w:shd w:val="clear" w:color="auto" w:fill="F2F2F2"/>
          </w:tcPr>
          <w:p>
            <w:pPr/>
            <w:r>
              <w:t xml:space="preserve">Target bonus (% of quarterly base)</w:t>
            </w:r>
          </w:p>
        </w:tc>
        <w:tc>
          <w:tcPr>
            <w:tcW w:w="1560" w:type="dxa"/>
            <w:shd w:val="clear" w:color="auto" w:fill="F2F2F2"/>
          </w:tcPr>
          <w:p>
            <w:pPr/>
            <w:r>
              <w:t xml:space="preserve">Own portfolio results</w:t>
            </w:r>
          </w:p>
        </w:tc>
        <w:tc>
          <w:tcPr>
            <w:tcW w:w="1560" w:type="dxa"/>
            <w:shd w:val="clear" w:color="auto" w:fill="F2F2F2"/>
          </w:tcPr>
          <w:p>
            <w:pPr/>
            <w:r>
              <w:t xml:space="preserve">Team results</w:t>
            </w:r>
          </w:p>
        </w:tc>
        <w:tc>
          <w:tcPr>
            <w:tcW w:w="1560" w:type="dxa"/>
            <w:shd w:val="clear" w:color="auto" w:fill="F2F2F2"/>
          </w:tcPr>
          <w:p>
            <w:pPr/>
            <w:r>
              <w:t xml:space="preserve">QA and deadlines</w:t>
            </w:r>
          </w:p>
        </w:tc>
        <w:tc>
          <w:tcPr>
            <w:tcW w:w="1560" w:type="dxa"/>
            <w:shd w:val="clear" w:color="auto" w:fill="F2F2F2"/>
          </w:tcPr>
          <w:p>
            <w:pPr/>
            <w:r>
              <w:t xml:space="preserve">Mentoring and specialty-group work</w:t>
            </w:r>
          </w:p>
        </w:tc>
      </w:tr>
      <w:tr>
        <w:tc>
          <w:tcPr>
            <w:tcW w:w="1560" w:type="dxa"/>
          </w:tcPr>
          <w:p>
            <w:pPr/>
            <w:r>
              <w:t xml:space="preserve">L1</w:t>
            </w:r>
          </w:p>
        </w:tc>
        <w:tc>
          <w:tcPr>
            <w:tcW w:w="1560" w:type="dxa"/>
          </w:tcPr>
          <w:p>
            <w:pPr/>
            <w:r>
              <w:t xml:space="preserve">5%</w:t>
            </w:r>
          </w:p>
        </w:tc>
        <w:tc>
          <w:tcPr>
            <w:tcW w:w="1560" w:type="dxa"/>
          </w:tcPr>
          <w:p>
            <w:pPr/>
            <w:r>
              <w:t xml:space="preserve">40%</w:t>
            </w:r>
          </w:p>
        </w:tc>
        <w:tc>
          <w:tcPr>
            <w:tcW w:w="1560" w:type="dxa"/>
          </w:tcPr>
          <w:p>
            <w:pPr/>
            <w:r>
              <w:t xml:space="preserve">20%</w:t>
            </w:r>
          </w:p>
        </w:tc>
        <w:tc>
          <w:tcPr>
            <w:tcW w:w="1560" w:type="dxa"/>
          </w:tcPr>
          <w:p>
            <w:pPr/>
            <w:r>
              <w:t xml:space="preserve">40%</w:t>
            </w:r>
          </w:p>
        </w:tc>
        <w:tc>
          <w:tcPr>
            <w:tcW w:w="1560" w:type="dxa"/>
          </w:tcPr>
          <w:p>
            <w:pPr/>
            <w:r>
              <w:t xml:space="preserve">—</w:t>
            </w:r>
          </w:p>
        </w:tc>
      </w:tr>
      <w:tr>
        <w:tc>
          <w:tcPr>
            <w:tcW w:w="1560" w:type="dxa"/>
          </w:tcPr>
          <w:p>
            <w:pPr/>
            <w:r>
              <w:t xml:space="preserve">L2</w:t>
            </w:r>
          </w:p>
        </w:tc>
        <w:tc>
          <w:tcPr>
            <w:tcW w:w="1560" w:type="dxa"/>
          </w:tcPr>
          <w:p>
            <w:pPr/>
            <w:r>
              <w:t xml:space="preserve">8%</w:t>
            </w:r>
          </w:p>
        </w:tc>
        <w:tc>
          <w:tcPr>
            <w:tcW w:w="1560" w:type="dxa"/>
          </w:tcPr>
          <w:p>
            <w:pPr/>
            <w:r>
              <w:t xml:space="preserve">50%</w:t>
            </w:r>
          </w:p>
        </w:tc>
        <w:tc>
          <w:tcPr>
            <w:tcW w:w="1560" w:type="dxa"/>
          </w:tcPr>
          <w:p>
            <w:pPr/>
            <w:r>
              <w:t xml:space="preserve">20%</w:t>
            </w:r>
          </w:p>
        </w:tc>
        <w:tc>
          <w:tcPr>
            <w:tcW w:w="1560" w:type="dxa"/>
          </w:tcPr>
          <w:p>
            <w:pPr/>
            <w:r>
              <w:t xml:space="preserve">30%</w:t>
            </w:r>
          </w:p>
        </w:tc>
        <w:tc>
          <w:tcPr>
            <w:tcW w:w="1560" w:type="dxa"/>
          </w:tcPr>
          <w:p>
            <w:pPr/>
            <w:r>
              <w:t xml:space="preserve">—</w:t>
            </w:r>
          </w:p>
        </w:tc>
      </w:tr>
      <w:tr>
        <w:tc>
          <w:tcPr>
            <w:tcW w:w="1560" w:type="dxa"/>
          </w:tcPr>
          <w:p>
            <w:pPr/>
            <w:r>
              <w:t xml:space="preserve">L3</w:t>
            </w:r>
          </w:p>
        </w:tc>
        <w:tc>
          <w:tcPr>
            <w:tcW w:w="1560" w:type="dxa"/>
          </w:tcPr>
          <w:p>
            <w:pPr/>
            <w:r>
              <w:t xml:space="preserve">10%</w:t>
            </w:r>
          </w:p>
        </w:tc>
        <w:tc>
          <w:tcPr>
            <w:tcW w:w="1560" w:type="dxa"/>
          </w:tcPr>
          <w:p>
            <w:pPr/>
            <w:r>
              <w:t xml:space="preserve">50%</w:t>
            </w:r>
          </w:p>
        </w:tc>
        <w:tc>
          <w:tcPr>
            <w:tcW w:w="1560" w:type="dxa"/>
          </w:tcPr>
          <w:p>
            <w:pPr/>
            <w:r>
              <w:t xml:space="preserve">20%</w:t>
            </w:r>
          </w:p>
        </w:tc>
        <w:tc>
          <w:tcPr>
            <w:tcW w:w="1560" w:type="dxa"/>
          </w:tcPr>
          <w:p>
            <w:pPr/>
            <w:r>
              <w:t xml:space="preserve">20%</w:t>
            </w:r>
          </w:p>
        </w:tc>
        <w:tc>
          <w:tcPr>
            <w:tcW w:w="1560" w:type="dxa"/>
          </w:tcPr>
          <w:p>
            <w:pPr/>
            <w:r>
              <w:t xml:space="preserve">10%</w:t>
            </w:r>
          </w:p>
        </w:tc>
      </w:tr>
      <w:tr>
        <w:tc>
          <w:tcPr>
            <w:tcW w:w="1560" w:type="dxa"/>
          </w:tcPr>
          <w:p>
            <w:pPr/>
            <w:r>
              <w:t xml:space="preserve">L4</w:t>
            </w:r>
          </w:p>
        </w:tc>
        <w:tc>
          <w:tcPr>
            <w:tcW w:w="1560" w:type="dxa"/>
          </w:tcPr>
          <w:p>
            <w:pPr/>
            <w:r>
              <w:t xml:space="preserve">12%</w:t>
            </w:r>
          </w:p>
        </w:tc>
        <w:tc>
          <w:tcPr>
            <w:tcW w:w="1560" w:type="dxa"/>
          </w:tcPr>
          <w:p>
            <w:pPr/>
            <w:r>
              <w:t xml:space="preserve">40%</w:t>
            </w:r>
          </w:p>
        </w:tc>
        <w:tc>
          <w:tcPr>
            <w:tcW w:w="1560" w:type="dxa"/>
          </w:tcPr>
          <w:p>
            <w:pPr/>
            <w:r>
              <w:t xml:space="preserve">20%</w:t>
            </w:r>
          </w:p>
        </w:tc>
        <w:tc>
          <w:tcPr>
            <w:tcW w:w="1560" w:type="dxa"/>
          </w:tcPr>
          <w:p>
            <w:pPr/>
            <w:r>
              <w:t xml:space="preserve">20%</w:t>
            </w:r>
          </w:p>
        </w:tc>
        <w:tc>
          <w:tcPr>
            <w:tcW w:w="1560" w:type="dxa"/>
          </w:tcPr>
          <w:p>
            <w:pPr/>
            <w:r>
              <w:t xml:space="preserve">20%</w:t>
            </w:r>
          </w:p>
        </w:tc>
      </w:tr>
      <w:tr>
        <w:tc>
          <w:tcPr>
            <w:tcW w:w="1560" w:type="dxa"/>
          </w:tcPr>
          <w:p>
            <w:pPr/>
            <w:r>
              <w:t xml:space="preserve">Team Lead</w:t>
            </w:r>
          </w:p>
        </w:tc>
        <w:tc>
          <w:tcPr>
            <w:tcW w:w="1560" w:type="dxa"/>
          </w:tcPr>
          <w:p>
            <w:pPr/>
            <w:r>
              <w:t xml:space="preserve">12%</w:t>
            </w:r>
          </w:p>
        </w:tc>
        <w:tc>
          <w:tcPr>
            <w:tcW w:w="1560" w:type="dxa"/>
          </w:tcPr>
          <w:p>
            <w:pPr/>
            <w:r>
              <w:t xml:space="preserve">20%</w:t>
            </w:r>
          </w:p>
        </w:tc>
        <w:tc>
          <w:tcPr>
            <w:tcW w:w="1560" w:type="dxa"/>
          </w:tcPr>
          <w:p>
            <w:pPr/>
            <w:r>
              <w:t xml:space="preserve">60%</w:t>
            </w:r>
          </w:p>
        </w:tc>
        <w:tc>
          <w:tcPr>
            <w:tcW w:w="1560" w:type="dxa"/>
          </w:tcPr>
          <w:p>
            <w:pPr/>
            <w:r>
              <w:t xml:space="preserve">20%</w:t>
            </w:r>
          </w:p>
        </w:tc>
        <w:tc>
          <w:tcPr>
            <w:tcW w:w="1560" w:type="dxa"/>
          </w:tcPr>
          <w:p>
            <w:pPr/>
            <w:r>
              <w:t xml:space="preserve">—</w:t>
            </w:r>
          </w:p>
        </w:tc>
      </w:tr>
      <w:tr>
        <w:tc>
          <w:tcPr>
            <w:tcW w:w="1560" w:type="dxa"/>
          </w:tcPr>
          <w:p>
            <w:pPr/>
            <w:r>
              <w:t xml:space="preserve">Manager</w:t>
            </w:r>
          </w:p>
        </w:tc>
        <w:tc>
          <w:tcPr>
            <w:tcW w:w="1560" w:type="dxa"/>
          </w:tcPr>
          <w:p>
            <w:pPr/>
            <w:r>
              <w:t xml:space="preserve">15%</w:t>
            </w:r>
          </w:p>
        </w:tc>
        <w:tc>
          <w:tcPr>
            <w:tcW w:w="1560" w:type="dxa"/>
          </w:tcPr>
          <w:p>
            <w:pPr/>
            <w:r>
              <w:t xml:space="preserve">—</w:t>
            </w:r>
          </w:p>
        </w:tc>
        <w:tc>
          <w:tcPr>
            <w:tcW w:w="1560" w:type="dxa"/>
          </w:tcPr>
          <w:p>
            <w:pPr/>
            <w:r>
              <w:t xml:space="preserve">70% (team) + 30% (all teams)</w:t>
            </w:r>
          </w:p>
        </w:tc>
        <w:tc>
          <w:tcPr>
            <w:tcW w:w="1560" w:type="dxa"/>
          </w:tcPr>
          <w:p>
            <w:pPr/>
            <w:r>
              <w:t xml:space="preserve">—</w:t>
            </w:r>
          </w:p>
        </w:tc>
        <w:tc>
          <w:tcPr>
            <w:tcW w:w="1560" w:type="dxa"/>
          </w:tcPr>
          <w:p>
            <w:pPr/>
            <w:r>
              <w:t xml:space="preserve">—</w:t>
            </w:r>
          </w:p>
        </w:tc>
      </w:tr>
    </w:tbl>
    <w:p>
      <w:pPr/>
      <w:r>
        <w:t xml:space="preserve">"Own portfolio results" means Net Recovery measured against others in the same tier, plus work units against target.</w:t>
      </w:r>
    </w:p>
    <w:p>
      <w:pPr/>
      <w:r>
        <w:rPr>
          <w:b/>
        </w:rPr>
        <w:t xml:space="preserve">Compliance guard:</w:t>
      </w:r>
      <w:r>
        <w:t xml:space="preserve"> coding work is never paid on dollars collected. For A1 holders, the coding part of the bonus uses accuracy and productivity only, so no one gains from coding a higher level than the chart supports.</w:t>
      </w:r>
    </w:p>
    <w:p>
      <w:pPr>
        <w:pStyle w:val="Heading2"/>
      </w:pPr>
      <w:r>
        <w:t xml:space="preserve">Promotions</w:t>
      </w:r>
    </w:p>
    <w:p>
      <w:pPr/>
      <w:r>
        <w:t xml:space="preserve">Promotions happen in quarterly windows, are open to anyone who meets the criteria, and are never limited to a vacancy for specialist levels.</w:t>
      </w:r>
    </w:p>
    <w:p>
      <w:pPr>
        <w:pStyle w:val="ListParagraph"/>
        <w:numPr>
          <w:ilvl w:val="0"/>
          <w:numId w:val="5"/>
        </w:numPr>
      </w:pPr>
      <w:r>
        <w:rPr>
          <w:b/>
        </w:rPr>
        <w:t xml:space="preserve">Eligibility check:</w:t>
      </w:r>
      <w:r>
        <w:t xml:space="preserve"> at the end of each quarter, ClickUp and the Academy chair list everyone who meets the badge and performance requirements for the next level. Badges are earned in the quarterly test windows.</w:t>
      </w:r>
    </w:p>
    <w:p>
      <w:pPr>
        <w:pStyle w:val="ListParagraph"/>
        <w:numPr>
          <w:ilvl w:val="0"/>
          <w:numId w:val="5"/>
        </w:numPr>
      </w:pPr>
      <w:r>
        <w:rPr>
          <w:b/>
        </w:rPr>
        <w:t xml:space="preserve">Calibration panel:</w:t>
      </w:r>
      <w:r>
        <w:t xml:space="preserve"> the Academy chair and 2 team managers from outside the person's team confirm each case.</w:t>
      </w:r>
    </w:p>
    <w:p>
      <w:pPr>
        <w:pStyle w:val="ListParagraph"/>
        <w:numPr>
          <w:ilvl w:val="0"/>
          <w:numId w:val="5"/>
        </w:numPr>
      </w:pPr>
      <w:r>
        <w:rPr>
          <w:b/>
        </w:rPr>
        <w:t xml:space="preserve">Effective date:</w:t>
      </w:r>
      <w:r>
        <w:t xml:space="preserve"> the first day of the next month. The new portfolio tier starts the same day.</w:t>
      </w:r>
    </w:p>
    <w:p>
      <w:pPr>
        <w:pStyle w:val="ListParagraph"/>
        <w:numPr>
          <w:ilvl w:val="0"/>
          <w:numId w:val="5"/>
        </w:numPr>
      </w:pPr>
      <w:r>
        <w:rPr>
          <w:b/>
        </w:rPr>
        <w:t xml:space="preserve">Feedback:</w:t>
      </w:r>
      <w:r>
        <w:t xml:space="preserve"> anyone eligible but not promoted gets the reasons in writing and a target quarter.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Move</w:t>
            </w:r>
          </w:p>
        </w:tc>
        <w:tc>
          <w:tcPr>
            <w:tcW w:w="3120" w:type="dxa"/>
            <w:shd w:val="clear" w:color="auto" w:fill="F2F2F2"/>
          </w:tcPr>
          <w:p>
            <w:pPr/>
            <w:r>
              <w:t xml:space="preserve">Minimum time in current level</w:t>
            </w:r>
          </w:p>
        </w:tc>
        <w:tc>
          <w:tcPr>
            <w:tcW w:w="3120" w:type="dxa"/>
            <w:shd w:val="clear" w:color="auto" w:fill="F2F2F2"/>
          </w:tcPr>
          <w:p>
            <w:pPr/>
            <w:r>
              <w:t xml:space="preserve">Pay increase</w:t>
            </w:r>
          </w:p>
        </w:tc>
      </w:tr>
      <w:tr>
        <w:tc>
          <w:tcPr>
            <w:tcW w:w="3120" w:type="dxa"/>
          </w:tcPr>
          <w:p>
            <w:pPr/>
            <w:r>
              <w:t xml:space="preserve">L1 → L2</w:t>
            </w:r>
          </w:p>
        </w:tc>
        <w:tc>
          <w:tcPr>
            <w:tcW w:w="3120" w:type="dxa"/>
          </w:tcPr>
          <w:p>
            <w:pPr/>
            <w:r>
              <w:t xml:space="preserve">6 months (none during the transition)</w:t>
            </w:r>
          </w:p>
        </w:tc>
        <w:tc>
          <w:tcPr>
            <w:tcW w:w="3120" w:type="dxa"/>
          </w:tcPr>
          <w:p>
            <w:pPr/>
            <w:r>
              <w:t xml:space="preserve">10% or the new band minimum, whichever is higher</w:t>
            </w:r>
          </w:p>
        </w:tc>
      </w:tr>
      <w:tr>
        <w:tc>
          <w:tcPr>
            <w:tcW w:w="3120" w:type="dxa"/>
          </w:tcPr>
          <w:p>
            <w:pPr/>
            <w:r>
              <w:t xml:space="preserve">L2 → L3</w:t>
            </w:r>
          </w:p>
        </w:tc>
        <w:tc>
          <w:tcPr>
            <w:tcW w:w="3120" w:type="dxa"/>
          </w:tcPr>
          <w:p>
            <w:pPr/>
            <w:r>
              <w:t xml:space="preserve">12 months (none during the transition)</w:t>
            </w:r>
          </w:p>
        </w:tc>
        <w:tc>
          <w:tcPr>
            <w:tcW w:w="3120" w:type="dxa"/>
          </w:tcPr>
          <w:p>
            <w:pPr/>
            <w:r>
              <w:t xml:space="preserve">12% or the new band minimum, whichever is higher</w:t>
            </w:r>
          </w:p>
        </w:tc>
      </w:tr>
      <w:tr>
        <w:tc>
          <w:tcPr>
            <w:tcW w:w="3120" w:type="dxa"/>
          </w:tcPr>
          <w:p>
            <w:pPr/>
            <w:r>
              <w:t xml:space="preserve">L3 → L4</w:t>
            </w:r>
          </w:p>
        </w:tc>
        <w:tc>
          <w:tcPr>
            <w:tcW w:w="3120" w:type="dxa"/>
          </w:tcPr>
          <w:p>
            <w:pPr/>
            <w:r>
              <w:t xml:space="preserve">18 months</w:t>
            </w:r>
          </w:p>
        </w:tc>
        <w:tc>
          <w:tcPr>
            <w:tcW w:w="3120" w:type="dxa"/>
          </w:tcPr>
          <w:p>
            <w:pPr/>
            <w:r>
              <w:t xml:space="preserve">12% or the new band minimum, whichever is higher</w:t>
            </w:r>
          </w:p>
        </w:tc>
      </w:tr>
      <w:tr>
        <w:tc>
          <w:tcPr>
            <w:tcW w:w="3120" w:type="dxa"/>
          </w:tcPr>
          <w:p>
            <w:pPr/>
            <w:r>
              <w:t xml:space="preserve">L3 or L4 → Team Lead (L5)</w:t>
            </w:r>
          </w:p>
        </w:tc>
        <w:tc>
          <w:tcPr>
            <w:tcW w:w="3120" w:type="dxa"/>
          </w:tcPr>
          <w:p>
            <w:pPr/>
            <w:r>
              <w:t xml:space="preserve">Passed coaching assessment; posted internally</w:t>
            </w:r>
          </w:p>
        </w:tc>
        <w:tc>
          <w:tcPr>
            <w:tcW w:w="3120" w:type="dxa"/>
          </w:tcPr>
          <w:p>
            <w:pPr/>
            <w:r>
              <w:t xml:space="preserve">8% or the band minimum, whichever is higher</w:t>
            </w:r>
          </w:p>
        </w:tc>
      </w:tr>
      <w:tr>
        <w:tc>
          <w:tcPr>
            <w:tcW w:w="3120" w:type="dxa"/>
          </w:tcPr>
          <w:p>
            <w:pPr/>
            <w:r>
              <w:t xml:space="preserve">Team Lead or L4 → Manager (L5)</w:t>
            </w:r>
          </w:p>
        </w:tc>
        <w:tc>
          <w:tcPr>
            <w:tcW w:w="3120" w:type="dxa"/>
          </w:tcPr>
          <w:p>
            <w:pPr/>
            <w:r>
              <w:t xml:space="preserve">12 months as team lead, or L4 plus leadership training; posted internally</w:t>
            </w:r>
          </w:p>
        </w:tc>
        <w:tc>
          <w:tcPr>
            <w:tcW w:w="3120" w:type="dxa"/>
          </w:tcPr>
          <w:p>
            <w:pPr/>
            <w:r>
              <w:t xml:space="preserve">15% or the band minimum, whichever is higher</w:t>
            </w:r>
          </w:p>
        </w:tc>
      </w:tr>
    </w:tbl>
    <w:p>
      <w:pPr/>
      <w:r>
        <w:rPr>
          <w:b/>
        </w:rPr>
        <w:t xml:space="preserve">Leadership seats</w:t>
      </w:r>
      <w:r>
        <w:t xml:space="preserve"> (about 7 manager and 14 TL seats over the expansion) are filled by internal posting first. Only L3 and above can apply for TL.</w:t>
      </w:r>
    </w:p>
    <w:p>
      <w:pPr/>
      <w:r>
        <w:rPr>
          <w:b/>
        </w:rPr>
        <w:t xml:space="preserve">Pay protection:</w:t>
      </w:r>
    </w:p>
    <w:p>
      <w:pPr>
        <w:pStyle w:val="ListParagraph"/>
        <w:numPr>
          <w:ilvl w:val="0"/>
          <w:numId w:val="6"/>
        </w:numPr>
      </w:pPr>
      <w:r>
        <w:t xml:space="preserve">No one's base pay goes down in the transition or when a level is reset.</w:t>
      </w:r>
    </w:p>
    <w:p>
      <w:pPr>
        <w:pStyle w:val="ListParagraph"/>
        <w:numPr>
          <w:ilvl w:val="0"/>
          <w:numId w:val="6"/>
        </w:numPr>
      </w:pPr>
      <w:r>
        <w:t xml:space="preserve">Anyone above their band maximum keeps their pay. Their base is frozen, and merit increases are paid as a one-time lump sum until the band catches up or they are promoted.</w:t>
      </w:r>
    </w:p>
    <w:p>
      <w:pPr>
        <w:pStyle w:val="ListParagraph"/>
        <w:numPr>
          <w:ilvl w:val="0"/>
          <w:numId w:val="6"/>
        </w:numPr>
      </w:pPr>
      <w:r>
        <w:t xml:space="preserve">Anyone below their band minimum after placement is raised to the minimum within 2 quarters.</w:t>
      </w:r>
    </w:p>
    <w:p>
      <w:pPr>
        <w:pStyle w:val="ListParagraph"/>
        <w:numPr>
          <w:ilvl w:val="0"/>
          <w:numId w:val="6"/>
        </w:numPr>
      </w:pPr>
      <w:r>
        <w:t xml:space="preserve">Every move up a level comes with a guaranteed raise.</w:t>
      </w:r>
    </w:p>
    <w:p>
      <w:pPr>
        <w:pStyle w:val="Heading2"/>
      </w:pPr>
      <w:r>
        <w:t xml:space="preserve">Tenure rewards</w:t>
      </w:r>
    </w:p>
    <w:p>
      <w:pPr/>
      <w:r>
        <w:t xml:space="preserve">Tenure is rewarded through merit growth inside the band and through benefits, not by moving people up a level. Level stays tied to skill, so long service never outranks proven competency.</w:t>
      </w:r>
    </w:p>
    <w:p>
      <w:pPr/>
      <w:r>
        <w:rPr>
          <w:b/>
        </w:rPr>
        <w:t xml:space="preserve">Annual merit increase:</w:t>
      </w:r>
      <w:r>
        <w:t xml:space="preserve"> set by performance rating and position in band, so people low in their band catch up faster. The figures below assume a 5% merit budget; scale them to the actual budget.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Rating</w:t>
            </w:r>
          </w:p>
        </w:tc>
        <w:tc>
          <w:tcPr>
            <w:tcW w:w="2340" w:type="dxa"/>
            <w:shd w:val="clear" w:color="auto" w:fill="F2F2F2"/>
          </w:tcPr>
          <w:p>
            <w:pPr/>
            <w:r>
              <w:t xml:space="preserve">Below midpoint</w:t>
            </w:r>
          </w:p>
        </w:tc>
        <w:tc>
          <w:tcPr>
            <w:tcW w:w="2340" w:type="dxa"/>
            <w:shd w:val="clear" w:color="auto" w:fill="F2F2F2"/>
          </w:tcPr>
          <w:p>
            <w:pPr/>
            <w:r>
              <w:t xml:space="preserve">Near midpoint</w:t>
            </w:r>
          </w:p>
        </w:tc>
        <w:tc>
          <w:tcPr>
            <w:tcW w:w="2340" w:type="dxa"/>
            <w:shd w:val="clear" w:color="auto" w:fill="F2F2F2"/>
          </w:tcPr>
          <w:p>
            <w:pPr/>
            <w:r>
              <w:t xml:space="preserve">Above midpoint</w:t>
            </w:r>
          </w:p>
        </w:tc>
      </w:tr>
      <w:tr>
        <w:tc>
          <w:tcPr>
            <w:tcW w:w="2340" w:type="dxa"/>
          </w:tcPr>
          <w:p>
            <w:pPr/>
            <w:r>
              <w:t xml:space="preserve">Exceeds</w:t>
            </w:r>
          </w:p>
        </w:tc>
        <w:tc>
          <w:tcPr>
            <w:tcW w:w="2340" w:type="dxa"/>
          </w:tcPr>
          <w:p>
            <w:pPr/>
            <w:r>
              <w:t xml:space="preserve">8%</w:t>
            </w:r>
          </w:p>
        </w:tc>
        <w:tc>
          <w:tcPr>
            <w:tcW w:w="2340" w:type="dxa"/>
          </w:tcPr>
          <w:p>
            <w:pPr/>
            <w:r>
              <w:t xml:space="preserve">6%</w:t>
            </w:r>
          </w:p>
        </w:tc>
        <w:tc>
          <w:tcPr>
            <w:tcW w:w="2340" w:type="dxa"/>
          </w:tcPr>
          <w:p>
            <w:pPr/>
            <w:r>
              <w:t xml:space="preserve">4%</w:t>
            </w:r>
          </w:p>
        </w:tc>
      </w:tr>
      <w:tr>
        <w:tc>
          <w:tcPr>
            <w:tcW w:w="2340" w:type="dxa"/>
          </w:tcPr>
          <w:p>
            <w:pPr/>
            <w:r>
              <w:t xml:space="preserve">Meets</w:t>
            </w:r>
          </w:p>
        </w:tc>
        <w:tc>
          <w:tcPr>
            <w:tcW w:w="2340" w:type="dxa"/>
          </w:tcPr>
          <w:p>
            <w:pPr/>
            <w:r>
              <w:t xml:space="preserve">5%</w:t>
            </w:r>
          </w:p>
        </w:tc>
        <w:tc>
          <w:tcPr>
            <w:tcW w:w="2340" w:type="dxa"/>
          </w:tcPr>
          <w:p>
            <w:pPr/>
            <w:r>
              <w:t xml:space="preserve">4%</w:t>
            </w:r>
          </w:p>
        </w:tc>
        <w:tc>
          <w:tcPr>
            <w:tcW w:w="2340" w:type="dxa"/>
          </w:tcPr>
          <w:p>
            <w:pPr/>
            <w:r>
              <w:t xml:space="preserve">3%</w:t>
            </w:r>
          </w:p>
        </w:tc>
      </w:tr>
      <w:tr>
        <w:tc>
          <w:tcPr>
            <w:tcW w:w="2340" w:type="dxa"/>
          </w:tcPr>
          <w:p>
            <w:pPr/>
            <w:r>
              <w:t xml:space="preserve">Below</w:t>
            </w:r>
          </w:p>
        </w:tc>
        <w:tc>
          <w:tcPr>
            <w:tcW w:w="2340" w:type="dxa"/>
          </w:tcPr>
          <w:p>
            <w:pPr/>
            <w:r>
              <w:t xml:space="preserve">0%</w:t>
            </w:r>
          </w:p>
        </w:tc>
        <w:tc>
          <w:tcPr>
            <w:tcW w:w="2340" w:type="dxa"/>
          </w:tcPr>
          <w:p>
            <w:pPr/>
            <w:r>
              <w:t xml:space="preserve">0%</w:t>
            </w:r>
          </w:p>
        </w:tc>
        <w:tc>
          <w:tcPr>
            <w:tcW w:w="2340" w:type="dxa"/>
          </w:tcPr>
          <w:p>
            <w:pPr/>
            <w:r>
              <w:t xml:space="preserve">0%</w:t>
            </w:r>
          </w:p>
        </w:tc>
      </w:tr>
    </w:tbl>
    <w:p>
      <w:pPr/>
      <w:r>
        <w:rPr>
          <w:b/>
        </w:rPr>
        <w:t xml:space="preserve">Benefits by years of service: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Years of service</w:t>
            </w:r>
          </w:p>
        </w:tc>
        <w:tc>
          <w:tcPr>
            <w:tcW w:w="4680" w:type="dxa"/>
            <w:shd w:val="clear" w:color="auto" w:fill="F2F2F2"/>
          </w:tcPr>
          <w:p>
            <w:pPr/>
            <w:r>
              <w:t xml:space="preserve">Added benefit</w:t>
            </w:r>
          </w:p>
        </w:tc>
      </w:tr>
      <w:tr>
        <w:tc>
          <w:tcPr>
            <w:tcW w:w="4680" w:type="dxa"/>
          </w:tcPr>
          <w:p>
            <w:pPr/>
            <w:r>
              <w:t xml:space="preserve">1</w:t>
            </w:r>
          </w:p>
        </w:tc>
        <w:tc>
          <w:tcPr>
            <w:tcW w:w="4680" w:type="dxa"/>
          </w:tcPr>
          <w:p>
            <w:pPr/>
            <w:r>
              <w:t xml:space="preserve">Company pays one certification or external course per year</w:t>
            </w:r>
          </w:p>
        </w:tc>
      </w:tr>
      <w:tr>
        <w:tc>
          <w:tcPr>
            <w:tcW w:w="4680" w:type="dxa"/>
          </w:tcPr>
          <w:p>
            <w:pPr/>
            <w:r>
              <w:t xml:space="preserve">2</w:t>
            </w:r>
          </w:p>
        </w:tc>
        <w:tc>
          <w:tcPr>
            <w:tcW w:w="4680" w:type="dxa"/>
          </w:tcPr>
          <w:p>
            <w:pPr/>
            <w:r>
              <w:t xml:space="preserve">+1 annual leave day</w:t>
            </w:r>
          </w:p>
        </w:tc>
      </w:tr>
      <w:tr>
        <w:tc>
          <w:tcPr>
            <w:tcW w:w="4680" w:type="dxa"/>
          </w:tcPr>
          <w:p>
            <w:pPr/>
            <w:r>
              <w:t xml:space="preserve">3</w:t>
            </w:r>
          </w:p>
        </w:tc>
        <w:tc>
          <w:tcPr>
            <w:tcW w:w="4680" w:type="dxa"/>
          </w:tcPr>
          <w:p>
            <w:pPr/>
            <w:r>
              <w:t xml:space="preserve">+2 annual leave days (total); retention bonus of 5% of annual base; first pick of shift or flexible-hours slots</w:t>
            </w:r>
          </w:p>
        </w:tc>
      </w:tr>
      <w:tr>
        <w:tc>
          <w:tcPr>
            <w:tcW w:w="4680" w:type="dxa"/>
          </w:tcPr>
          <w:p>
            <w:pPr/>
            <w:r>
              <w:t xml:space="preserve">5</w:t>
            </w:r>
          </w:p>
        </w:tc>
        <w:tc>
          <w:tcPr>
            <w:tcW w:w="4680" w:type="dxa"/>
          </w:tcPr>
          <w:p>
            <w:pPr/>
            <w:r>
              <w:t xml:space="preserve">+3 annual leave days (total); retention bonus of 8% of annual base; service award</w:t>
            </w:r>
          </w:p>
        </w:tc>
      </w:tr>
      <w:tr>
        <w:tc>
          <w:tcPr>
            <w:tcW w:w="4680" w:type="dxa"/>
          </w:tcPr>
          <w:p>
            <w:pPr/>
            <w:r>
              <w:t xml:space="preserve">10</w:t>
            </w:r>
          </w:p>
        </w:tc>
        <w:tc>
          <w:tcPr>
            <w:tcW w:w="4680" w:type="dxa"/>
          </w:tcPr>
          <w:p>
            <w:pPr/>
            <w:r>
              <w:t xml:space="preserve">+5 annual leave days (total); retention bonus of 10% of annual base; service award</w:t>
            </w:r>
          </w:p>
        </w:tc>
      </w:tr>
    </w:tbl>
    <w:p>
      <w:pPr/>
      <w:r>
        <w:rPr>
          <w:b/>
        </w:rPr>
        <w:t xml:space="preserve">Transition retention bonus:</w:t>
      </w:r>
      <w:r>
        <w:t xml:space="preserve"> for staff whose skills are critical through the Jan 1 gateway cutover and the team launch (mainly experienced negotiators and the strongest coders and billers). Pay 10% of annual base, half in July 2027 and half in January 2028, conditional on still being employed and keeping a QA of 95% or higher.</w:t>
      </w:r>
    </w:p>
    <w:p>
      <w:pPr>
        <w:pStyle w:val="Heading2"/>
      </w:pPr>
      <w:r>
        <w:t xml:space="preserve">Bridge night rota</w:t>
      </w:r>
    </w:p>
    <w:p>
      <w:pPr/>
      <w:r>
        <w:t xml:space="preserve">Any L2, L3 or L4 member holding C2 can opt in to the bridge night rota. It is no longer limited to 2 team leads.</w:t>
      </w:r>
    </w:p>
    <w:p>
      <w:pPr>
        <w:pStyle w:val="ListParagraph"/>
        <w:numPr>
          <w:ilvl w:val="0"/>
          <w:numId w:val="7"/>
        </w:numPr>
      </w:pPr>
      <w:r>
        <w:rPr>
          <w:b/>
        </w:rPr>
        <w:t xml:space="preserve">Hours:</w:t>
      </w:r>
      <w:r>
        <w:t xml:space="preserve"> 16:00–24:00 Beirut, Monday to Friday (08:00–16:00 US Central).</w:t>
      </w:r>
    </w:p>
    <w:p>
      <w:pPr>
        <w:pStyle w:val="ListParagraph"/>
        <w:numPr>
          <w:ilvl w:val="0"/>
          <w:numId w:val="7"/>
        </w:numPr>
      </w:pPr>
      <w:r>
        <w:rPr>
          <w:b/>
        </w:rPr>
        <w:t xml:space="preserve">Staffing:</w:t>
      </w:r>
      <w:r>
        <w:t xml:space="preserve"> 2 members a night, at least one holding A2 as night lead. The rota reports to the Onshore–Offshore Liaison owner.</w:t>
      </w:r>
    </w:p>
    <w:p>
      <w:pPr>
        <w:pStyle w:val="ListParagraph"/>
        <w:numPr>
          <w:ilvl w:val="0"/>
          <w:numId w:val="7"/>
        </w:numPr>
      </w:pPr>
      <w:r>
        <w:rPr>
          <w:b/>
        </w:rPr>
        <w:t xml:space="preserve">Duties:</w:t>
      </w:r>
      <w:r>
        <w:t xml:space="preserve"> check the tickets due that day, answer the US desk within 15 minutes, fix rejected tickets the same US day, and post the handover log.</w:t>
      </w:r>
    </w:p>
    <w:p>
      <w:pPr>
        <w:pStyle w:val="ListParagraph"/>
        <w:numPr>
          <w:ilvl w:val="0"/>
          <w:numId w:val="7"/>
        </w:numPr>
      </w:pPr>
      <w:r>
        <w:rPr>
          <w:b/>
        </w:rPr>
        <w:t xml:space="preserve">Rota size:</w:t>
      </w:r>
      <w:r>
        <w:t xml:space="preserve"> 10 members at 1 night a week, or 20 members at 1 night every other week, or any size in between, set each quarter from the opt-ins.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Members on the rota</w:t>
            </w:r>
          </w:p>
        </w:tc>
        <w:tc>
          <w:tcPr>
            <w:tcW w:w="4680" w:type="dxa"/>
            <w:shd w:val="clear" w:color="auto" w:fill="F2F2F2"/>
          </w:tcPr>
          <w:p>
            <w:pPr/>
            <w:r>
              <w:t xml:space="preserve">Bonus per member per quarter</w:t>
            </w:r>
          </w:p>
        </w:tc>
      </w:tr>
      <w:tr>
        <w:tc>
          <w:tcPr>
            <w:tcW w:w="4680" w:type="dxa"/>
          </w:tcPr>
          <w:p>
            <w:pPr/>
            <w:r>
              <w:t xml:space="preserve">10</w:t>
            </w:r>
          </w:p>
        </w:tc>
        <w:tc>
          <w:tcPr>
            <w:tcW w:w="4680" w:type="dxa"/>
          </w:tcPr>
          <w:p>
            <w:pPr/>
            <w:r>
              <w:t xml:space="preserve">$3,000</w:t>
            </w:r>
          </w:p>
        </w:tc>
      </w:tr>
      <w:tr>
        <w:tc>
          <w:tcPr>
            <w:tcW w:w="4680" w:type="dxa"/>
          </w:tcPr>
          <w:p>
            <w:pPr/>
            <w:r>
              <w:t xml:space="preserve">15</w:t>
            </w:r>
          </w:p>
        </w:tc>
        <w:tc>
          <w:tcPr>
            <w:tcW w:w="4680" w:type="dxa"/>
          </w:tcPr>
          <w:p>
            <w:pPr/>
            <w:r>
              <w:t xml:space="preserve">$2,000</w:t>
            </w:r>
          </w:p>
        </w:tc>
      </w:tr>
      <w:tr>
        <w:tc>
          <w:tcPr>
            <w:tcW w:w="4680" w:type="dxa"/>
          </w:tcPr>
          <w:p>
            <w:pPr/>
            <w:r>
              <w:t xml:space="preserve">20</w:t>
            </w:r>
          </w:p>
        </w:tc>
        <w:tc>
          <w:tcPr>
            <w:tcW w:w="4680" w:type="dxa"/>
          </w:tcPr>
          <w:p>
            <w:pPr/>
            <w:r>
              <w:t xml:space="preserve">$1,500</w:t>
            </w:r>
          </w:p>
        </w:tc>
      </w:tr>
      <w:tr>
        <w:tc>
          <w:tcPr>
            <w:tcW w:w="4680" w:type="dxa"/>
          </w:tcPr>
          <w:p>
            <w:pPr/>
            <w:r>
              <w:t xml:space="preserve">30</w:t>
            </w:r>
          </w:p>
        </w:tc>
        <w:tc>
          <w:tcPr>
            <w:tcW w:w="4680" w:type="dxa"/>
          </w:tcPr>
          <w:p>
            <w:pPr/>
            <w:r>
              <w:t xml:space="preserve">$1,000</w:t>
            </w:r>
          </w:p>
        </w:tc>
      </w:tr>
      <w:tr>
        <w:tc>
          <w:tcPr>
            <w:tcW w:w="4680" w:type="dxa"/>
          </w:tcPr>
          <w:p>
            <w:pPr/>
            <w:r>
              <w:t xml:space="preserve">50</w:t>
            </w:r>
          </w:p>
        </w:tc>
        <w:tc>
          <w:tcPr>
            <w:tcW w:w="4680" w:type="dxa"/>
          </w:tcPr>
          <w:p>
            <w:pPr/>
            <w:r>
              <w:t xml:space="preserve">$600</w:t>
            </w:r>
          </w:p>
        </w:tc>
      </w:tr>
      <w:tr>
        <w:tc>
          <w:tcPr>
            <w:tcW w:w="4680" w:type="dxa"/>
          </w:tcPr>
          <w:p>
            <w:pPr/>
            <w:r>
              <w:t xml:space="preserve">100</w:t>
            </w:r>
          </w:p>
        </w:tc>
        <w:tc>
          <w:tcPr>
            <w:tcW w:w="4680" w:type="dxa"/>
          </w:tcPr>
          <w:p>
            <w:pPr/>
            <w:r>
              <w:t xml:space="preserve">$300</w:t>
            </w:r>
          </w:p>
        </w:tc>
      </w:tr>
    </w:tbl>
    <w:p>
      <w:pPr/>
      <w:r>
        <w:t xml:space="preserve">The bonus comes from a fixed $30,000 quarterly pool shared equally, within $300–3,000 per member. It is paid in full when the rota meets its targets (98% first-pass tickets, answers within 15 minutes, no deadline missed because of a ticket) and the member works all assigned nights. Missed nights reduce the share pro rata. Transport home is covered.</w:t>
      </w:r>
    </w:p>
    <w:p>
      <w:pPr>
        <w:pStyle w:val="Heading2"/>
      </w:pPr>
      <w:r>
        <w:t xml:space="preserve">Glossary</w:t>
      </w:r>
    </w:p>
    <w:p>
      <w:pPr/>
      <w:r>
        <w:t xml:space="preserve">Codes and abbreviations used in this document.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Code</w:t>
            </w:r>
          </w:p>
        </w:tc>
        <w:tc>
          <w:tcPr>
            <w:tcW w:w="4680" w:type="dxa"/>
            <w:shd w:val="clear" w:color="auto" w:fill="F2F2F2"/>
          </w:tcPr>
          <w:p>
            <w:pPr/>
            <w:r>
              <w:t xml:space="preserve">Stands for</w:t>
            </w:r>
          </w:p>
        </w:tc>
      </w:tr>
      <w:tr>
        <w:tc>
          <w:tcPr>
            <w:tcW w:w="4680" w:type="dxa"/>
          </w:tcPr>
          <w:p>
            <w:pPr/>
            <w:r>
              <w:t xml:space="preserve">C1–C5</w:t>
            </w:r>
          </w:p>
        </w:tc>
        <w:tc>
          <w:tcPr>
            <w:tcW w:w="4680" w:type="dxa"/>
          </w:tcPr>
          <w:p>
            <w:pPr/>
            <w:r>
              <w:rPr>
                <w:b/>
              </w:rPr>
              <w:t xml:space="preserve">Core</w:t>
            </w:r>
            <w:r>
              <w:t xml:space="preserve"> badges: the five skills every specialist holds by L2 (C = core)</w:t>
            </w:r>
          </w:p>
        </w:tc>
      </w:tr>
      <w:tr>
        <w:tc>
          <w:tcPr>
            <w:tcW w:w="4680" w:type="dxa"/>
          </w:tcPr>
          <w:p>
            <w:pPr/>
            <w:r>
              <w:t xml:space="preserve">A1–A4</w:t>
            </w:r>
          </w:p>
        </w:tc>
        <w:tc>
          <w:tcPr>
            <w:tcW w:w="4680" w:type="dxa"/>
          </w:tcPr>
          <w:p>
            <w:pPr/>
            <w:r>
              <w:rPr>
                <w:b/>
              </w:rPr>
              <w:t xml:space="preserve">Advanced</w:t>
            </w:r>
            <w:r>
              <w:t xml:space="preserve"> badges: expert skills; 2 are needed for L3 and 3 for L4 (A = advanced)</w:t>
            </w:r>
          </w:p>
        </w:tc>
      </w:tr>
      <w:tr>
        <w:tc>
          <w:tcPr>
            <w:tcW w:w="4680" w:type="dxa"/>
          </w:tcPr>
          <w:p>
            <w:pPr/>
            <w:r>
              <w:t xml:space="preserve">L1–L4</w:t>
            </w:r>
          </w:p>
        </w:tc>
        <w:tc>
          <w:tcPr>
            <w:tcW w:w="4680" w:type="dxa"/>
          </w:tcPr>
          <w:p>
            <w:pPr/>
            <w:r>
              <w:t xml:space="preserve">Specialist levels: RCM Specialist I and II, Senior Specialist I and II; L5 Principal is the leadership level</w:t>
            </w:r>
          </w:p>
        </w:tc>
      </w:tr>
      <w:tr>
        <w:tc>
          <w:tcPr>
            <w:tcW w:w="4680" w:type="dxa"/>
          </w:tcPr>
          <w:p>
            <w:pPr/>
            <w:r>
              <w:t xml:space="preserve">TL</w:t>
            </w:r>
          </w:p>
        </w:tc>
        <w:tc>
          <w:tcPr>
            <w:tcW w:w="4680" w:type="dxa"/>
          </w:tcPr>
          <w:p>
            <w:pPr/>
            <w:r>
              <w:t xml:space="preserve">Team Lead</w:t>
            </w:r>
          </w:p>
        </w:tc>
      </w:tr>
      <w:tr>
        <w:tc>
          <w:tcPr>
            <w:tcW w:w="4680" w:type="dxa"/>
          </w:tcPr>
          <w:p>
            <w:pPr/>
            <w:r>
              <w:t xml:space="preserve">OON</w:t>
            </w:r>
          </w:p>
        </w:tc>
        <w:tc>
          <w:tcPr>
            <w:tcW w:w="4680" w:type="dxa"/>
          </w:tcPr>
          <w:p>
            <w:pPr/>
            <w:r>
              <w:t xml:space="preserve">Out of network</w:t>
            </w:r>
          </w:p>
        </w:tc>
      </w:tr>
      <w:tr>
        <w:tc>
          <w:tcPr>
            <w:tcW w:w="4680" w:type="dxa"/>
          </w:tcPr>
          <w:p>
            <w:pPr/>
            <w:r>
              <w:t xml:space="preserve">NSA</w:t>
            </w:r>
          </w:p>
        </w:tc>
        <w:tc>
          <w:tcPr>
            <w:tcW w:w="4680" w:type="dxa"/>
          </w:tcPr>
          <w:p>
            <w:pPr/>
            <w:r>
              <w:t xml:space="preserve">No Surprises Act, the federal law that covers out-of-network emergency claims</w:t>
            </w:r>
          </w:p>
        </w:tc>
      </w:tr>
      <w:tr>
        <w:tc>
          <w:tcPr>
            <w:tcW w:w="4680" w:type="dxa"/>
          </w:tcPr>
          <w:p>
            <w:pPr/>
            <w:r>
              <w:t xml:space="preserve">NNSA</w:t>
            </w:r>
          </w:p>
        </w:tc>
        <w:tc>
          <w:tcPr>
            <w:tcW w:w="4680" w:type="dxa"/>
          </w:tcPr>
          <w:p>
            <w:pPr/>
            <w:r>
              <w:t xml:space="preserve">Non-NSA claims: claims that don't go through the No Surprises Act process</w:t>
            </w:r>
          </w:p>
        </w:tc>
      </w:tr>
      <w:tr>
        <w:tc>
          <w:tcPr>
            <w:tcW w:w="4680" w:type="dxa"/>
          </w:tcPr>
          <w:p>
            <w:pPr/>
            <w:r>
              <w:t xml:space="preserve">IDR</w:t>
            </w:r>
          </w:p>
        </w:tc>
        <w:tc>
          <w:tcPr>
            <w:tcW w:w="4680" w:type="dxa"/>
          </w:tcPr>
          <w:p>
            <w:pPr/>
            <w:r>
              <w:t xml:space="preserve">Independent Dispute Resolution, the federal process for NSA payment disputes</w:t>
            </w:r>
          </w:p>
        </w:tc>
      </w:tr>
      <w:tr>
        <w:tc>
          <w:tcPr>
            <w:tcW w:w="4680" w:type="dxa"/>
          </w:tcPr>
          <w:p>
            <w:pPr/>
            <w:r>
              <w:t xml:space="preserve">IDRE</w:t>
            </w:r>
          </w:p>
        </w:tc>
        <w:tc>
          <w:tcPr>
            <w:tcW w:w="4680" w:type="dxa"/>
          </w:tcPr>
          <w:p>
            <w:pPr/>
            <w:r>
              <w:t xml:space="preserve">IDR entity: the certified arbitrator that decides a dispute</w:t>
            </w:r>
          </w:p>
        </w:tc>
      </w:tr>
      <w:tr>
        <w:tc>
          <w:tcPr>
            <w:tcW w:w="4680" w:type="dxa"/>
          </w:tcPr>
          <w:p>
            <w:pPr/>
            <w:r>
              <w:t xml:space="preserve">OMB form / Open Negotiation</w:t>
            </w:r>
          </w:p>
        </w:tc>
        <w:tc>
          <w:tcPr>
            <w:tcW w:w="4680" w:type="dxa"/>
          </w:tcPr>
          <w:p>
            <w:pPr/>
            <w:r>
              <w:t xml:space="preserve">The 30-business-day negotiation required before IDR; its notice uses the OMB-approved form</w:t>
            </w:r>
          </w:p>
        </w:tc>
      </w:tr>
      <w:tr>
        <w:tc>
          <w:tcPr>
            <w:tcW w:w="4680" w:type="dxa"/>
          </w:tcPr>
          <w:p>
            <w:pPr/>
            <w:r>
              <w:t xml:space="preserve">QPA</w:t>
            </w:r>
          </w:p>
        </w:tc>
        <w:tc>
          <w:tcPr>
            <w:tcW w:w="4680" w:type="dxa"/>
          </w:tcPr>
          <w:p>
            <w:pPr/>
            <w:r>
              <w:t xml:space="preserve">Qualifying payment amount: the payer's median in-network rate</w:t>
            </w:r>
          </w:p>
        </w:tc>
      </w:tr>
      <w:tr>
        <w:tc>
          <w:tcPr>
            <w:tcW w:w="4680" w:type="dxa"/>
          </w:tcPr>
          <w:p>
            <w:pPr/>
            <w:r>
              <w:t xml:space="preserve">MVA</w:t>
            </w:r>
          </w:p>
        </w:tc>
        <w:tc>
          <w:tcPr>
            <w:tcW w:w="4680" w:type="dxa"/>
          </w:tcPr>
          <w:p>
            <w:pPr/>
            <w:r>
              <w:t xml:space="preserve">Motor vehicle accident claims</w:t>
            </w:r>
          </w:p>
        </w:tc>
      </w:tr>
      <w:tr>
        <w:tc>
          <w:tcPr>
            <w:tcW w:w="4680" w:type="dxa"/>
          </w:tcPr>
          <w:p>
            <w:pPr/>
            <w:r>
              <w:t xml:space="preserve">PIP / MedPay</w:t>
            </w:r>
          </w:p>
        </w:tc>
        <w:tc>
          <w:tcPr>
            <w:tcW w:w="4680" w:type="dxa"/>
          </w:tcPr>
          <w:p>
            <w:pPr/>
            <w:r>
              <w:t xml:space="preserve">Medical coverage inside an auto insurance policy</w:t>
            </w:r>
          </w:p>
        </w:tc>
      </w:tr>
      <w:tr>
        <w:tc>
          <w:tcPr>
            <w:tcW w:w="4680" w:type="dxa"/>
          </w:tcPr>
          <w:p>
            <w:pPr/>
            <w:r>
              <w:t xml:space="preserve">DOS</w:t>
            </w:r>
          </w:p>
        </w:tc>
        <w:tc>
          <w:tcPr>
            <w:tcW w:w="4680" w:type="dxa"/>
          </w:tcPr>
          <w:p>
            <w:pPr/>
            <w:r>
              <w:t xml:space="preserve">Date of service</w:t>
            </w:r>
          </w:p>
        </w:tc>
      </w:tr>
      <w:tr>
        <w:tc>
          <w:tcPr>
            <w:tcW w:w="4680" w:type="dxa"/>
          </w:tcPr>
          <w:p>
            <w:pPr/>
            <w:r>
              <w:t xml:space="preserve">ERA</w:t>
            </w:r>
          </w:p>
        </w:tc>
        <w:tc>
          <w:tcPr>
            <w:tcW w:w="4680" w:type="dxa"/>
          </w:tcPr>
          <w:p>
            <w:pPr/>
            <w:r>
              <w:t xml:space="preserve">Electronic remittance advice: the payer's electronic payment explanation</w:t>
            </w:r>
          </w:p>
        </w:tc>
      </w:tr>
      <w:tr>
        <w:tc>
          <w:tcPr>
            <w:tcW w:w="4680" w:type="dxa"/>
          </w:tcPr>
          <w:p>
            <w:pPr/>
            <w:r>
              <w:t xml:space="preserve">CPC / COC / CCS</w:t>
            </w:r>
          </w:p>
        </w:tc>
        <w:tc>
          <w:tcPr>
            <w:tcW w:w="4680" w:type="dxa"/>
          </w:tcPr>
          <w:p>
            <w:pPr/>
            <w:r>
              <w:t xml:space="preserve">Medical coding certifications</w:t>
            </w:r>
          </w:p>
        </w:tc>
      </w:tr>
      <w:tr>
        <w:tc>
          <w:tcPr>
            <w:tcW w:w="4680" w:type="dxa"/>
          </w:tcPr>
          <w:p>
            <w:pPr/>
            <w:r>
              <w:t xml:space="preserve">CEU</w:t>
            </w:r>
          </w:p>
        </w:tc>
        <w:tc>
          <w:tcPr>
            <w:tcW w:w="4680" w:type="dxa"/>
          </w:tcPr>
          <w:p>
            <w:pPr/>
            <w:r>
              <w:t xml:space="preserve">Continuing education unit, needed to keep a certification</w:t>
            </w:r>
          </w:p>
        </w:tc>
      </w:tr>
      <w:tr>
        <w:tc>
          <w:tcPr>
            <w:tcW w:w="4680" w:type="dxa"/>
          </w:tcPr>
          <w:p>
            <w:pPr/>
            <w:r>
              <w:t xml:space="preserve">QA</w:t>
            </w:r>
          </w:p>
        </w:tc>
        <w:tc>
          <w:tcPr>
            <w:tcW w:w="4680" w:type="dxa"/>
          </w:tcPr>
          <w:p>
            <w:pPr/>
            <w:r>
              <w:t xml:space="preserve">Quality assurance; also the QA department</w:t>
            </w:r>
          </w:p>
        </w:tc>
      </w:tr>
      <w:tr>
        <w:tc>
          <w:tcPr>
            <w:tcW w:w="4680" w:type="dxa"/>
          </w:tcPr>
          <w:p>
            <w:pPr/>
            <w:r>
              <w:t xml:space="preserve">PHI</w:t>
            </w:r>
          </w:p>
        </w:tc>
        <w:tc>
          <w:tcPr>
            <w:tcW w:w="4680" w:type="dxa"/>
          </w:tcPr>
          <w:p>
            <w:pPr/>
            <w:r>
              <w:t xml:space="preserve">Protected health information</w:t>
            </w:r>
          </w:p>
        </w:tc>
      </w:tr>
      <w:tr>
        <w:tc>
          <w:tcPr>
            <w:tcW w:w="4680" w:type="dxa"/>
          </w:tcPr>
          <w:p>
            <w:pPr/>
            <w:r>
              <w:t xml:space="preserve">Net Recovery</w:t>
            </w:r>
          </w:p>
        </w:tc>
        <w:tc>
          <w:tcPr>
            <w:tcW w:w="4680" w:type="dxa"/>
          </w:tcPr>
          <w:p>
            <w:pPr/>
            <w:r>
              <w:t xml:space="preserve">(Collected − initial payment − IDR fees not refunded) ÷ (billed − initial payment)</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RCM Specialist Badge Competency Matrix</dc:title>
  <dc:description>Claude Docs node/eb5eb288-16b7@59 docx-w6</dc:description>
  <cp:revision>59</cp:revision>
</cp:coreProperties>
</file>