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Appendix: Manager Portfolios and Special Projects</w:t>
      </w:r>
    </w:p>
    <w:p>
      <w:pPr/>
      <w:r>
        <w:t xml:space="preserve">Oct 9, 2026</w:t>
      </w:r>
      <w:r>
        <w:t xml:space="preserve"> · </w:t>
      </w:r>
      <w:r>
        <w:t xml:space="preserve">@Kamil Salameh</w:t>
      </w:r>
    </w:p>
    <w:p>
      <w:pPr>
        <w:pStyle w:val="Heading2"/>
      </w:pPr>
      <w:r>
        <w:t xml:space="preserve">Summary</w:t>
      </w:r>
    </w:p>
    <w:p>
      <w:pPr/>
      <w:r>
        <w:t xml:space="preserve">Besides running a team, each manager owns one </w:t>
      </w:r>
      <w:r>
        <w:rPr>
          <w:b/>
        </w:rPr>
        <w:t xml:space="preserve">portfolio</w:t>
      </w:r>
      <w:r>
        <w:t xml:space="preserve">: a cross-team area the new model depends on. This appendix sets out 11 portfolios with their responsibilities, expectations and KPIs, without naming owners yet. Any portfolio can go to a team manager or to the new Senior Manager, and the leadership board assigns owners.</w:t>
      </w:r>
    </w:p>
    <w:p>
      <w:pPr>
        <w:pStyle w:val="ListParagraph"/>
        <w:numPr>
          <w:ilvl w:val="0"/>
          <w:numId w:val="2"/>
        </w:numPr>
      </w:pPr>
      <w:r>
        <w:rPr>
          <w:b/>
        </w:rPr>
        <w:t xml:space="preserve">8 portfolios proposed:</w:t>
      </w:r>
      <w:r>
        <w:t xml:space="preserve"> Training Academy; Payments and Reconciliation; Onshore–Offshore Liaison; External Relations with IDR entities and payers; Automation, ClickUp, AI and Data; Coding Quality and Guidelines; Denials and NNSA Strategy; IDR Performance Analysis.</w:t>
      </w:r>
    </w:p>
    <w:p>
      <w:pPr>
        <w:pStyle w:val="ListParagraph"/>
        <w:numPr>
          <w:ilvl w:val="0"/>
          <w:numId w:val="2"/>
        </w:numPr>
      </w:pPr>
      <w:r>
        <w:rPr>
          <w:b/>
        </w:rPr>
        <w:t xml:space="preserve">3 portfolios added because the model depends on them:</w:t>
      </w:r>
      <w:r>
        <w:t xml:space="preserve"> Compliance, Deadlines and Gateway Access; Pricing Guide and Offer Strategy; Capacity, Growth and Facility Onboarding.</w:t>
      </w:r>
    </w:p>
    <w:p>
      <w:pPr/>
      <w:r>
        <w:t xml:space="preserve">With 10 team managers and a Senior Manager, there is one portfolio per person.</w:t>
      </w:r>
    </w:p>
    <w:p>
      <w:pPr/>
      <w:r>
        <w:rPr>
          <w:b/>
        </w:rPr>
        <w:t xml:space="preserve">Ground rules:</w:t>
      </w:r>
    </w:p>
    <w:p>
      <w:pPr>
        <w:pStyle w:val="ListParagraph"/>
        <w:numPr>
          <w:ilvl w:val="0"/>
          <w:numId w:val="3"/>
        </w:numPr>
      </w:pPr>
      <w:r>
        <w:rPr>
          <w:b/>
        </w:rPr>
        <w:t xml:space="preserve">Time:</w:t>
      </w:r>
      <w:r>
        <w:t xml:space="preserve"> a portfolio takes about 20–30% of a team manager's week. The owner leads the work and draws on L4 Senior Specialists II, specialty groups and A4 holders to do it.</w:t>
      </w:r>
    </w:p>
    <w:p>
      <w:pPr>
        <w:pStyle w:val="ListParagraph"/>
        <w:numPr>
          <w:ilvl w:val="0"/>
          <w:numId w:val="3"/>
        </w:numPr>
      </w:pPr>
      <w:r>
        <w:rPr>
          <w:b/>
        </w:rPr>
        <w:t xml:space="preserve">Backup:</w:t>
      </w:r>
      <w:r>
        <w:t xml:space="preserve"> each portfolio has a backup manager who covers absences and joins the quarterly deep-dive.</w:t>
      </w:r>
    </w:p>
    <w:p>
      <w:pPr>
        <w:pStyle w:val="ListParagraph"/>
        <w:numPr>
          <w:ilvl w:val="0"/>
          <w:numId w:val="3"/>
        </w:numPr>
      </w:pPr>
      <w:r>
        <w:rPr>
          <w:b/>
        </w:rPr>
        <w:t xml:space="preserve">Decision rights:</w:t>
      </w:r>
      <w:r>
        <w:t xml:space="preserve"> portfolios recommend; they do not override team decision rights. Changes that affect every team go to the leadership board.</w:t>
      </w:r>
    </w:p>
    <w:p>
      <w:pPr>
        <w:pStyle w:val="ListParagraph"/>
        <w:numPr>
          <w:ilvl w:val="0"/>
          <w:numId w:val="3"/>
        </w:numPr>
      </w:pPr>
      <w:r>
        <w:rPr>
          <w:b/>
        </w:rPr>
        <w:t xml:space="preserve">Reporting:</w:t>
      </w:r>
      <w:r>
        <w:t xml:space="preserve"> every owner reports monthly in writing to the director and assistant directors, and presents findings and recommendations at the monthly leadership board meeting.</w:t>
      </w:r>
    </w:p>
    <w:p>
      <w:pPr>
        <w:pStyle w:val="ListParagraph"/>
        <w:numPr>
          <w:ilvl w:val="0"/>
          <w:numId w:val="3"/>
        </w:numPr>
      </w:pPr>
      <w:r>
        <w:rPr>
          <w:b/>
        </w:rPr>
        <w:t xml:space="preserve">Review:</w:t>
      </w:r>
      <w:r>
        <w:t xml:space="preserve"> owners are confirmed every year and may rotate after 18–24 months, so expertise spreads across the management team.</w:t>
      </w:r>
    </w:p>
    <w:p>
      <w:pPr>
        <w:pStyle w:val="Heading2"/>
      </w:pPr>
      <w:r>
        <w:t xml:space="preserve">Portfolios at a glance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Portfolio</w:t>
            </w:r>
          </w:p>
        </w:tc>
        <w:tc>
          <w:tcPr>
            <w:tcW w:w="1872" w:type="dxa"/>
            <w:shd w:val="clear" w:color="auto" w:fill="F2F2F2"/>
          </w:tcPr>
          <w:p>
            <w:pPr/>
            <w:r>
              <w:t xml:space="preserve">Purpose</w:t>
            </w:r>
          </w:p>
        </w:tc>
        <w:tc>
          <w:tcPr>
            <w:tcW w:w="1872" w:type="dxa"/>
            <w:shd w:val="clear" w:color="auto" w:fill="F2F2F2"/>
          </w:tcPr>
          <w:p>
            <w:pPr/>
            <w:r>
              <w:t xml:space="preserve">Headline KPI</w:t>
            </w:r>
          </w:p>
        </w:tc>
        <w:tc>
          <w:tcPr>
            <w:tcW w:w="1872" w:type="dxa"/>
            <w:shd w:val="clear" w:color="auto" w:fill="F2F2F2"/>
          </w:tcPr>
          <w:p>
            <w:pPr/>
            <w:r>
              <w:t xml:space="preserve">Works most with</w:t>
            </w:r>
          </w:p>
        </w:tc>
      </w:tr>
      <w:tr>
        <w:tc>
          <w:tcPr>
            <w:tcW w:w="1872" w:type="dxa"/>
          </w:tcPr>
          <w:p>
            <w:pPr/>
            <w:r>
              <w:t xml:space="preserve">1</w:t>
            </w:r>
          </w:p>
        </w:tc>
        <w:tc>
          <w:tcPr>
            <w:tcW w:w="1872" w:type="dxa"/>
          </w:tcPr>
          <w:p>
            <w:pPr/>
            <w:r>
              <w:t xml:space="preserve">Training Academy</w:t>
            </w:r>
          </w:p>
        </w:tc>
        <w:tc>
          <w:tcPr>
            <w:tcW w:w="1872" w:type="dxa"/>
          </w:tcPr>
          <w:p>
            <w:pPr/>
            <w:r>
              <w:t xml:space="preserve">Onboard, train and award badges; recommend promotions</w:t>
            </w:r>
          </w:p>
        </w:tc>
        <w:tc>
          <w:tcPr>
            <w:tcW w:w="1872" w:type="dxa"/>
          </w:tcPr>
          <w:p>
            <w:pPr/>
            <w:r>
              <w:t xml:space="preserve">All 5 core badges held by everyone by June 30, 2027</w:t>
            </w:r>
          </w:p>
        </w:tc>
        <w:tc>
          <w:tcPr>
            <w:tcW w:w="1872" w:type="dxa"/>
          </w:tcPr>
          <w:p>
            <w:pPr/>
            <w:r>
              <w:t xml:space="preserve">QA department, all teams</w:t>
            </w:r>
          </w:p>
        </w:tc>
      </w:tr>
      <w:tr>
        <w:tc>
          <w:tcPr>
            <w:tcW w:w="1872" w:type="dxa"/>
          </w:tcPr>
          <w:p>
            <w:pPr/>
            <w:r>
              <w:t xml:space="preserve">2</w:t>
            </w:r>
          </w:p>
        </w:tc>
        <w:tc>
          <w:tcPr>
            <w:tcW w:w="1872" w:type="dxa"/>
          </w:tcPr>
          <w:p>
            <w:pPr/>
            <w:r>
              <w:t xml:space="preserve">Payments and Reconciliation</w:t>
            </w:r>
          </w:p>
        </w:tc>
        <w:tc>
          <w:tcPr>
            <w:tcW w:w="1872" w:type="dxa"/>
          </w:tcPr>
          <w:p>
            <w:pPr/>
            <w:r>
              <w:t xml:space="preserve">Every payment posted, matched and reconciled</w:t>
            </w:r>
          </w:p>
        </w:tc>
        <w:tc>
          <w:tcPr>
            <w:tcW w:w="1872" w:type="dxa"/>
          </w:tcPr>
          <w:p>
            <w:pPr/>
            <w:r>
              <w:t xml:space="preserve">IDR awards matched within 2 business days</w:t>
            </w:r>
          </w:p>
        </w:tc>
        <w:tc>
          <w:tcPr>
            <w:tcW w:w="1872" w:type="dxa"/>
          </w:tcPr>
          <w:p>
            <w:pPr/>
            <w:r>
              <w:t xml:space="preserve">Accounting, C4 holders</w:t>
            </w:r>
          </w:p>
        </w:tc>
      </w:tr>
      <w:tr>
        <w:tc>
          <w:tcPr>
            <w:tcW w:w="1872" w:type="dxa"/>
          </w:tcPr>
          <w:p>
            <w:pPr/>
            <w:r>
              <w:t xml:space="preserve">3</w:t>
            </w:r>
          </w:p>
        </w:tc>
        <w:tc>
          <w:tcPr>
            <w:tcW w:w="1872" w:type="dxa"/>
          </w:tcPr>
          <w:p>
            <w:pPr/>
            <w:r>
              <w:t xml:space="preserve">Onshore–Offshore Liaison</w:t>
            </w:r>
          </w:p>
        </w:tc>
        <w:tc>
          <w:tcPr>
            <w:tcW w:w="1872" w:type="dxa"/>
          </w:tcPr>
          <w:p>
            <w:pPr/>
            <w:r>
              <w:t xml:space="preserve">One clear channel between Lebanon, the US desk and accounting</w:t>
            </w:r>
          </w:p>
        </w:tc>
        <w:tc>
          <w:tcPr>
            <w:tcW w:w="1872" w:type="dxa"/>
          </w:tcPr>
          <w:p>
            <w:pPr/>
            <w:r>
              <w:t xml:space="preserve">Same-day completion of US desk work</w:t>
            </w:r>
          </w:p>
        </w:tc>
        <w:tc>
          <w:tcPr>
            <w:tcW w:w="1872" w:type="dxa"/>
          </w:tcPr>
          <w:p>
            <w:pPr/>
            <w:r>
              <w:t xml:space="preserve">US desk, bridge night rota, accounting</w:t>
            </w:r>
          </w:p>
        </w:tc>
      </w:tr>
      <w:tr>
        <w:tc>
          <w:tcPr>
            <w:tcW w:w="1872" w:type="dxa"/>
          </w:tcPr>
          <w:p>
            <w:pPr/>
            <w:r>
              <w:t xml:space="preserve">4</w:t>
            </w:r>
          </w:p>
        </w:tc>
        <w:tc>
          <w:tcPr>
            <w:tcW w:w="1872" w:type="dxa"/>
          </w:tcPr>
          <w:p>
            <w:pPr/>
            <w:r>
              <w:t xml:space="preserve">External Relations: IDR entities and payers</w:t>
            </w:r>
          </w:p>
        </w:tc>
        <w:tc>
          <w:tcPr>
            <w:tcW w:w="1872" w:type="dxa"/>
          </w:tcPr>
          <w:p>
            <w:pPr/>
            <w:r>
              <w:t xml:space="preserve">Relationships, escalations and agreements with IDR entities and payers</w:t>
            </w:r>
          </w:p>
        </w:tc>
        <w:tc>
          <w:tcPr>
            <w:tcW w:w="1872" w:type="dxa"/>
          </w:tcPr>
          <w:p>
            <w:pPr/>
            <w:r>
              <w:t xml:space="preserve">Unpaid awards over 30 days resolved</w:t>
            </w:r>
          </w:p>
        </w:tc>
        <w:tc>
          <w:tcPr>
            <w:tcW w:w="1872" w:type="dxa"/>
          </w:tcPr>
          <w:p>
            <w:pPr/>
            <w:r>
              <w:t xml:space="preserve">IDR entities, payers</w:t>
            </w:r>
          </w:p>
        </w:tc>
      </w:tr>
      <w:tr>
        <w:tc>
          <w:tcPr>
            <w:tcW w:w="1872" w:type="dxa"/>
          </w:tcPr>
          <w:p>
            <w:pPr/>
            <w:r>
              <w:t xml:space="preserve">5</w:t>
            </w:r>
          </w:p>
        </w:tc>
        <w:tc>
          <w:tcPr>
            <w:tcW w:w="1872" w:type="dxa"/>
          </w:tcPr>
          <w:p>
            <w:pPr/>
            <w:r>
              <w:t xml:space="preserve">Automation, ClickUp, AI and Data</w:t>
            </w:r>
          </w:p>
        </w:tc>
        <w:tc>
          <w:tcPr>
            <w:tcW w:w="1872" w:type="dxa"/>
          </w:tcPr>
          <w:p>
            <w:pPr/>
            <w:r>
              <w:t xml:space="preserve">Build and run tools; liaison with IT, development and data teams</w:t>
            </w:r>
          </w:p>
        </w:tc>
        <w:tc>
          <w:tcPr>
            <w:tcW w:w="1872" w:type="dxa"/>
          </w:tcPr>
          <w:p>
            <w:pPr/>
            <w:r>
              <w:t xml:space="preserve">Automation backlog delivered on plan</w:t>
            </w:r>
          </w:p>
        </w:tc>
        <w:tc>
          <w:tcPr>
            <w:tcW w:w="1872" w:type="dxa"/>
          </w:tcPr>
          <w:p>
            <w:pPr/>
            <w:r>
              <w:t xml:space="preserve">IT, development, data teams</w:t>
            </w:r>
          </w:p>
        </w:tc>
      </w:tr>
      <w:tr>
        <w:tc>
          <w:tcPr>
            <w:tcW w:w="1872" w:type="dxa"/>
          </w:tcPr>
          <w:p>
            <w:pPr/>
            <w:r>
              <w:t xml:space="preserve">6</w:t>
            </w:r>
          </w:p>
        </w:tc>
        <w:tc>
          <w:tcPr>
            <w:tcW w:w="1872" w:type="dxa"/>
          </w:tcPr>
          <w:p>
            <w:pPr/>
            <w:r>
              <w:t xml:space="preserve">Coding Quality and Guidelines</w:t>
            </w:r>
          </w:p>
        </w:tc>
        <w:tc>
          <w:tcPr>
            <w:tcW w:w="1872" w:type="dxa"/>
          </w:tcPr>
          <w:p>
            <w:pPr/>
            <w:r>
              <w:t xml:space="preserve">Accurate, defensible coding and up-to-date guidelines</w:t>
            </w:r>
          </w:p>
        </w:tc>
        <w:tc>
          <w:tcPr>
            <w:tcW w:w="1872" w:type="dxa"/>
          </w:tcPr>
          <w:p>
            <w:pPr/>
            <w:r>
              <w:t xml:space="preserve">Coding audit accuracy of 95% or higher</w:t>
            </w:r>
          </w:p>
        </w:tc>
        <w:tc>
          <w:tcPr>
            <w:tcW w:w="1872" w:type="dxa"/>
          </w:tcPr>
          <w:p>
            <w:pPr/>
            <w:r>
              <w:t xml:space="preserve">QA department, A1 holders</w:t>
            </w:r>
          </w:p>
        </w:tc>
      </w:tr>
      <w:tr>
        <w:tc>
          <w:tcPr>
            <w:tcW w:w="1872" w:type="dxa"/>
          </w:tcPr>
          <w:p>
            <w:pPr/>
            <w:r>
              <w:t xml:space="preserve">7</w:t>
            </w:r>
          </w:p>
        </w:tc>
        <w:tc>
          <w:tcPr>
            <w:tcW w:w="1872" w:type="dxa"/>
          </w:tcPr>
          <w:p>
            <w:pPr/>
            <w:r>
              <w:t xml:space="preserve">Denials and NNSA Strategy</w:t>
            </w:r>
          </w:p>
        </w:tc>
        <w:tc>
          <w:tcPr>
            <w:tcW w:w="1872" w:type="dxa"/>
          </w:tcPr>
          <w:p>
            <w:pPr/>
            <w:r>
              <w:t xml:space="preserve">Find denial patterns and run the appeal strategy</w:t>
            </w:r>
          </w:p>
        </w:tc>
        <w:tc>
          <w:tcPr>
            <w:tcW w:w="1872" w:type="dxa"/>
          </w:tcPr>
          <w:p>
            <w:pPr/>
            <w:r>
              <w:t xml:space="preserve">Appeal overturn rate</w:t>
            </w:r>
          </w:p>
        </w:tc>
        <w:tc>
          <w:tcPr>
            <w:tcW w:w="1872" w:type="dxa"/>
          </w:tcPr>
          <w:p>
            <w:pPr/>
            <w:r>
              <w:t xml:space="preserve">C3 holders, payers</w:t>
            </w:r>
          </w:p>
        </w:tc>
      </w:tr>
      <w:tr>
        <w:tc>
          <w:tcPr>
            <w:tcW w:w="1872" w:type="dxa"/>
          </w:tcPr>
          <w:p>
            <w:pPr/>
            <w:r>
              <w:t xml:space="preserve">8</w:t>
            </w:r>
          </w:p>
        </w:tc>
        <w:tc>
          <w:tcPr>
            <w:tcW w:w="1872" w:type="dxa"/>
          </w:tcPr>
          <w:p>
            <w:pPr/>
            <w:r>
              <w:t xml:space="preserve">IDR Performance Analysis</w:t>
            </w:r>
          </w:p>
        </w:tc>
        <w:tc>
          <w:tcPr>
            <w:tcW w:w="1872" w:type="dxa"/>
          </w:tcPr>
          <w:p>
            <w:pPr/>
            <w:r>
              <w:t xml:space="preserve">Monitor and report IDR results by location, payer and IDR entity</w:t>
            </w:r>
          </w:p>
        </w:tc>
        <w:tc>
          <w:tcPr>
            <w:tcW w:w="1872" w:type="dxa"/>
          </w:tcPr>
          <w:p>
            <w:pPr/>
            <w:r>
              <w:t xml:space="preserve">IDR win rate and Net Recovery</w:t>
            </w:r>
          </w:p>
        </w:tc>
        <w:tc>
          <w:tcPr>
            <w:tcW w:w="1872" w:type="dxa"/>
          </w:tcPr>
          <w:p>
            <w:pPr/>
            <w:r>
              <w:t xml:space="preserve">A2 and A4 holders</w:t>
            </w:r>
          </w:p>
        </w:tc>
      </w:tr>
      <w:tr>
        <w:tc>
          <w:tcPr>
            <w:tcW w:w="1872" w:type="dxa"/>
          </w:tcPr>
          <w:p>
            <w:pPr/>
            <w:r>
              <w:t xml:space="preserve">9</w:t>
            </w:r>
          </w:p>
        </w:tc>
        <w:tc>
          <w:tcPr>
            <w:tcW w:w="1872" w:type="dxa"/>
          </w:tcPr>
          <w:p>
            <w:pPr/>
            <w:r>
              <w:t xml:space="preserve">Compliance, Deadlines and Gateway Access (added)</w:t>
            </w:r>
          </w:p>
        </w:tc>
        <w:tc>
          <w:tcPr>
            <w:tcW w:w="1872" w:type="dxa"/>
          </w:tcPr>
          <w:p>
            <w:pPr/>
            <w:r>
              <w:t xml:space="preserve">Zero missed deadlines; HIPAA and onshore-rule compliance</w:t>
            </w:r>
          </w:p>
        </w:tc>
        <w:tc>
          <w:tcPr>
            <w:tcW w:w="1872" w:type="dxa"/>
          </w:tcPr>
          <w:p>
            <w:pPr/>
            <w:r>
              <w:t xml:space="preserve">Zero missed regulatory deadlines</w:t>
            </w:r>
          </w:p>
        </w:tc>
        <w:tc>
          <w:tcPr>
            <w:tcW w:w="1872" w:type="dxa"/>
          </w:tcPr>
          <w:p>
            <w:pPr/>
            <w:r>
              <w:t xml:space="preserve">Legal, QA, US desk</w:t>
            </w:r>
          </w:p>
        </w:tc>
      </w:tr>
      <w:tr>
        <w:tc>
          <w:tcPr>
            <w:tcW w:w="1872" w:type="dxa"/>
          </w:tcPr>
          <w:p>
            <w:pPr/>
            <w:r>
              <w:t xml:space="preserve">10</w:t>
            </w:r>
          </w:p>
        </w:tc>
        <w:tc>
          <w:tcPr>
            <w:tcW w:w="1872" w:type="dxa"/>
          </w:tcPr>
          <w:p>
            <w:pPr/>
            <w:r>
              <w:t xml:space="preserve">Pricing Guide and Offer Strategy (added)</w:t>
            </w:r>
          </w:p>
        </w:tc>
        <w:tc>
          <w:tcPr>
            <w:tcW w:w="1872" w:type="dxa"/>
          </w:tcPr>
          <w:p>
            <w:pPr/>
            <w:r>
              <w:t xml:space="preserve">Offer and settlement pricing that maximizes recovery</w:t>
            </w:r>
          </w:p>
        </w:tc>
        <w:tc>
          <w:tcPr>
            <w:tcW w:w="1872" w:type="dxa"/>
          </w:tcPr>
          <w:p>
            <w:pPr/>
            <w:r>
              <w:t xml:space="preserve">Settlements and awards against the pricing guide</w:t>
            </w:r>
          </w:p>
        </w:tc>
        <w:tc>
          <w:tcPr>
            <w:tcW w:w="1872" w:type="dxa"/>
          </w:tcPr>
          <w:p>
            <w:pPr/>
            <w:r>
              <w:t xml:space="preserve">A4 holders, IDR Performance</w:t>
            </w:r>
          </w:p>
        </w:tc>
      </w:tr>
      <w:tr>
        <w:tc>
          <w:tcPr>
            <w:tcW w:w="1872" w:type="dxa"/>
          </w:tcPr>
          <w:p>
            <w:pPr/>
            <w:r>
              <w:t xml:space="preserve">11</w:t>
            </w:r>
          </w:p>
        </w:tc>
        <w:tc>
          <w:tcPr>
            <w:tcW w:w="1872" w:type="dxa"/>
          </w:tcPr>
          <w:p>
            <w:pPr/>
            <w:r>
              <w:t xml:space="preserve">Capacity, Growth and Facility Onboarding (added)</w:t>
            </w:r>
          </w:p>
        </w:tc>
        <w:tc>
          <w:tcPr>
            <w:tcW w:w="1872" w:type="dxa"/>
          </w:tcPr>
          <w:p>
            <w:pPr/>
            <w:r>
              <w:t xml:space="preserve">Balanced workload and smooth launch of 19 new facilities</w:t>
            </w:r>
          </w:p>
        </w:tc>
        <w:tc>
          <w:tcPr>
            <w:tcW w:w="1872" w:type="dxa"/>
          </w:tcPr>
          <w:p>
            <w:pPr/>
            <w:r>
              <w:t xml:space="preserve">Every team within 90–110% of target workload</w:t>
            </w:r>
          </w:p>
        </w:tc>
        <w:tc>
          <w:tcPr>
            <w:tcW w:w="1872" w:type="dxa"/>
          </w:tcPr>
          <w:p>
            <w:pPr/>
            <w:r>
              <w:t xml:space="preserve">All teams, in-house recruiting</w:t>
            </w:r>
          </w:p>
        </w:tc>
      </w:tr>
    </w:tbl>
    <w:p>
      <w:pPr>
        <w:pStyle w:val="Heading2"/>
      </w:pPr>
      <w:r>
        <w:t xml:space="preserve">Reporting rhythm</w:t>
      </w:r>
    </w:p>
    <w:p>
      <w:pPr/>
      <w:r>
        <w:t xml:space="preserve">Every portfolio owner reports once a month in writing and once a month in person, using the same template, so the board can compare portfolios and act on them.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Cadence</w:t>
            </w:r>
          </w:p>
        </w:tc>
        <w:tc>
          <w:tcPr>
            <w:tcW w:w="2340" w:type="dxa"/>
            <w:shd w:val="clear" w:color="auto" w:fill="F2F2F2"/>
          </w:tcPr>
          <w:p>
            <w:pPr/>
            <w:r>
              <w:t xml:space="preserve">What</w:t>
            </w:r>
          </w:p>
        </w:tc>
        <w:tc>
          <w:tcPr>
            <w:tcW w:w="2340" w:type="dxa"/>
            <w:shd w:val="clear" w:color="auto" w:fill="F2F2F2"/>
          </w:tcPr>
          <w:p>
            <w:pPr/>
            <w:r>
              <w:t xml:space="preserve">Audience</w:t>
            </w:r>
          </w:p>
        </w:tc>
        <w:tc>
          <w:tcPr>
            <w:tcW w:w="2340" w:type="dxa"/>
            <w:shd w:val="clear" w:color="auto" w:fill="F2F2F2"/>
          </w:tcPr>
          <w:p>
            <w:pPr/>
            <w:r>
              <w:t xml:space="preserve">Timing</w:t>
            </w:r>
          </w:p>
        </w:tc>
      </w:tr>
      <w:tr>
        <w:tc>
          <w:tcPr>
            <w:tcW w:w="2340" w:type="dxa"/>
          </w:tcPr>
          <w:p>
            <w:pPr/>
            <w:r>
              <w:t xml:space="preserve">Monthly</w:t>
            </w:r>
          </w:p>
        </w:tc>
        <w:tc>
          <w:tcPr>
            <w:tcW w:w="2340" w:type="dxa"/>
          </w:tcPr>
          <w:p>
            <w:pPr/>
            <w:r>
              <w:t xml:space="preserve">Written portfolio report, 2 pages at most</w:t>
            </w:r>
          </w:p>
        </w:tc>
        <w:tc>
          <w:tcPr>
            <w:tcW w:w="2340" w:type="dxa"/>
          </w:tcPr>
          <w:p>
            <w:pPr/>
            <w:r>
              <w:t xml:space="preserve">Director and assistant directors</w:t>
            </w:r>
          </w:p>
        </w:tc>
        <w:tc>
          <w:tcPr>
            <w:tcW w:w="2340" w:type="dxa"/>
          </w:tcPr>
          <w:p>
            <w:pPr/>
            <w:r>
              <w:t xml:space="preserve">By the 5th business day of the month</w:t>
            </w:r>
          </w:p>
        </w:tc>
      </w:tr>
      <w:tr>
        <w:tc>
          <w:tcPr>
            <w:tcW w:w="2340" w:type="dxa"/>
          </w:tcPr>
          <w:p>
            <w:pPr/>
            <w:r>
              <w:t xml:space="preserve">Monthly</w:t>
            </w:r>
          </w:p>
        </w:tc>
        <w:tc>
          <w:tcPr>
            <w:tcW w:w="2340" w:type="dxa"/>
          </w:tcPr>
          <w:p>
            <w:pPr/>
            <w:r>
              <w:t xml:space="preserve">Leadership board meeting: each owner presents findings and recommendations for about 10 minutes, and the board decides</w:t>
            </w:r>
          </w:p>
        </w:tc>
        <w:tc>
          <w:tcPr>
            <w:tcW w:w="2340" w:type="dxa"/>
          </w:tcPr>
          <w:p>
            <w:pPr/>
            <w:r>
              <w:t xml:space="preserve">All managers, Senior Manager, director and assistant directors</w:t>
            </w:r>
          </w:p>
        </w:tc>
        <w:tc>
          <w:tcPr>
            <w:tcW w:w="2340" w:type="dxa"/>
          </w:tcPr>
          <w:p>
            <w:pPr/>
            <w:r>
              <w:t xml:space="preserve">Second week of the month</w:t>
            </w:r>
          </w:p>
        </w:tc>
      </w:tr>
      <w:tr>
        <w:tc>
          <w:tcPr>
            <w:tcW w:w="2340" w:type="dxa"/>
          </w:tcPr>
          <w:p>
            <w:pPr/>
            <w:r>
              <w:t xml:space="preserve">Quarterly</w:t>
            </w:r>
          </w:p>
        </w:tc>
        <w:tc>
          <w:tcPr>
            <w:tcW w:w="2340" w:type="dxa"/>
          </w:tcPr>
          <w:p>
            <w:pPr/>
            <w:r>
              <w:t xml:space="preserve">Deep-dive on 3–4 portfolios, so every portfolio gets one each quarter</w:t>
            </w:r>
          </w:p>
        </w:tc>
        <w:tc>
          <w:tcPr>
            <w:tcW w:w="2340" w:type="dxa"/>
          </w:tcPr>
          <w:p>
            <w:pPr/>
            <w:r>
              <w:t xml:space="preserve">Leadership board</w:t>
            </w:r>
          </w:p>
        </w:tc>
        <w:tc>
          <w:tcPr>
            <w:tcW w:w="2340" w:type="dxa"/>
          </w:tcPr>
          <w:p>
            <w:pPr/>
            <w:r>
              <w:t xml:space="preserve">Last meeting of the quarter</w:t>
            </w:r>
          </w:p>
        </w:tc>
      </w:tr>
      <w:tr>
        <w:tc>
          <w:tcPr>
            <w:tcW w:w="2340" w:type="dxa"/>
          </w:tcPr>
          <w:p>
            <w:pPr/>
            <w:r>
              <w:t xml:space="preserve">Yearly</w:t>
            </w:r>
          </w:p>
        </w:tc>
        <w:tc>
          <w:tcPr>
            <w:tcW w:w="2340" w:type="dxa"/>
          </w:tcPr>
          <w:p>
            <w:pPr/>
            <w:r>
              <w:t xml:space="preserve">Portfolio review: KPIs and targets reset, owners confirmed or rotated</w:t>
            </w:r>
          </w:p>
        </w:tc>
        <w:tc>
          <w:tcPr>
            <w:tcW w:w="2340" w:type="dxa"/>
          </w:tcPr>
          <w:p>
            <w:pPr/>
            <w:r>
              <w:t xml:space="preserve">Director, with the leadership board</w:t>
            </w:r>
          </w:p>
        </w:tc>
        <w:tc>
          <w:tcPr>
            <w:tcW w:w="2340" w:type="dxa"/>
          </w:tcPr>
          <w:p>
            <w:pPr/>
            <w:r>
              <w:t xml:space="preserve">December</w:t>
            </w:r>
          </w:p>
        </w:tc>
      </w:tr>
    </w:tbl>
    <w:p>
      <w:pPr/>
      <w:r>
        <w:rPr>
          <w:b/>
        </w:rPr>
        <w:t xml:space="preserve">Monthly report template:</w:t>
      </w:r>
    </w:p>
    <w:p>
      <w:pPr>
        <w:pStyle w:val="ListParagraph"/>
        <w:numPr>
          <w:ilvl w:val="0"/>
          <w:numId w:val="4"/>
        </w:numPr>
      </w:pPr>
      <w:r>
        <w:rPr>
          <w:b/>
        </w:rPr>
        <w:t xml:space="preserve">Headline KPIs:</w:t>
      </w:r>
      <w:r>
        <w:t xml:space="preserve"> this month, last month and target, with a short note on any red item.</w:t>
      </w:r>
    </w:p>
    <w:p>
      <w:pPr>
        <w:pStyle w:val="ListParagraph"/>
        <w:numPr>
          <w:ilvl w:val="0"/>
          <w:numId w:val="4"/>
        </w:numPr>
      </w:pPr>
      <w:r>
        <w:rPr>
          <w:b/>
        </w:rPr>
        <w:t xml:space="preserve">Findings:</w:t>
      </w:r>
      <w:r>
        <w:t xml:space="preserve"> what the data shows, with the evidence.</w:t>
      </w:r>
    </w:p>
    <w:p>
      <w:pPr>
        <w:pStyle w:val="ListParagraph"/>
        <w:numPr>
          <w:ilvl w:val="0"/>
          <w:numId w:val="4"/>
        </w:numPr>
      </w:pPr>
      <w:r>
        <w:rPr>
          <w:b/>
        </w:rPr>
        <w:t xml:space="preserve">Actions taken</w:t>
      </w:r>
      <w:r>
        <w:t xml:space="preserve"> since the last report.</w:t>
      </w:r>
    </w:p>
    <w:p>
      <w:pPr>
        <w:pStyle w:val="ListParagraph"/>
        <w:numPr>
          <w:ilvl w:val="0"/>
          <w:numId w:val="4"/>
        </w:numPr>
      </w:pPr>
      <w:r>
        <w:rPr>
          <w:b/>
        </w:rPr>
        <w:t xml:space="preserve">Risks</w:t>
      </w:r>
      <w:r>
        <w:t xml:space="preserve"> to the model or to deadlines.</w:t>
      </w:r>
    </w:p>
    <w:p>
      <w:pPr>
        <w:pStyle w:val="ListParagraph"/>
        <w:numPr>
          <w:ilvl w:val="0"/>
          <w:numId w:val="4"/>
        </w:numPr>
      </w:pPr>
      <w:r>
        <w:rPr>
          <w:b/>
        </w:rPr>
        <w:t xml:space="preserve">Recommendations and decisions needed</w:t>
      </w:r>
      <w:r>
        <w:t xml:space="preserve"> from the board, each with an owner and date.</w:t>
      </w:r>
    </w:p>
    <w:p>
      <w:pPr/>
      <w:r>
        <w:rPr>
          <w:b/>
        </w:rPr>
        <w:t xml:space="preserve">Board action log:</w:t>
      </w:r>
      <w:r>
        <w:t xml:space="preserve"> every decision gets an owner and a due date, and the log is reviewed at the start of the next meeting. KPI data comes from the shared ClickUp and eCW dashboards that the Automation, ClickUp, AI and Data owner maintains, so everyone works from the same numbers.</w:t>
      </w:r>
    </w:p>
    <w:p>
      <w:pPr>
        <w:pStyle w:val="Heading2"/>
      </w:pPr>
      <w:r>
        <w:t xml:space="preserve">Portfolio details</w:t>
      </w:r>
    </w:p>
    <w:p>
      <w:pPr/>
      <w:r>
        <w:t xml:space="preserve">Each portfolio lists what the owner is responsible for, what they deliver and when, and the KPIs they report monthly. Targets are starting values; the board resets them at the yearly review.</w:t>
      </w:r>
    </w:p>
    <w:p>
      <w:pPr>
        <w:pStyle w:val="Heading3"/>
      </w:pPr>
      <w:r>
        <w:t xml:space="preserve">1. Training Academy</w:t>
      </w:r>
    </w:p>
    <w:p>
      <w:pPr/>
      <w:r>
        <w:rPr>
          <w:b/>
        </w:rPr>
        <w:t xml:space="preserve">Purpose:</w:t>
      </w:r>
      <w:r>
        <w:t xml:space="preserve"> every specialist is trained, badged and placed fairly. Full detail is in the </w:t>
      </w:r>
      <w:hyperlink r:id="rId3" w:history="1">
        <w:r>
          <w:rPr>
            <w:rStyle w:val="Hyperlink"/>
          </w:rPr>
          <w:t xml:space="preserve">Training Academy curriculum</w:t>
        </w:r>
      </w:hyperlink>
      <w:r>
        <w:t xml:space="preserve">.</w:t>
      </w:r>
    </w:p>
    <w:p>
      <w:pPr/>
      <w:r>
        <w:rPr>
          <w:b/>
        </w:rPr>
        <w:t xml:space="preserve">Responsibilities:</w:t>
      </w:r>
    </w:p>
    <w:p>
      <w:pPr>
        <w:pStyle w:val="ListParagraph"/>
        <w:numPr>
          <w:ilvl w:val="0"/>
          <w:numId w:val="5"/>
        </w:numPr>
      </w:pPr>
      <w:r>
        <w:t xml:space="preserve">Chairs the Academy Committee: 2–3 managers, 2 L4 Senior Specialists II, 2 L3 Senior Specialists I, 2 rotating team leads (quarterly) and 1 QA reviewer.</w:t>
      </w:r>
    </w:p>
    <w:p>
      <w:pPr>
        <w:pStyle w:val="ListParagraph"/>
        <w:numPr>
          <w:ilvl w:val="0"/>
          <w:numId w:val="5"/>
        </w:numPr>
      </w:pPr>
      <w:r>
        <w:t xml:space="preserve">Runs monthly new-hire onboarding and each hire's 6-month plan to L2.</w:t>
      </w:r>
    </w:p>
    <w:p>
      <w:pPr>
        <w:pStyle w:val="ListParagraph"/>
        <w:numPr>
          <w:ilvl w:val="0"/>
          <w:numId w:val="5"/>
        </w:numPr>
      </w:pPr>
      <w:r>
        <w:t xml:space="preserve">Runs badge courses, supervised production and Badge Panel assessments, and confirms awards.</w:t>
      </w:r>
    </w:p>
    <w:p>
      <w:pPr>
        <w:pStyle w:val="ListParagraph"/>
        <w:numPr>
          <w:ilvl w:val="0"/>
          <w:numId w:val="5"/>
        </w:numPr>
      </w:pPr>
      <w:r>
        <w:t xml:space="preserve">Leads the quarterly promotion panel.</w:t>
      </w:r>
    </w:p>
    <w:p>
      <w:pPr>
        <w:pStyle w:val="ListParagraph"/>
        <w:numPr>
          <w:ilvl w:val="0"/>
          <w:numId w:val="5"/>
        </w:numPr>
      </w:pPr>
      <w:r>
        <w:t xml:space="preserve">Runs the quarterly test windows in the last two weeks of March, June, September and December: enrolment up to 4 weeks before, every badge test and the full skill assessment, and testing out for members who already do the work.</w:t>
      </w:r>
    </w:p>
    <w:p>
      <w:pPr>
        <w:pStyle w:val="ListParagraph"/>
        <w:numPr>
          <w:ilvl w:val="0"/>
          <w:numId w:val="5"/>
        </w:numPr>
      </w:pPr>
      <w:r>
        <w:t xml:space="preserve">Runs the semiannual KPI review on June 30 and December 31 (QA by badge, critical errors, work units, Net Recovery), and refers badge loss, probation and terminations through HR. The June 2027 review is coaching-only.</w:t>
      </w:r>
    </w:p>
    <w:p>
      <w:pPr>
        <w:pStyle w:val="ListParagraph"/>
        <w:numPr>
          <w:ilvl w:val="0"/>
          <w:numId w:val="5"/>
        </w:numPr>
      </w:pPr>
      <w:r>
        <w:t xml:space="preserve">Runs the January–March 2027 transition: the December 2026 ranking by role, default levels, automatic badges for the top 10%, Academy enrolment at L1 for the bottom 10%, and the February and March test windows for everyone else. Levels take effect April 1, 2027.</w:t>
      </w:r>
    </w:p>
    <w:p>
      <w:pPr>
        <w:pStyle w:val="ListParagraph"/>
        <w:numPr>
          <w:ilvl w:val="0"/>
          <w:numId w:val="5"/>
        </w:numPr>
      </w:pPr>
      <w:r>
        <w:t xml:space="preserve">Keeps the curriculum current, using findings from the Coding Quality, Denials and IDR Performance owners.</w:t>
      </w:r>
    </w:p>
    <w:p>
      <w:pPr/>
      <w:r>
        <w:rPr>
          <w:b/>
        </w:rPr>
        <w:t xml:space="preserve">Deliverables:</w:t>
      </w:r>
      <w:r>
        <w:t xml:space="preserve"> monthly team badge grid; quarterly promotion list; yearly training calendar each December; updated course materials.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Specialists with all 5 core badges</w:t>
            </w:r>
          </w:p>
        </w:tc>
        <w:tc>
          <w:tcPr>
            <w:tcW w:w="4680" w:type="dxa"/>
          </w:tcPr>
          <w:p>
            <w:pPr/>
            <w:r>
              <w:t xml:space="preserve">100% by June 30, 2027</w:t>
            </w:r>
          </w:p>
        </w:tc>
      </w:tr>
      <w:tr>
        <w:tc>
          <w:tcPr>
            <w:tcW w:w="4680" w:type="dxa"/>
          </w:tcPr>
          <w:p>
            <w:pPr/>
            <w:r>
              <w:t xml:space="preserve">Teams with 2 or more holders of every badge</w:t>
            </w:r>
          </w:p>
        </w:tc>
        <w:tc>
          <w:tcPr>
            <w:tcW w:w="4680" w:type="dxa"/>
          </w:tcPr>
          <w:p>
            <w:pPr/>
            <w:r>
              <w:t xml:space="preserve">100%; no gap open more than 30 days</w:t>
            </w:r>
          </w:p>
        </w:tc>
      </w:tr>
      <w:tr>
        <w:tc>
          <w:tcPr>
            <w:tcW w:w="4680" w:type="dxa"/>
          </w:tcPr>
          <w:p>
            <w:pPr/>
            <w:r>
              <w:t xml:space="preserve">New hires at L2 within 6 months</w:t>
            </w:r>
          </w:p>
        </w:tc>
        <w:tc>
          <w:tcPr>
            <w:tcW w:w="4680" w:type="dxa"/>
          </w:tcPr>
          <w:p>
            <w:pPr/>
            <w:r>
              <w:t xml:space="preserve">80% or more</w:t>
            </w:r>
          </w:p>
        </w:tc>
      </w:tr>
      <w:tr>
        <w:tc>
          <w:tcPr>
            <w:tcW w:w="4680" w:type="dxa"/>
          </w:tcPr>
          <w:p>
            <w:pPr/>
            <w:r>
              <w:t xml:space="preserve">Assessment turnaround</w:t>
            </w:r>
          </w:p>
        </w:tc>
        <w:tc>
          <w:tcPr>
            <w:tcW w:w="4680" w:type="dxa"/>
          </w:tcPr>
          <w:p>
            <w:pPr/>
            <w:r>
              <w:t xml:space="preserve">10 business days or less</w:t>
            </w:r>
          </w:p>
        </w:tc>
      </w:tr>
      <w:tr>
        <w:tc>
          <w:tcPr>
            <w:tcW w:w="4680" w:type="dxa"/>
          </w:tcPr>
          <w:p>
            <w:pPr/>
            <w:r>
              <w:t xml:space="preserve">First-attempt pass rate</w:t>
            </w:r>
          </w:p>
        </w:tc>
        <w:tc>
          <w:tcPr>
            <w:tcW w:w="4680" w:type="dxa"/>
          </w:tcPr>
          <w:p>
            <w:pPr/>
            <w:r>
              <w:t xml:space="preserve">75–90%</w:t>
            </w:r>
          </w:p>
        </w:tc>
      </w:tr>
    </w:tbl>
    <w:p>
      <w:pPr>
        <w:pStyle w:val="Heading3"/>
      </w:pPr>
      <w:r>
        <w:t xml:space="preserve">2. Payments and Reconciliation</w:t>
      </w:r>
    </w:p>
    <w:p>
      <w:pPr/>
      <w:r>
        <w:rPr>
          <w:b/>
        </w:rPr>
        <w:t xml:space="preserve">Purpose:</w:t>
      </w:r>
      <w:r>
        <w:t xml:space="preserve"> every dollar received is posted correctly, matched to its claim or award, and reconciled with accounting.</w:t>
      </w:r>
    </w:p>
    <w:p>
      <w:pPr/>
      <w:r>
        <w:rPr>
          <w:b/>
        </w:rPr>
        <w:t xml:space="preserve">Responsibilities:</w:t>
      </w:r>
    </w:p>
    <w:p>
      <w:pPr>
        <w:pStyle w:val="ListParagraph"/>
        <w:numPr>
          <w:ilvl w:val="0"/>
          <w:numId w:val="6"/>
        </w:numPr>
      </w:pPr>
      <w:r>
        <w:t xml:space="preserve">Owns the ERA exception queue and the manual posting standards for C4 holders.</w:t>
      </w:r>
    </w:p>
    <w:p>
      <w:pPr>
        <w:pStyle w:val="ListParagraph"/>
        <w:numPr>
          <w:ilvl w:val="0"/>
          <w:numId w:val="6"/>
        </w:numPr>
      </w:pPr>
      <w:r>
        <w:t xml:space="preserve">Matches IDR award payments to determinations, and chases awards still unpaid 30 days after the determination, with External Relations for escalation.</w:t>
      </w:r>
    </w:p>
    <w:p>
      <w:pPr>
        <w:pStyle w:val="ListParagraph"/>
        <w:numPr>
          <w:ilvl w:val="0"/>
          <w:numId w:val="6"/>
        </w:numPr>
      </w:pPr>
      <w:r>
        <w:t xml:space="preserve">Reconciles posted cash to bank deposits with the accounting teams every month, and resolves variances.</w:t>
      </w:r>
    </w:p>
    <w:p>
      <w:pPr>
        <w:pStyle w:val="ListParagraph"/>
        <w:numPr>
          <w:ilvl w:val="0"/>
          <w:numId w:val="6"/>
        </w:numPr>
      </w:pPr>
      <w:r>
        <w:t xml:space="preserve">Tracks IDR fees paid and the IDR entity fee refunds owed when we win.</w:t>
      </w:r>
    </w:p>
    <w:p>
      <w:pPr>
        <w:pStyle w:val="ListParagraph"/>
        <w:numPr>
          <w:ilvl w:val="0"/>
          <w:numId w:val="6"/>
        </w:numPr>
      </w:pPr>
      <w:r>
        <w:t xml:space="preserve">Identifies overpayments and refunds and tracks them to closure; makes sure claims close only with a zero balance.</w:t>
      </w:r>
    </w:p>
    <w:p>
      <w:pPr/>
      <w:r>
        <w:rPr>
          <w:b/>
        </w:rPr>
        <w:t xml:space="preserve">Deliverables:</w:t>
      </w:r>
      <w:r>
        <w:t xml:space="preserve"> monthly reconciliation signed off with accounting by the 10th business day; aging report of unpaid awards; refund and fee-refund log.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ERA payments posted</w:t>
            </w:r>
          </w:p>
        </w:tc>
        <w:tc>
          <w:tcPr>
            <w:tcW w:w="4680" w:type="dxa"/>
          </w:tcPr>
          <w:p>
            <w:pPr/>
            <w:r>
              <w:t xml:space="preserve">Within 2 business days of receipt</w:t>
            </w:r>
          </w:p>
        </w:tc>
      </w:tr>
      <w:tr>
        <w:tc>
          <w:tcPr>
            <w:tcW w:w="4680" w:type="dxa"/>
          </w:tcPr>
          <w:p>
            <w:pPr/>
            <w:r>
              <w:t xml:space="preserve">IDR award payments matched to determinations</w:t>
            </w:r>
          </w:p>
        </w:tc>
        <w:tc>
          <w:tcPr>
            <w:tcW w:w="4680" w:type="dxa"/>
          </w:tcPr>
          <w:p>
            <w:pPr/>
            <w:r>
              <w:t xml:space="preserve">100% within 2 business days</w:t>
            </w:r>
          </w:p>
        </w:tc>
      </w:tr>
      <w:tr>
        <w:tc>
          <w:tcPr>
            <w:tcW w:w="4680" w:type="dxa"/>
          </w:tcPr>
          <w:p>
            <w:pPr/>
            <w:r>
              <w:t xml:space="preserve">Unpaid awards older than 30 days</w:t>
            </w:r>
          </w:p>
        </w:tc>
        <w:tc>
          <w:tcPr>
            <w:tcW w:w="4680" w:type="dxa"/>
          </w:tcPr>
          <w:p>
            <w:pPr/>
            <w:r>
              <w:t xml:space="preserve">All escalated; 90% resolved within 60 days</w:t>
            </w:r>
          </w:p>
        </w:tc>
      </w:tr>
      <w:tr>
        <w:tc>
          <w:tcPr>
            <w:tcW w:w="4680" w:type="dxa"/>
          </w:tcPr>
          <w:p>
            <w:pPr/>
            <w:r>
              <w:t xml:space="preserve">Unreconciled cash at month end</w:t>
            </w:r>
          </w:p>
        </w:tc>
        <w:tc>
          <w:tcPr>
            <w:tcW w:w="4680" w:type="dxa"/>
          </w:tcPr>
          <w:p>
            <w:pPr/>
            <w:r>
              <w:t xml:space="preserve">None older than 30 days</w:t>
            </w:r>
          </w:p>
        </w:tc>
      </w:tr>
      <w:tr>
        <w:tc>
          <w:tcPr>
            <w:tcW w:w="4680" w:type="dxa"/>
          </w:tcPr>
          <w:p>
            <w:pPr/>
            <w:r>
              <w:t xml:space="preserve">Posting accuracy (QA)</w:t>
            </w:r>
          </w:p>
        </w:tc>
        <w:tc>
          <w:tcPr>
            <w:tcW w:w="4680" w:type="dxa"/>
          </w:tcPr>
          <w:p>
            <w:pPr/>
            <w:r>
              <w:t xml:space="preserve">99% or higher</w:t>
            </w:r>
          </w:p>
        </w:tc>
      </w:tr>
      <w:tr>
        <w:tc>
          <w:tcPr>
            <w:tcW w:w="4680" w:type="dxa"/>
          </w:tcPr>
          <w:p>
            <w:pPr/>
            <w:r>
              <w:t xml:space="preserve">IDR entity fee refunds collected</w:t>
            </w:r>
          </w:p>
        </w:tc>
        <w:tc>
          <w:tcPr>
            <w:tcW w:w="4680" w:type="dxa"/>
          </w:tcPr>
          <w:p>
            <w:pPr/>
            <w:r>
              <w:t xml:space="preserve">95% within 60 days of the determination</w:t>
            </w:r>
          </w:p>
        </w:tc>
      </w:tr>
    </w:tbl>
    <w:p>
      <w:pPr>
        <w:pStyle w:val="Heading3"/>
      </w:pPr>
      <w:r>
        <w:t xml:space="preserve">3. Onshore–Offshore Liaison</w:t>
      </w:r>
    </w:p>
    <w:p>
      <w:pPr/>
      <w:r>
        <w:rPr>
          <w:b/>
        </w:rPr>
        <w:t xml:space="preserve">Purpose:</w:t>
      </w:r>
      <w:r>
        <w:t xml:space="preserve"> one clear channel between the Lebanon teams, the US desk and the accounting teams, so nothing is lost between time zones.</w:t>
      </w:r>
    </w:p>
    <w:p>
      <w:pPr/>
      <w:r>
        <w:rPr>
          <w:b/>
        </w:rPr>
        <w:t xml:space="preserve">Responsibilities:</w:t>
      </w:r>
    </w:p>
    <w:p>
      <w:pPr>
        <w:pStyle w:val="ListParagraph"/>
        <w:numPr>
          <w:ilvl w:val="0"/>
          <w:numId w:val="7"/>
        </w:numPr>
      </w:pPr>
      <w:r>
        <w:t xml:space="preserve">Owns the working relationship with the US desk: daily queue, ticket quality and the escalation path. The bridge night rota reports here: the owner sets the rota each quarter from the opt-ins (any L2, L3 or L4 holding C2, with at least one A2 holder each night) and runs the $30,000 quarterly bonus pool.</w:t>
      </w:r>
    </w:p>
    <w:p>
      <w:pPr>
        <w:pStyle w:val="ListParagraph"/>
        <w:numPr>
          <w:ilvl w:val="0"/>
          <w:numId w:val="7"/>
        </w:numPr>
      </w:pPr>
      <w:r>
        <w:t xml:space="preserve">Runs the daily handover: the nightly log, deadlines at risk and same-day fixes for rejected tickets.</w:t>
      </w:r>
    </w:p>
    <w:p>
      <w:pPr>
        <w:pStyle w:val="ListParagraph"/>
        <w:numPr>
          <w:ilvl w:val="0"/>
          <w:numId w:val="7"/>
        </w:numPr>
      </w:pPr>
      <w:r>
        <w:t xml:space="preserve">Coordinates with the US and Lebanon accounting teams on payments, refunds, IDR fees and month-end.</w:t>
      </w:r>
    </w:p>
    <w:p>
      <w:pPr>
        <w:pStyle w:val="ListParagraph"/>
        <w:numPr>
          <w:ilvl w:val="0"/>
          <w:numId w:val="7"/>
        </w:numPr>
      </w:pPr>
      <w:r>
        <w:t xml:space="preserve">Watches US desk capacity (backlog trigger, leave cover) and raises hiring requests with in-house recruiting.</w:t>
      </w:r>
    </w:p>
    <w:p>
      <w:pPr>
        <w:pStyle w:val="ListParagraph"/>
        <w:numPr>
          <w:ilvl w:val="0"/>
          <w:numId w:val="7"/>
        </w:numPr>
      </w:pPr>
      <w:r>
        <w:t xml:space="preserve">Keeps the communication rules current: channels, response times, the holiday calendar and the clock-change calendar.</w:t>
      </w:r>
    </w:p>
    <w:p>
      <w:pPr>
        <w:pStyle w:val="ListParagraph"/>
        <w:numPr>
          <w:ilvl w:val="0"/>
          <w:numId w:val="7"/>
        </w:numPr>
      </w:pPr>
      <w:r>
        <w:t xml:space="preserve">Under Model C, the proposed model, the US desk files from the IDR Prep Studio copy desk; the owner tracks copy errors and desk questions with the bridge night rota. Under Model B, also owns Cockpit adoption and the Bundle QA standard.</w:t>
      </w:r>
    </w:p>
    <w:p>
      <w:pPr/>
      <w:r>
        <w:rPr>
          <w:b/>
        </w:rPr>
        <w:t xml:space="preserve">Deliverables:</w:t>
      </w:r>
      <w:r>
        <w:t xml:space="preserve"> weekly US desk scorecard; monthly liaison report, including open accounting issues; current escalation matrix.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Tickets at the US desk by the cutoff</w:t>
            </w:r>
          </w:p>
        </w:tc>
        <w:tc>
          <w:tcPr>
            <w:tcW w:w="4680" w:type="dxa"/>
          </w:tcPr>
          <w:p>
            <w:pPr/>
            <w:r>
              <w:t xml:space="preserve">100%</w:t>
            </w:r>
          </w:p>
        </w:tc>
      </w:tr>
      <w:tr>
        <w:tc>
          <w:tcPr>
            <w:tcW w:w="4680" w:type="dxa"/>
          </w:tcPr>
          <w:p>
            <w:pPr/>
            <w:r>
              <w:t xml:space="preserve">Same-day completion at the US desk</w:t>
            </w:r>
          </w:p>
        </w:tc>
        <w:tc>
          <w:tcPr>
            <w:tcW w:w="4680" w:type="dxa"/>
          </w:tcPr>
          <w:p>
            <w:pPr/>
            <w:r>
              <w:t xml:space="preserve">98% or higher</w:t>
            </w:r>
          </w:p>
        </w:tc>
      </w:tr>
      <w:tr>
        <w:tc>
          <w:tcPr>
            <w:tcW w:w="4680" w:type="dxa"/>
          </w:tcPr>
          <w:p>
            <w:pPr/>
            <w:r>
              <w:t xml:space="preserve">First-pass ticket accuracy</w:t>
            </w:r>
          </w:p>
        </w:tc>
        <w:tc>
          <w:tcPr>
            <w:tcW w:w="4680" w:type="dxa"/>
          </w:tcPr>
          <w:p>
            <w:pPr/>
            <w:r>
              <w:t xml:space="preserve">98% or higher</w:t>
            </w:r>
          </w:p>
        </w:tc>
      </w:tr>
      <w:tr>
        <w:tc>
          <w:tcPr>
            <w:tcW w:w="4680" w:type="dxa"/>
          </w:tcPr>
          <w:p>
            <w:pPr/>
            <w:r>
              <w:t xml:space="preserve">US desk questions answered during the overlap</w:t>
            </w:r>
          </w:p>
        </w:tc>
        <w:tc>
          <w:tcPr>
            <w:tcW w:w="4680" w:type="dxa"/>
          </w:tcPr>
          <w:p>
            <w:pPr/>
            <w:r>
              <w:t xml:space="preserve">95% within 15 minutes</w:t>
            </w:r>
          </w:p>
        </w:tc>
      </w:tr>
      <w:tr>
        <w:tc>
          <w:tcPr>
            <w:tcW w:w="4680" w:type="dxa"/>
          </w:tcPr>
          <w:p>
            <w:pPr/>
            <w:r>
              <w:t xml:space="preserve">US desk backlog</w:t>
            </w:r>
          </w:p>
        </w:tc>
        <w:tc>
          <w:tcPr>
            <w:tcW w:w="4680" w:type="dxa"/>
          </w:tcPr>
          <w:p>
            <w:pPr/>
            <w:r>
              <w:t xml:space="preserve">Under 1 business day</w:t>
            </w:r>
          </w:p>
        </w:tc>
      </w:tr>
      <w:tr>
        <w:tc>
          <w:tcPr>
            <w:tcW w:w="4680" w:type="dxa"/>
          </w:tcPr>
          <w:p>
            <w:pPr/>
            <w:r>
              <w:t xml:space="preserve">Accounting requests answered</w:t>
            </w:r>
          </w:p>
        </w:tc>
        <w:tc>
          <w:tcPr>
            <w:tcW w:w="4680" w:type="dxa"/>
          </w:tcPr>
          <w:p>
            <w:pPr/>
            <w:r>
              <w:t xml:space="preserve">Within 2 business days</w:t>
            </w:r>
          </w:p>
        </w:tc>
      </w:tr>
      <w:tr>
        <w:tc>
          <w:tcPr>
            <w:tcW w:w="4680" w:type="dxa"/>
          </w:tcPr>
          <w:p>
            <w:pPr/>
            <w:r>
              <w:t xml:space="preserve">Bridge night rota coverage: every night staffed with 2 members, at least one A2 holder</w:t>
            </w:r>
          </w:p>
        </w:tc>
        <w:tc>
          <w:tcPr>
            <w:tcW w:w="4680" w:type="dxa"/>
          </w:tcPr>
          <w:p>
            <w:pPr/>
            <w:r>
              <w:t xml:space="preserve">100%</w:t>
            </w:r>
          </w:p>
        </w:tc>
      </w:tr>
    </w:tbl>
    <w:p>
      <w:pPr>
        <w:pStyle w:val="Heading3"/>
      </w:pPr>
      <w:r>
        <w:t xml:space="preserve">4. External Relations: IDR entities and payers</w:t>
      </w:r>
    </w:p>
    <w:p>
      <w:pPr/>
      <w:r>
        <w:rPr>
          <w:b/>
        </w:rPr>
        <w:t xml:space="preserve">Purpose:</w:t>
      </w:r>
      <w:r>
        <w:t xml:space="preserve"> we are a known and credible counterpart to IDR entities and payers, so problems are solved through relationships as well as tickets.</w:t>
      </w:r>
    </w:p>
    <w:p>
      <w:pPr/>
      <w:r>
        <w:rPr>
          <w:b/>
        </w:rPr>
        <w:t xml:space="preserve">Responsibilities:</w:t>
      </w:r>
    </w:p>
    <w:p>
      <w:pPr>
        <w:pStyle w:val="ListParagraph"/>
        <w:numPr>
          <w:ilvl w:val="0"/>
          <w:numId w:val="8"/>
        </w:numPr>
      </w:pPr>
      <w:r>
        <w:t xml:space="preserve">Keeps a contact map for every IDR entity we use and for the top payers by volume and dollars: escalation contacts, portals and preferred formats.</w:t>
      </w:r>
    </w:p>
    <w:p>
      <w:pPr>
        <w:pStyle w:val="ListParagraph"/>
        <w:numPr>
          <w:ilvl w:val="0"/>
          <w:numId w:val="8"/>
        </w:numPr>
      </w:pPr>
      <w:r>
        <w:t xml:space="preserve">Escalates late award payments, misapplied determinations, eligibility challenges and fee refunds with IDR entities and payers.</w:t>
      </w:r>
    </w:p>
    <w:p>
      <w:pPr>
        <w:pStyle w:val="ListParagraph"/>
        <w:numPr>
          <w:ilvl w:val="0"/>
          <w:numId w:val="8"/>
        </w:numPr>
      </w:pPr>
      <w:r>
        <w:t xml:space="preserve">Negotiates terms and agreements where they make sense, with the Pricing Guide owner: batch settlements, single-case agreements, prompt-payment terms. Any written agreement gets legal review and director approval.</w:t>
      </w:r>
    </w:p>
    <w:p>
      <w:pPr>
        <w:pStyle w:val="ListParagraph"/>
        <w:numPr>
          <w:ilvl w:val="0"/>
          <w:numId w:val="8"/>
        </w:numPr>
      </w:pPr>
      <w:r>
        <w:t xml:space="preserve">Holds quarterly reviews with the top 5 payers.</w:t>
      </w:r>
    </w:p>
    <w:p>
      <w:pPr>
        <w:pStyle w:val="ListParagraph"/>
        <w:numPr>
          <w:ilvl w:val="0"/>
          <w:numId w:val="8"/>
        </w:numPr>
      </w:pPr>
      <w:r>
        <w:t xml:space="preserve">Tracks changes in CMS guidance and IDR entity procedures, and shares them with the Compliance owner and the Academy.</w:t>
      </w:r>
    </w:p>
    <w:p>
      <w:pPr>
        <w:pStyle w:val="ListParagraph"/>
        <w:numPr>
          <w:ilvl w:val="0"/>
          <w:numId w:val="8"/>
        </w:numPr>
      </w:pPr>
      <w:r>
        <w:t xml:space="preserve">Records every external commitment in ClickUp.</w:t>
      </w:r>
    </w:p>
    <w:p>
      <w:pPr/>
      <w:r>
        <w:rPr>
          <w:b/>
        </w:rPr>
        <w:t xml:space="preserve">Deliverables:</w:t>
      </w:r>
      <w:r>
        <w:t xml:space="preserve"> current contact map; agreement register; monthly escalation log; quarterly payer review notes.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Escalations resolved</w:t>
            </w:r>
          </w:p>
        </w:tc>
        <w:tc>
          <w:tcPr>
            <w:tcW w:w="4680" w:type="dxa"/>
          </w:tcPr>
          <w:p>
            <w:pPr/>
            <w:r>
              <w:t xml:space="preserve">80% within 30 days</w:t>
            </w:r>
          </w:p>
        </w:tc>
      </w:tr>
      <w:tr>
        <w:tc>
          <w:tcPr>
            <w:tcW w:w="4680" w:type="dxa"/>
          </w:tcPr>
          <w:p>
            <w:pPr/>
            <w:r>
              <w:t xml:space="preserve">Top 10 payers and all IDR entities with a named escalation contact</w:t>
            </w:r>
          </w:p>
        </w:tc>
        <w:tc>
          <w:tcPr>
            <w:tcW w:w="4680" w:type="dxa"/>
          </w:tcPr>
          <w:p>
            <w:pPr/>
            <w:r>
              <w:t xml:space="preserve">100%</w:t>
            </w:r>
          </w:p>
        </w:tc>
      </w:tr>
      <w:tr>
        <w:tc>
          <w:tcPr>
            <w:tcW w:w="4680" w:type="dxa"/>
          </w:tcPr>
          <w:p>
            <w:pPr/>
            <w:r>
              <w:t xml:space="preserve">External requests answered</w:t>
            </w:r>
          </w:p>
        </w:tc>
        <w:tc>
          <w:tcPr>
            <w:tcW w:w="4680" w:type="dxa"/>
          </w:tcPr>
          <w:p>
            <w:pPr/>
            <w:r>
              <w:t xml:space="preserve">Within 2 business days</w:t>
            </w:r>
          </w:p>
        </w:tc>
      </w:tr>
      <w:tr>
        <w:tc>
          <w:tcPr>
            <w:tcW w:w="4680" w:type="dxa"/>
          </w:tcPr>
          <w:p>
            <w:pPr/>
            <w:r>
              <w:t xml:space="preserve">Disputes found ineligible or rejected for administrative reasons</w:t>
            </w:r>
          </w:p>
        </w:tc>
        <w:tc>
          <w:tcPr>
            <w:tcW w:w="4680" w:type="dxa"/>
          </w:tcPr>
          <w:p>
            <w:pPr/>
            <w:r>
              <w:t xml:space="preserve">Down quarter on quarter</w:t>
            </w:r>
          </w:p>
        </w:tc>
      </w:tr>
      <w:tr>
        <w:tc>
          <w:tcPr>
            <w:tcW w:w="4680" w:type="dxa"/>
          </w:tcPr>
          <w:p>
            <w:pPr/>
            <w:r>
              <w:t xml:space="preserve">Recovery from negotiated agreements</w:t>
            </w:r>
          </w:p>
        </w:tc>
        <w:tc>
          <w:tcPr>
            <w:tcW w:w="4680" w:type="dxa"/>
          </w:tcPr>
          <w:p>
            <w:pPr/>
            <w:r>
              <w:t xml:space="preserve">Reported monthly against the pricing guide</w:t>
            </w:r>
          </w:p>
        </w:tc>
      </w:tr>
    </w:tbl>
    <w:p>
      <w:pPr>
        <w:pStyle w:val="Heading3"/>
      </w:pPr>
      <w:r>
        <w:t xml:space="preserve">5. Automation, ClickUp, AI and Data</w:t>
      </w:r>
    </w:p>
    <w:p>
      <w:pPr/>
      <w:r>
        <w:rPr>
          <w:b/>
        </w:rPr>
        <w:t xml:space="preserve">Purpose:</w:t>
      </w:r>
      <w:r>
        <w:t xml:space="preserve"> tools that remove manual work, and one source of numbers. The owner is the department's single point of contact with the IT, development and data teams.</w:t>
      </w:r>
    </w:p>
    <w:p>
      <w:pPr/>
      <w:r>
        <w:rPr>
          <w:b/>
        </w:rPr>
        <w:t xml:space="preserve">Responsibilities:</w:t>
      </w:r>
    </w:p>
    <w:p>
      <w:pPr>
        <w:pStyle w:val="ListParagraph"/>
        <w:numPr>
          <w:ilvl w:val="0"/>
          <w:numId w:val="9"/>
        </w:numPr>
      </w:pPr>
      <w:r>
        <w:t xml:space="preserve">Owns the ClickUp set-up: ticket workflow, deadline engine, routing by badge and payer portfolio, Today lists and forms.</w:t>
      </w:r>
    </w:p>
    <w:p>
      <w:pPr>
        <w:pStyle w:val="ListParagraph"/>
        <w:numPr>
          <w:ilvl w:val="0"/>
          <w:numId w:val="9"/>
        </w:numPr>
      </w:pPr>
      <w:r>
        <w:t xml:space="preserve">Runs the automation backlog: intake, priorities agreed with the board, delivery, testing and change control.</w:t>
      </w:r>
    </w:p>
    <w:p>
      <w:pPr>
        <w:pStyle w:val="ListParagraph"/>
        <w:numPr>
          <w:ilvl w:val="0"/>
          <w:numId w:val="9"/>
        </w:numPr>
      </w:pPr>
      <w:r>
        <w:t xml:space="preserve">Owns the AI tools in use: the approved LLM tool and versioned prompt library, plus AI drafting and the determination reader under Model B. PHI and BAA rules are agreed with the Compliance owner.</w:t>
      </w:r>
    </w:p>
    <w:p>
      <w:pPr>
        <w:pStyle w:val="ListParagraph"/>
        <w:numPr>
          <w:ilvl w:val="0"/>
          <w:numId w:val="9"/>
        </w:numPr>
      </w:pPr>
      <w:r>
        <w:t xml:space="preserve">Acts as data liaison: requirements for the data teams, shared definitions (Net Recovery, work units), a dashboard for every portfolio, and data quality checks.</w:t>
      </w:r>
    </w:p>
    <w:p>
      <w:pPr>
        <w:pStyle w:val="ListParagraph"/>
        <w:numPr>
          <w:ilvl w:val="0"/>
          <w:numId w:val="9"/>
        </w:numPr>
      </w:pPr>
      <w:r>
        <w:t xml:space="preserve">Maintains internal tools such as the IDR Prep Studio (the Model C copy desk) and the model web apps, with their documentation and access lists.</w:t>
      </w:r>
    </w:p>
    <w:p>
      <w:pPr>
        <w:pStyle w:val="ListParagraph"/>
        <w:numPr>
          <w:ilvl w:val="0"/>
          <w:numId w:val="9"/>
        </w:numPr>
      </w:pPr>
      <w:r>
        <w:t xml:space="preserve">Plans each release with the Academy, so staff are trained before a change goes live.</w:t>
      </w:r>
    </w:p>
    <w:p>
      <w:pPr/>
      <w:r>
        <w:rPr>
          <w:b/>
        </w:rPr>
        <w:t xml:space="preserve">Deliverables:</w:t>
      </w:r>
      <w:r>
        <w:t xml:space="preserve"> quarterly tools roadmap; monthly release notes; dashboards refreshed by the 3rd business day; KPI dictionary.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Roadmap items delivered on plan</w:t>
            </w:r>
          </w:p>
        </w:tc>
        <w:tc>
          <w:tcPr>
            <w:tcW w:w="4680" w:type="dxa"/>
          </w:tcPr>
          <w:p>
            <w:pPr/>
            <w:r>
              <w:t xml:space="preserve">80% or more each quarter</w:t>
            </w:r>
          </w:p>
        </w:tc>
      </w:tr>
      <w:tr>
        <w:tc>
          <w:tcPr>
            <w:tcW w:w="4680" w:type="dxa"/>
          </w:tcPr>
          <w:p>
            <w:pPr/>
            <w:r>
              <w:t xml:space="preserve">Manual hours removed by automation</w:t>
            </w:r>
          </w:p>
        </w:tc>
        <w:tc>
          <w:tcPr>
            <w:tcW w:w="4680" w:type="dxa"/>
          </w:tcPr>
          <w:p>
            <w:pPr/>
            <w:r>
              <w:t xml:space="preserve">Measured per item; target set in the quarterly roadmap</w:t>
            </w:r>
          </w:p>
        </w:tc>
      </w:tr>
      <w:tr>
        <w:tc>
          <w:tcPr>
            <w:tcW w:w="4680" w:type="dxa"/>
          </w:tcPr>
          <w:p>
            <w:pPr/>
            <w:r>
              <w:t xml:space="preserve">Dashboards refreshed and checked</w:t>
            </w:r>
          </w:p>
        </w:tc>
        <w:tc>
          <w:tcPr>
            <w:tcW w:w="4680" w:type="dxa"/>
          </w:tcPr>
          <w:p>
            <w:pPr/>
            <w:r>
              <w:t xml:space="preserve">100% by the 3rd business day</w:t>
            </w:r>
          </w:p>
        </w:tc>
      </w:tr>
      <w:tr>
        <w:tc>
          <w:tcPr>
            <w:tcW w:w="4680" w:type="dxa"/>
          </w:tcPr>
          <w:p>
            <w:pPr/>
            <w:r>
              <w:t xml:space="preserve">Tool incidents fixed</w:t>
            </w:r>
          </w:p>
        </w:tc>
        <w:tc>
          <w:tcPr>
            <w:tcW w:w="4680" w:type="dxa"/>
          </w:tcPr>
          <w:p>
            <w:pPr/>
            <w:r>
              <w:t xml:space="preserve">95% within 1 business day</w:t>
            </w:r>
          </w:p>
        </w:tc>
      </w:tr>
      <w:tr>
        <w:tc>
          <w:tcPr>
            <w:tcW w:w="4680" w:type="dxa"/>
          </w:tcPr>
          <w:p>
            <w:pPr/>
            <w:r>
              <w:t xml:space="preserve">Work routed automatically by ClickUp</w:t>
            </w:r>
          </w:p>
        </w:tc>
        <w:tc>
          <w:tcPr>
            <w:tcW w:w="4680" w:type="dxa"/>
          </w:tcPr>
          <w:p>
            <w:pPr/>
            <w:r>
              <w:t xml:space="preserve">90% or more of tasks</w:t>
            </w:r>
          </w:p>
        </w:tc>
      </w:tr>
      <w:tr>
        <w:tc>
          <w:tcPr>
            <w:tcW w:w="4680" w:type="dxa"/>
          </w:tcPr>
          <w:p>
            <w:pPr/>
            <w:r>
              <w:t xml:space="preserve">Prompts in use that are the current approved version</w:t>
            </w:r>
          </w:p>
        </w:tc>
        <w:tc>
          <w:tcPr>
            <w:tcW w:w="4680" w:type="dxa"/>
          </w:tcPr>
          <w:p>
            <w:pPr/>
            <w:r>
              <w:t xml:space="preserve">100% at audit</w:t>
            </w:r>
          </w:p>
        </w:tc>
      </w:tr>
    </w:tbl>
    <w:p>
      <w:pPr>
        <w:pStyle w:val="Heading3"/>
      </w:pPr>
      <w:r>
        <w:t xml:space="preserve">6. Coding Quality and Guidelines</w:t>
      </w:r>
    </w:p>
    <w:p>
      <w:pPr/>
      <w:r>
        <w:rPr>
          <w:b/>
        </w:rPr>
        <w:t xml:space="preserve">Purpose:</w:t>
      </w:r>
      <w:r>
        <w:t xml:space="preserve"> coding is accurate, defensible and consistent across coders and facilities.</w:t>
      </w:r>
    </w:p>
    <w:p>
      <w:pPr/>
      <w:r>
        <w:rPr>
          <w:b/>
        </w:rPr>
        <w:t xml:space="preserve">Responsibilities:</w:t>
      </w:r>
    </w:p>
    <w:p>
      <w:pPr>
        <w:pStyle w:val="ListParagraph"/>
        <w:numPr>
          <w:ilvl w:val="0"/>
          <w:numId w:val="10"/>
        </w:numPr>
      </w:pPr>
      <w:r>
        <w:t xml:space="preserve">Researches and updates the coding guidelines, including ER E/M rules, the January and October code-set updates, payer policies and facility-level criteria. Publishes each change before it takes effect.</w:t>
      </w:r>
    </w:p>
    <w:p>
      <w:pPr>
        <w:pStyle w:val="ListParagraph"/>
        <w:numPr>
          <w:ilvl w:val="0"/>
          <w:numId w:val="10"/>
        </w:numPr>
      </w:pPr>
      <w:r>
        <w:t xml:space="preserve">Reviews the QA department's audit sample (5–10% of charts) and tracks accuracy by coder, facility and code.</w:t>
      </w:r>
    </w:p>
    <w:p>
      <w:pPr>
        <w:pStyle w:val="ListParagraph"/>
        <w:numPr>
          <w:ilvl w:val="0"/>
          <w:numId w:val="10"/>
        </w:numPr>
      </w:pPr>
      <w:r>
        <w:t xml:space="preserve">Monitors the ratios between E/M levels (99282, 99283, 99284 and 99285) by facility, provider and coder, against past periods and benchmarks. Investigates outliers in both directions.</w:t>
      </w:r>
    </w:p>
    <w:p>
      <w:pPr>
        <w:pStyle w:val="ListParagraph"/>
        <w:numPr>
          <w:ilvl w:val="0"/>
          <w:numId w:val="10"/>
        </w:numPr>
      </w:pPr>
      <w:r>
        <w:t xml:space="preserve">Links coding to results: downcoding denials, and IDR outcomes by E/M level.</w:t>
      </w:r>
    </w:p>
    <w:p>
      <w:pPr>
        <w:pStyle w:val="ListParagraph"/>
        <w:numPr>
          <w:ilvl w:val="0"/>
          <w:numId w:val="10"/>
        </w:numPr>
      </w:pPr>
      <w:r>
        <w:t xml:space="preserve">Sends findings to the Academy chair for training updates and A1 refreshers. Documentation patterns go to facilities through the director.</w:t>
      </w:r>
    </w:p>
    <w:p>
      <w:pPr>
        <w:pStyle w:val="ListParagraph"/>
        <w:numPr>
          <w:ilvl w:val="0"/>
          <w:numId w:val="10"/>
        </w:numPr>
      </w:pPr>
      <w:r>
        <w:t xml:space="preserve">Runs a quarterly calibration session where coders code the same charts and compare.</w:t>
      </w:r>
    </w:p>
    <w:p>
      <w:pPr/>
      <w:r>
        <w:rPr>
          <w:b/>
        </w:rPr>
        <w:t xml:space="preserve">Deliverables:</w:t>
      </w:r>
      <w:r>
        <w:t xml:space="preserve"> monthly coding quality report with the E/M level distribution; guideline update notes before each effective date; quarterly calibration results.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Coding audit accuracy</w:t>
            </w:r>
          </w:p>
        </w:tc>
        <w:tc>
          <w:tcPr>
            <w:tcW w:w="4680" w:type="dxa"/>
          </w:tcPr>
          <w:p>
            <w:pPr/>
            <w:r>
              <w:t xml:space="preserve">95% or higher</w:t>
            </w:r>
          </w:p>
        </w:tc>
      </w:tr>
      <w:tr>
        <w:tc>
          <w:tcPr>
            <w:tcW w:w="4680" w:type="dxa"/>
          </w:tcPr>
          <w:p>
            <w:pPr/>
            <w:r>
              <w:t xml:space="preserve">Change in any E/M level's share, month on month</w:t>
            </w:r>
          </w:p>
        </w:tc>
        <w:tc>
          <w:tcPr>
            <w:tcW w:w="4680" w:type="dxa"/>
          </w:tcPr>
          <w:p>
            <w:pPr/>
            <w:r>
              <w:t xml:space="preserve">Explained when above 5 percentage points</w:t>
            </w:r>
          </w:p>
        </w:tc>
      </w:tr>
      <w:tr>
        <w:tc>
          <w:tcPr>
            <w:tcW w:w="4680" w:type="dxa"/>
          </w:tcPr>
          <w:p>
            <w:pPr/>
            <w:r>
              <w:t xml:space="preserve">Guideline updates published</w:t>
            </w:r>
          </w:p>
        </w:tc>
        <w:tc>
          <w:tcPr>
            <w:tcW w:w="4680" w:type="dxa"/>
          </w:tcPr>
          <w:p>
            <w:pPr/>
            <w:r>
              <w:t xml:space="preserve">At least 10 business days before they take effect</w:t>
            </w:r>
          </w:p>
        </w:tc>
      </w:tr>
      <w:tr>
        <w:tc>
          <w:tcPr>
            <w:tcW w:w="4680" w:type="dxa"/>
          </w:tcPr>
          <w:p>
            <w:pPr/>
            <w:r>
              <w:t xml:space="preserve">Coder agreement in calibration</w:t>
            </w:r>
          </w:p>
        </w:tc>
        <w:tc>
          <w:tcPr>
            <w:tcW w:w="4680" w:type="dxa"/>
          </w:tcPr>
          <w:p>
            <w:pPr/>
            <w:r>
              <w:t xml:space="preserve">90% or higher</w:t>
            </w:r>
          </w:p>
        </w:tc>
      </w:tr>
      <w:tr>
        <w:tc>
          <w:tcPr>
            <w:tcW w:w="4680" w:type="dxa"/>
          </w:tcPr>
          <w:p>
            <w:pPr/>
            <w:r>
              <w:t xml:space="preserve">Claims passing edits on first submission</w:t>
            </w:r>
          </w:p>
        </w:tc>
        <w:tc>
          <w:tcPr>
            <w:tcW w:w="4680" w:type="dxa"/>
          </w:tcPr>
          <w:p>
            <w:pPr/>
            <w:r>
              <w:t xml:space="preserve">95% or higher</w:t>
            </w:r>
          </w:p>
        </w:tc>
      </w:tr>
      <w:tr>
        <w:tc>
          <w:tcPr>
            <w:tcW w:w="4680" w:type="dxa"/>
          </w:tcPr>
          <w:p>
            <w:pPr/>
            <w:r>
              <w:t xml:space="preserve">Coding-related denials</w:t>
            </w:r>
          </w:p>
        </w:tc>
        <w:tc>
          <w:tcPr>
            <w:tcW w:w="4680" w:type="dxa"/>
          </w:tcPr>
          <w:p>
            <w:pPr/>
            <w:r>
              <w:t xml:space="preserve">Down quarter on quarter</w:t>
            </w:r>
          </w:p>
        </w:tc>
      </w:tr>
    </w:tbl>
    <w:p>
      <w:pPr>
        <w:pStyle w:val="Heading3"/>
      </w:pPr>
      <w:r>
        <w:t xml:space="preserve">7. Denials and NNSA Strategy</w:t>
      </w:r>
    </w:p>
    <w:p>
      <w:pPr/>
      <w:r>
        <w:rPr>
          <w:b/>
        </w:rPr>
        <w:t xml:space="preserve">Purpose:</w:t>
      </w:r>
      <w:r>
        <w:t xml:space="preserve"> fewer denials, more overturned, and a clear rule for when to appeal, settle or close NNSA claims.</w:t>
      </w:r>
    </w:p>
    <w:p>
      <w:pPr/>
      <w:r>
        <w:rPr>
          <w:b/>
        </w:rPr>
        <w:t xml:space="preserve">Responsibilities:</w:t>
      </w:r>
    </w:p>
    <w:p>
      <w:pPr>
        <w:pStyle w:val="ListParagraph"/>
        <w:numPr>
          <w:ilvl w:val="0"/>
          <w:numId w:val="11"/>
        </w:numPr>
      </w:pPr>
      <w:r>
        <w:t xml:space="preserve">Tracks denial reasons by payer, location, plan type, provider and code, and publishes the top 10 every month.</w:t>
      </w:r>
    </w:p>
    <w:p>
      <w:pPr>
        <w:pStyle w:val="ListParagraph"/>
        <w:numPr>
          <w:ilvl w:val="0"/>
          <w:numId w:val="11"/>
        </w:numPr>
      </w:pPr>
      <w:r>
        <w:t xml:space="preserve">Finds root causes (eligibility, coding, documentation, timely filing, coordination of benefits) and hands each one to the owner who can fix it: Coding Quality, the Academy, or Payments.</w:t>
      </w:r>
    </w:p>
    <w:p>
      <w:pPr>
        <w:pStyle w:val="ListParagraph"/>
        <w:numPr>
          <w:ilvl w:val="0"/>
          <w:numId w:val="11"/>
        </w:numPr>
      </w:pPr>
      <w:r>
        <w:t xml:space="preserve">Compares code appeals with money appeals by payer and denial reason, and sets the NNSA strategy: which claims to appeal, and which to close at 12 months after the high-dollar review.</w:t>
      </w:r>
    </w:p>
    <w:p>
      <w:pPr>
        <w:pStyle w:val="ListParagraph"/>
        <w:numPr>
          <w:ilvl w:val="0"/>
          <w:numId w:val="11"/>
        </w:numPr>
      </w:pPr>
      <w:r>
        <w:t xml:space="preserve">Owns the appeal letter library: templates by denial reason and payer, versioned, each with its success rate. Weak templates are rewritten or retired.</w:t>
      </w:r>
    </w:p>
    <w:p>
      <w:pPr>
        <w:pStyle w:val="ListParagraph"/>
        <w:numPr>
          <w:ilvl w:val="0"/>
          <w:numId w:val="11"/>
        </w:numPr>
      </w:pPr>
      <w:r>
        <w:t xml:space="preserve">Watches state dispute processes for state-regulated plans and recommends when to use them.</w:t>
      </w:r>
    </w:p>
    <w:p>
      <w:pPr/>
      <w:r>
        <w:rPr>
          <w:b/>
        </w:rPr>
        <w:t xml:space="preserve">Deliverables:</w:t>
      </w:r>
      <w:r>
        <w:t xml:space="preserve"> monthly denial dashboard and top 10 report; quarterly NNSA strategy review; appeal library updates.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Denial rate (% of claims)</w:t>
            </w:r>
          </w:p>
        </w:tc>
        <w:tc>
          <w:tcPr>
            <w:tcW w:w="4680" w:type="dxa"/>
          </w:tcPr>
          <w:p>
            <w:pPr/>
            <w:r>
              <w:t xml:space="preserve">Down quarter on quarter</w:t>
            </w:r>
          </w:p>
        </w:tc>
      </w:tr>
      <w:tr>
        <w:tc>
          <w:tcPr>
            <w:tcW w:w="4680" w:type="dxa"/>
          </w:tcPr>
          <w:p>
            <w:pPr/>
            <w:r>
              <w:t xml:space="preserve">Appeal overturn rate</w:t>
            </w:r>
          </w:p>
        </w:tc>
        <w:tc>
          <w:tcPr>
            <w:tcW w:w="4680" w:type="dxa"/>
          </w:tcPr>
          <w:p>
            <w:pPr/>
            <w:r>
              <w:t xml:space="preserve">Up from the Q1 2027 baseline, tracked by payer and appeal type</w:t>
            </w:r>
          </w:p>
        </w:tc>
      </w:tr>
      <w:tr>
        <w:tc>
          <w:tcPr>
            <w:tcW w:w="4680" w:type="dxa"/>
          </w:tcPr>
          <w:p>
            <w:pPr/>
            <w:r>
              <w:t xml:space="preserve">Appeals filed within the payer's limit</w:t>
            </w:r>
          </w:p>
        </w:tc>
        <w:tc>
          <w:tcPr>
            <w:tcW w:w="4680" w:type="dxa"/>
          </w:tcPr>
          <w:p>
            <w:pPr/>
            <w:r>
              <w:t xml:space="preserve">100%</w:t>
            </w:r>
          </w:p>
        </w:tc>
      </w:tr>
      <w:tr>
        <w:tc>
          <w:tcPr>
            <w:tcW w:w="4680" w:type="dxa"/>
          </w:tcPr>
          <w:p>
            <w:pPr/>
            <w:r>
              <w:t xml:space="preserve">Share of denials in preventable categories</w:t>
            </w:r>
          </w:p>
        </w:tc>
        <w:tc>
          <w:tcPr>
            <w:tcW w:w="4680" w:type="dxa"/>
          </w:tcPr>
          <w:p>
            <w:pPr/>
            <w:r>
              <w:t xml:space="preserve">Down quarter on quarter</w:t>
            </w:r>
          </w:p>
        </w:tc>
      </w:tr>
      <w:tr>
        <w:tc>
          <w:tcPr>
            <w:tcW w:w="4680" w:type="dxa"/>
          </w:tcPr>
          <w:p>
            <w:pPr/>
            <w:r>
              <w:t xml:space="preserve">NNSA claims over 12 months old reviewed and closed or kept</w:t>
            </w:r>
          </w:p>
        </w:tc>
        <w:tc>
          <w:tcPr>
            <w:tcW w:w="4680" w:type="dxa"/>
          </w:tcPr>
          <w:p>
            <w:pPr/>
            <w:r>
              <w:t xml:space="preserve">100% each month</w:t>
            </w:r>
          </w:p>
        </w:tc>
      </w:tr>
      <w:tr>
        <w:tc>
          <w:tcPr>
            <w:tcW w:w="4680" w:type="dxa"/>
          </w:tcPr>
          <w:p>
            <w:pPr/>
            <w:r>
              <w:t xml:space="preserve">Templates with a tracked success rate</w:t>
            </w:r>
          </w:p>
        </w:tc>
        <w:tc>
          <w:tcPr>
            <w:tcW w:w="4680" w:type="dxa"/>
          </w:tcPr>
          <w:p>
            <w:pPr/>
            <w:r>
              <w:t xml:space="preserve">100%</w:t>
            </w:r>
          </w:p>
        </w:tc>
      </w:tr>
    </w:tbl>
    <w:p>
      <w:pPr>
        <w:pStyle w:val="Heading3"/>
      </w:pPr>
      <w:r>
        <w:t xml:space="preserve">8. IDR Performance Analysis</w:t>
      </w:r>
    </w:p>
    <w:p>
      <w:pPr/>
      <w:r>
        <w:rPr>
          <w:b/>
        </w:rPr>
        <w:t xml:space="preserve">Purpose:</w:t>
      </w:r>
      <w:r>
        <w:t xml:space="preserve"> know where IDR wins and loses money, and act on it.</w:t>
      </w:r>
    </w:p>
    <w:p>
      <w:pPr/>
      <w:r>
        <w:rPr>
          <w:b/>
        </w:rPr>
        <w:t xml:space="preserve">Responsibilities:</w:t>
      </w:r>
    </w:p>
    <w:p>
      <w:pPr>
        <w:pStyle w:val="ListParagraph"/>
        <w:numPr>
          <w:ilvl w:val="0"/>
          <w:numId w:val="12"/>
        </w:numPr>
      </w:pPr>
      <w:r>
        <w:t xml:space="preserve">Monitors IDR results by location, payer, IDR entity, service code and E/M level, and batch size. Measures win rate, award against QPA, award against our offer, time to determination and time to payment.</w:t>
      </w:r>
    </w:p>
    <w:p>
      <w:pPr>
        <w:pStyle w:val="ListParagraph"/>
        <w:numPr>
          <w:ilvl w:val="0"/>
          <w:numId w:val="12"/>
        </w:numPr>
      </w:pPr>
      <w:r>
        <w:t xml:space="preserve">Tracks the pipeline: open negotiations, initiations, eligibility outcomes, pending determinations and upcoming deadlines.</w:t>
      </w:r>
    </w:p>
    <w:p>
      <w:pPr>
        <w:pStyle w:val="ListParagraph"/>
        <w:numPr>
          <w:ilvl w:val="0"/>
          <w:numId w:val="12"/>
        </w:numPr>
      </w:pPr>
      <w:r>
        <w:t xml:space="preserve">Measures fees against recovery by payer and claim value, so the board can set minimum dispute values.</w:t>
      </w:r>
    </w:p>
    <w:p>
      <w:pPr>
        <w:pStyle w:val="ListParagraph"/>
        <w:numPr>
          <w:ilvl w:val="0"/>
          <w:numId w:val="12"/>
        </w:numPr>
      </w:pPr>
      <w:r>
        <w:t xml:space="preserve">Feeds IDR entity patterns to the Pricing Guide owner and A2 holders, and payer patterns to the A4 playbooks.</w:t>
      </w:r>
    </w:p>
    <w:p>
      <w:pPr>
        <w:pStyle w:val="ListParagraph"/>
        <w:numPr>
          <w:ilvl w:val="0"/>
          <w:numId w:val="12"/>
        </w:numPr>
      </w:pPr>
      <w:r>
        <w:t xml:space="preserve">Forecasts IDR recovery for finance.</w:t>
      </w:r>
    </w:p>
    <w:p>
      <w:pPr/>
      <w:r>
        <w:rPr>
          <w:b/>
        </w:rPr>
        <w:t xml:space="preserve">Deliverables:</w:t>
      </w:r>
      <w:r>
        <w:t xml:space="preserve"> monthly IDR performance report and dashboard; quarterly deep-dive by payer and IDR entity; recommendations on dispute thresholds and IDR entity selection.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IDR win rate</w:t>
            </w:r>
          </w:p>
        </w:tc>
        <w:tc>
          <w:tcPr>
            <w:tcW w:w="4680" w:type="dxa"/>
          </w:tcPr>
          <w:p>
            <w:pPr/>
            <w:r>
              <w:t xml:space="preserve">Up from the Q1 2027 baseline</w:t>
            </w:r>
          </w:p>
        </w:tc>
      </w:tr>
      <w:tr>
        <w:tc>
          <w:tcPr>
            <w:tcW w:w="4680" w:type="dxa"/>
          </w:tcPr>
          <w:p>
            <w:pPr/>
            <w:r>
              <w:t xml:space="preserve">Net Recovery per dispute after fees</w:t>
            </w:r>
          </w:p>
        </w:tc>
        <w:tc>
          <w:tcPr>
            <w:tcW w:w="4680" w:type="dxa"/>
          </w:tcPr>
          <w:p>
            <w:pPr/>
            <w:r>
              <w:t xml:space="preserve">Up quarter on quarter</w:t>
            </w:r>
          </w:p>
        </w:tc>
      </w:tr>
      <w:tr>
        <w:tc>
          <w:tcPr>
            <w:tcW w:w="4680" w:type="dxa"/>
          </w:tcPr>
          <w:p>
            <w:pPr/>
            <w:r>
              <w:t xml:space="preserve">Days from initiation to payment</w:t>
            </w:r>
          </w:p>
        </w:tc>
        <w:tc>
          <w:tcPr>
            <w:tcW w:w="4680" w:type="dxa"/>
          </w:tcPr>
          <w:p>
            <w:pPr/>
            <w:r>
              <w:t xml:space="preserve">Down quarter on quarter</w:t>
            </w:r>
          </w:p>
        </w:tc>
      </w:tr>
      <w:tr>
        <w:tc>
          <w:tcPr>
            <w:tcW w:w="4680" w:type="dxa"/>
          </w:tcPr>
          <w:p>
            <w:pPr/>
            <w:r>
              <w:t xml:space="preserve">Disputes found ineligible</w:t>
            </w:r>
          </w:p>
        </w:tc>
        <w:tc>
          <w:tcPr>
            <w:tcW w:w="4680" w:type="dxa"/>
          </w:tcPr>
          <w:p>
            <w:pPr/>
            <w:r>
              <w:t xml:space="preserve">Under 5%</w:t>
            </w:r>
          </w:p>
        </w:tc>
      </w:tr>
      <w:tr>
        <w:tc>
          <w:tcPr>
            <w:tcW w:w="4680" w:type="dxa"/>
          </w:tcPr>
          <w:p>
            <w:pPr/>
            <w:r>
              <w:t xml:space="preserve">Recovery forecast accuracy</w:t>
            </w:r>
          </w:p>
        </w:tc>
        <w:tc>
          <w:tcPr>
            <w:tcW w:w="4680" w:type="dxa"/>
          </w:tcPr>
          <w:p>
            <w:pPr/>
            <w:r>
              <w:t xml:space="preserve">Within 10%</w:t>
            </w:r>
          </w:p>
        </w:tc>
      </w:tr>
      <w:tr>
        <w:tc>
          <w:tcPr>
            <w:tcW w:w="4680" w:type="dxa"/>
          </w:tcPr>
          <w:p>
            <w:pPr/>
            <w:r>
              <w:t xml:space="preserve">Report delivered</w:t>
            </w:r>
          </w:p>
        </w:tc>
        <w:tc>
          <w:tcPr>
            <w:tcW w:w="4680" w:type="dxa"/>
          </w:tcPr>
          <w:p>
            <w:pPr/>
            <w:r>
              <w:t xml:space="preserve">By the 5th business day, every month</w:t>
            </w:r>
          </w:p>
        </w:tc>
      </w:tr>
    </w:tbl>
    <w:p>
      <w:pPr>
        <w:pStyle w:val="Heading3"/>
      </w:pPr>
      <w:r>
        <w:t xml:space="preserve">9. Compliance, Deadlines and Gateway Access (added)</w:t>
      </w:r>
    </w:p>
    <w:p>
      <w:pPr/>
      <w:r>
        <w:rPr>
          <w:b/>
        </w:rPr>
        <w:t xml:space="preserve">Why it is added:</w:t>
      </w:r>
      <w:r>
        <w:t xml:space="preserve"> one missed IDR deadline forfeits a dispute, and from January 1, 2027 the Gateway is US-only. Both carry more risk than any other part of the model.</w:t>
      </w:r>
    </w:p>
    <w:p>
      <w:pPr/>
      <w:r>
        <w:rPr>
          <w:b/>
        </w:rPr>
        <w:t xml:space="preserve">Responsibilities:</w:t>
      </w:r>
    </w:p>
    <w:p>
      <w:pPr>
        <w:pStyle w:val="ListParagraph"/>
        <w:numPr>
          <w:ilvl w:val="0"/>
          <w:numId w:val="13"/>
        </w:numPr>
      </w:pPr>
      <w:r>
        <w:t xml:space="preserve">Owns the deadline rules in the ClickUp deadline engine, with the Automation owner: a business-day timer for every NSA and IDR step.</w:t>
      </w:r>
    </w:p>
    <w:p>
      <w:pPr>
        <w:pStyle w:val="ListParagraph"/>
        <w:numPr>
          <w:ilvl w:val="0"/>
          <w:numId w:val="13"/>
        </w:numPr>
      </w:pPr>
      <w:r>
        <w:t xml:space="preserve">Runs a daily review of deadlines at risk and finds the root cause of every miss.</w:t>
      </w:r>
    </w:p>
    <w:p>
      <w:pPr>
        <w:pStyle w:val="ListParagraph"/>
        <w:numPr>
          <w:ilvl w:val="0"/>
          <w:numId w:val="13"/>
        </w:numPr>
      </w:pPr>
      <w:r>
        <w:t xml:space="preserve">Controls Gateway access: individual credentials with MFA, quarterly access reviews and same-day removal for leavers. Enforces the onshore rule that no one outside the US uses the Gateway, and session logging under Model B.</w:t>
      </w:r>
    </w:p>
    <w:p>
      <w:pPr>
        <w:pStyle w:val="ListParagraph"/>
        <w:numPr>
          <w:ilvl w:val="0"/>
          <w:numId w:val="13"/>
        </w:numPr>
      </w:pPr>
      <w:r>
        <w:t xml:space="preserve">Owns HIPAA compliance: BAAs with every vendor that holds PHI, PHI only in approved tools, incident handling, and yearly HIPAA training run with the Academy.</w:t>
      </w:r>
    </w:p>
    <w:p>
      <w:pPr>
        <w:pStyle w:val="ListParagraph"/>
        <w:numPr>
          <w:ilvl w:val="0"/>
          <w:numId w:val="13"/>
        </w:numPr>
      </w:pPr>
      <w:r>
        <w:t xml:space="preserve">Gets a HIPAA BAA covering Google Workspace before real PHI goes into the IDR Prep Studio, which stores data in Sheets and Drive.</w:t>
      </w:r>
    </w:p>
    <w:p>
      <w:pPr>
        <w:pStyle w:val="ListParagraph"/>
        <w:numPr>
          <w:ilvl w:val="0"/>
          <w:numId w:val="13"/>
        </w:numPr>
      </w:pPr>
      <w:r>
        <w:t xml:space="preserve">Keeps the department audit-ready: policy library, submission audit trail and record retention.</w:t>
      </w:r>
    </w:p>
    <w:p>
      <w:pPr>
        <w:pStyle w:val="ListParagraph"/>
        <w:numPr>
          <w:ilvl w:val="0"/>
          <w:numId w:val="13"/>
        </w:numPr>
      </w:pPr>
      <w:r>
        <w:t xml:space="preserve">Acts as the link to legal, including the sign-offs on the onshore rule and any Cockpit design.</w:t>
      </w:r>
    </w:p>
    <w:p>
      <w:pPr>
        <w:pStyle w:val="ListParagraph"/>
        <w:numPr>
          <w:ilvl w:val="0"/>
          <w:numId w:val="13"/>
        </w:numPr>
      </w:pPr>
      <w:r>
        <w:t xml:space="preserve">Takes the badge-loss termination rule through HR and legal review under Lebanese labor law before the policy is published.</w:t>
      </w:r>
    </w:p>
    <w:p>
      <w:pPr/>
      <w:r>
        <w:rPr>
          <w:b/>
        </w:rPr>
        <w:t xml:space="preserve">Deliverables:</w:t>
      </w:r>
      <w:r>
        <w:t xml:space="preserve"> monthly compliance report; quarterly access review; incident log; policy updates.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Missed regulatory deadlines</w:t>
            </w:r>
          </w:p>
        </w:tc>
        <w:tc>
          <w:tcPr>
            <w:tcW w:w="4680" w:type="dxa"/>
          </w:tcPr>
          <w:p>
            <w:pPr/>
            <w:r>
              <w:t xml:space="preserve">Zero</w:t>
            </w:r>
          </w:p>
        </w:tc>
      </w:tr>
      <w:tr>
        <w:tc>
          <w:tcPr>
            <w:tcW w:w="4680" w:type="dxa"/>
          </w:tcPr>
          <w:p>
            <w:pPr/>
            <w:r>
              <w:t xml:space="preserve">Deadlines flagged at risk and met</w:t>
            </w:r>
          </w:p>
        </w:tc>
        <w:tc>
          <w:tcPr>
            <w:tcW w:w="4680" w:type="dxa"/>
          </w:tcPr>
          <w:p>
            <w:pPr/>
            <w:r>
              <w:t xml:space="preserve">100%</w:t>
            </w:r>
          </w:p>
        </w:tc>
      </w:tr>
      <w:tr>
        <w:tc>
          <w:tcPr>
            <w:tcW w:w="4680" w:type="dxa"/>
          </w:tcPr>
          <w:p>
            <w:pPr/>
            <w:r>
              <w:t xml:space="preserve">Gateway access reviews</w:t>
            </w:r>
          </w:p>
        </w:tc>
        <w:tc>
          <w:tcPr>
            <w:tcW w:w="4680" w:type="dxa"/>
          </w:tcPr>
          <w:p>
            <w:pPr/>
            <w:r>
              <w:t xml:space="preserve">Every quarter</w:t>
            </w:r>
          </w:p>
        </w:tc>
      </w:tr>
      <w:tr>
        <w:tc>
          <w:tcPr>
            <w:tcW w:w="4680" w:type="dxa"/>
          </w:tcPr>
          <w:p>
            <w:pPr/>
            <w:r>
              <w:t xml:space="preserve">Leavers' access removed</w:t>
            </w:r>
          </w:p>
        </w:tc>
        <w:tc>
          <w:tcPr>
            <w:tcW w:w="4680" w:type="dxa"/>
          </w:tcPr>
          <w:p>
            <w:pPr/>
            <w:r>
              <w:t xml:space="preserve">Same day, 100%</w:t>
            </w:r>
          </w:p>
        </w:tc>
      </w:tr>
      <w:tr>
        <w:tc>
          <w:tcPr>
            <w:tcW w:w="4680" w:type="dxa"/>
          </w:tcPr>
          <w:p>
            <w:pPr/>
            <w:r>
              <w:t xml:space="preserve">Staff with current HIPAA training</w:t>
            </w:r>
          </w:p>
        </w:tc>
        <w:tc>
          <w:tcPr>
            <w:tcW w:w="4680" w:type="dxa"/>
          </w:tcPr>
          <w:p>
            <w:pPr/>
            <w:r>
              <w:t xml:space="preserve">100%</w:t>
            </w:r>
          </w:p>
        </w:tc>
      </w:tr>
      <w:tr>
        <w:tc>
          <w:tcPr>
            <w:tcW w:w="4680" w:type="dxa"/>
          </w:tcPr>
          <w:p>
            <w:pPr/>
            <w:r>
              <w:t xml:space="preserve">Vendors holding PHI with a BAA</w:t>
            </w:r>
          </w:p>
        </w:tc>
        <w:tc>
          <w:tcPr>
            <w:tcW w:w="4680" w:type="dxa"/>
          </w:tcPr>
          <w:p>
            <w:pPr/>
            <w:r>
              <w:t xml:space="preserve">100%</w:t>
            </w:r>
          </w:p>
        </w:tc>
      </w:tr>
      <w:tr>
        <w:tc>
          <w:tcPr>
            <w:tcW w:w="4680" w:type="dxa"/>
          </w:tcPr>
          <w:p>
            <w:pPr/>
            <w:r>
              <w:t xml:space="preserve">PHI incidents reported</w:t>
            </w:r>
          </w:p>
        </w:tc>
        <w:tc>
          <w:tcPr>
            <w:tcW w:w="4680" w:type="dxa"/>
          </w:tcPr>
          <w:p>
            <w:pPr/>
            <w:r>
              <w:t xml:space="preserve">100% within 24 hours</w:t>
            </w:r>
          </w:p>
        </w:tc>
      </w:tr>
    </w:tbl>
    <w:p>
      <w:pPr>
        <w:pStyle w:val="Heading3"/>
      </w:pPr>
      <w:r>
        <w:t xml:space="preserve">10. Pricing Guide and Offer Strategy (added)</w:t>
      </w:r>
    </w:p>
    <w:p>
      <w:pPr/>
      <w:r>
        <w:rPr>
          <w:b/>
        </w:rPr>
        <w:t xml:space="preserve">Why it is added:</w:t>
      </w:r>
      <w:r>
        <w:t xml:space="preserve"> every offer, settlement and decision right depends on the pricing guide, and the model already needs an owner for it.</w:t>
      </w:r>
    </w:p>
    <w:p>
      <w:pPr/>
      <w:r>
        <w:rPr>
          <w:b/>
        </w:rPr>
        <w:t xml:space="preserve">Responsibilities:</w:t>
      </w:r>
    </w:p>
    <w:p>
      <w:pPr>
        <w:pStyle w:val="ListParagraph"/>
        <w:numPr>
          <w:ilvl w:val="0"/>
          <w:numId w:val="14"/>
        </w:numPr>
      </w:pPr>
      <w:r>
        <w:t xml:space="preserve">Owns the pricing guide: offer and settlement ranges by payer, service code and E/M level, and location, plus the decision-rights bands for specialists, team leads and managers.</w:t>
      </w:r>
    </w:p>
    <w:p>
      <w:pPr>
        <w:pStyle w:val="ListParagraph"/>
        <w:numPr>
          <w:ilvl w:val="0"/>
          <w:numId w:val="14"/>
        </w:numPr>
      </w:pPr>
      <w:r>
        <w:t xml:space="preserve">Updates the guide every month from IDR Performance results and the A4 payer playbooks.</w:t>
      </w:r>
    </w:p>
    <w:p>
      <w:pPr>
        <w:pStyle w:val="ListParagraph"/>
        <w:numPr>
          <w:ilvl w:val="0"/>
          <w:numId w:val="14"/>
        </w:numPr>
      </w:pPr>
      <w:r>
        <w:t xml:space="preserve">Approves exceptions and reviews settlements outside the guide.</w:t>
      </w:r>
    </w:p>
    <w:p>
      <w:pPr>
        <w:pStyle w:val="ListParagraph"/>
        <w:numPr>
          <w:ilvl w:val="0"/>
          <w:numId w:val="14"/>
        </w:numPr>
      </w:pPr>
      <w:r>
        <w:t xml:space="preserve">Works with the External Relations owner on any negotiated agreement.</w:t>
      </w:r>
    </w:p>
    <w:p>
      <w:pPr>
        <w:pStyle w:val="ListParagraph"/>
        <w:numPr>
          <w:ilvl w:val="0"/>
          <w:numId w:val="14"/>
        </w:numPr>
      </w:pPr>
      <w:r>
        <w:t xml:space="preserve">Under Model B, watches settlement patterns so the gainshare doesn't push settlements too low.</w:t>
      </w:r>
    </w:p>
    <w:p>
      <w:pPr/>
      <w:r>
        <w:rPr>
          <w:b/>
        </w:rPr>
        <w:t xml:space="preserve">Deliverables:</w:t>
      </w:r>
      <w:r>
        <w:t xml:space="preserve"> monthly guide update with a change log; exceptions report; quarterly review of decision rights.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Offers and settlements inside the guide or approved</w:t>
            </w:r>
          </w:p>
        </w:tc>
        <w:tc>
          <w:tcPr>
            <w:tcW w:w="4680" w:type="dxa"/>
          </w:tcPr>
          <w:p>
            <w:pPr/>
            <w:r>
              <w:t xml:space="preserve">100%</w:t>
            </w:r>
          </w:p>
        </w:tc>
      </w:tr>
      <w:tr>
        <w:tc>
          <w:tcPr>
            <w:tcW w:w="4680" w:type="dxa"/>
          </w:tcPr>
          <w:p>
            <w:pPr/>
            <w:r>
              <w:t xml:space="preserve">Guide sections updated within 45 days</w:t>
            </w:r>
          </w:p>
        </w:tc>
        <w:tc>
          <w:tcPr>
            <w:tcW w:w="4680" w:type="dxa"/>
          </w:tcPr>
          <w:p>
            <w:pPr/>
            <w:r>
              <w:t xml:space="preserve">100%</w:t>
            </w:r>
          </w:p>
        </w:tc>
      </w:tr>
      <w:tr>
        <w:tc>
          <w:tcPr>
            <w:tcW w:w="4680" w:type="dxa"/>
          </w:tcPr>
          <w:p>
            <w:pPr/>
            <w:r>
              <w:t xml:space="preserve">Average settlement against the guide target</w:t>
            </w:r>
          </w:p>
        </w:tc>
        <w:tc>
          <w:tcPr>
            <w:tcW w:w="4680" w:type="dxa"/>
          </w:tcPr>
          <w:p>
            <w:pPr/>
            <w:r>
              <w:t xml:space="preserve">At or above target</w:t>
            </w:r>
          </w:p>
        </w:tc>
      </w:tr>
      <w:tr>
        <w:tc>
          <w:tcPr>
            <w:tcW w:w="4680" w:type="dxa"/>
          </w:tcPr>
          <w:p>
            <w:pPr/>
            <w:r>
              <w:t xml:space="preserve">Exception requests answered</w:t>
            </w:r>
          </w:p>
        </w:tc>
        <w:tc>
          <w:tcPr>
            <w:tcW w:w="4680" w:type="dxa"/>
          </w:tcPr>
          <w:p>
            <w:pPr/>
            <w:r>
              <w:t xml:space="preserve">Within 1 business day</w:t>
            </w:r>
          </w:p>
        </w:tc>
      </w:tr>
    </w:tbl>
    <w:p>
      <w:pPr>
        <w:pStyle w:val="Heading3"/>
      </w:pPr>
      <w:r>
        <w:t xml:space="preserve">11. Capacity, Growth and Facility Onboarding (added)</w:t>
      </w:r>
    </w:p>
    <w:p>
      <w:pPr/>
      <w:r>
        <w:rPr>
          <w:b/>
        </w:rPr>
        <w:t xml:space="preserve">Why it is added:</w:t>
      </w:r>
      <w:r>
        <w:t xml:space="preserve"> we grow from 12 to 31 facilities in two years, and the model balances work by effort, not by facility. Someone has to watch the balance and plan the growth.</w:t>
      </w:r>
    </w:p>
    <w:p>
      <w:pPr/>
      <w:r>
        <w:rPr>
          <w:b/>
        </w:rPr>
        <w:t xml:space="preserve">Responsibilities:</w:t>
      </w:r>
    </w:p>
    <w:p>
      <w:pPr>
        <w:pStyle w:val="ListParagraph"/>
        <w:numPr>
          <w:ilvl w:val="0"/>
          <w:numId w:val="15"/>
        </w:numPr>
      </w:pPr>
      <w:r>
        <w:t xml:space="preserve">Reviews workload by team in work units every week, and moves payer portfolios between teams when a team is outside 90–110% of target.</w:t>
      </w:r>
    </w:p>
    <w:p>
      <w:pPr>
        <w:pStyle w:val="ListParagraph"/>
        <w:numPr>
          <w:ilvl w:val="0"/>
          <w:numId w:val="15"/>
        </w:numPr>
      </w:pPr>
      <w:r>
        <w:t xml:space="preserve">Watches the hiring triggers: a new team when teams run above 110% for 4 weeks, and the US desk backlog trigger. Raises requests with in-house recruiting and plans the matching Academy cohorts.</w:t>
      </w:r>
    </w:p>
    <w:p>
      <w:pPr>
        <w:pStyle w:val="ListParagraph"/>
        <w:numPr>
          <w:ilvl w:val="0"/>
          <w:numId w:val="15"/>
        </w:numPr>
      </w:pPr>
      <w:r>
        <w:t xml:space="preserve">Owns the new-facility playbook: data feeds, payer-mix analysis, assignment to existing teams, go-live checklist and 90-day monitoring.</w:t>
      </w:r>
    </w:p>
    <w:p>
      <w:pPr>
        <w:pStyle w:val="ListParagraph"/>
        <w:numPr>
          <w:ilvl w:val="0"/>
          <w:numId w:val="15"/>
        </w:numPr>
      </w:pPr>
      <w:r>
        <w:t xml:space="preserve">Maintains the work-unit weights for each task with the Automation owner, and reviews them every year.</w:t>
      </w:r>
    </w:p>
    <w:p>
      <w:pPr>
        <w:pStyle w:val="ListParagraph"/>
        <w:numPr>
          <w:ilvl w:val="0"/>
          <w:numId w:val="15"/>
        </w:numPr>
      </w:pPr>
      <w:r>
        <w:t xml:space="preserve">Produces the headcount forecast for the budget.</w:t>
      </w:r>
    </w:p>
    <w:p>
      <w:pPr/>
      <w:r>
        <w:rPr>
          <w:b/>
        </w:rPr>
        <w:t xml:space="preserve">Deliverables:</w:t>
      </w:r>
      <w:r>
        <w:t xml:space="preserve"> weekly capacity view; monthly headcount forecast; a go-live checklist for each new facility.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Team-weeks within 90–110% of target workload</w:t>
            </w:r>
          </w:p>
        </w:tc>
        <w:tc>
          <w:tcPr>
            <w:tcW w:w="4680" w:type="dxa"/>
          </w:tcPr>
          <w:p>
            <w:pPr/>
            <w:r>
              <w:t xml:space="preserve">90% or more</w:t>
            </w:r>
          </w:p>
        </w:tc>
      </w:tr>
      <w:tr>
        <w:tc>
          <w:tcPr>
            <w:tcW w:w="4680" w:type="dxa"/>
          </w:tcPr>
          <w:p>
            <w:pPr/>
            <w:r>
              <w:t xml:space="preserve">New facilities live on the planned date</w:t>
            </w:r>
          </w:p>
        </w:tc>
        <w:tc>
          <w:tcPr>
            <w:tcW w:w="4680" w:type="dxa"/>
          </w:tcPr>
          <w:p>
            <w:pPr/>
            <w:r>
              <w:t xml:space="preserve">100%</w:t>
            </w:r>
          </w:p>
        </w:tc>
      </w:tr>
      <w:tr>
        <w:tc>
          <w:tcPr>
            <w:tcW w:w="4680" w:type="dxa"/>
          </w:tcPr>
          <w:p>
            <w:pPr/>
            <w:r>
              <w:t xml:space="preserve">New-facility claims worked within standard timelines</w:t>
            </w:r>
          </w:p>
        </w:tc>
        <w:tc>
          <w:tcPr>
            <w:tcW w:w="4680" w:type="dxa"/>
          </w:tcPr>
          <w:p>
            <w:pPr/>
            <w:r>
              <w:t xml:space="preserve">From the first week</w:t>
            </w:r>
          </w:p>
        </w:tc>
      </w:tr>
      <w:tr>
        <w:tc>
          <w:tcPr>
            <w:tcW w:w="4680" w:type="dxa"/>
          </w:tcPr>
          <w:p>
            <w:pPr/>
            <w:r>
              <w:t xml:space="preserve">Hires started by the date the trigger requires</w:t>
            </w:r>
          </w:p>
        </w:tc>
        <w:tc>
          <w:tcPr>
            <w:tcW w:w="4680" w:type="dxa"/>
          </w:tcPr>
          <w:p>
            <w:pPr/>
            <w:r>
              <w:t xml:space="preserve">90% or more</w:t>
            </w:r>
          </w:p>
        </w:tc>
      </w:tr>
      <w:tr>
        <w:tc>
          <w:tcPr>
            <w:tcW w:w="4680" w:type="dxa"/>
          </w:tcPr>
          <w:p>
            <w:pPr/>
            <w:r>
              <w:t xml:space="preserve">Headcount forecast accuracy</w:t>
            </w:r>
          </w:p>
        </w:tc>
        <w:tc>
          <w:tcPr>
            <w:tcW w:w="4680" w:type="dxa"/>
          </w:tcPr>
          <w:p>
            <w:pPr/>
            <w:r>
              <w:t xml:space="preserve">Within 5%</w:t>
            </w:r>
          </w:p>
        </w:tc>
      </w:tr>
    </w:tbl>
    <w:p>
      <w:pPr>
        <w:pStyle w:val="Heading2"/>
      </w:pPr>
      <w:r>
        <w:t xml:space="preserve">Senior Manager role</w:t>
      </w:r>
    </w:p>
    <w:p>
      <w:pPr/>
      <w:r>
        <w:t xml:space="preserve">The Senior Manager is a new L5 Principal (Leadership) position for special projects and cross-team ownership. They do not run a full-cycle team, so their time goes to portfolios and projects. The portfolios above are written so any manager can own them, and the board decides which ones the Senior Manager takes.</w:t>
      </w:r>
    </w:p>
    <w:p>
      <w:pPr/>
      <w:r>
        <w:rPr>
          <w:b/>
        </w:rPr>
        <w:t xml:space="preserve">Purpose:</w:t>
      </w:r>
      <w:r>
        <w:t xml:space="preserve"> lead the work that cuts across all 10 teams, and make sure portfolio findings become decisions and results.</w:t>
      </w:r>
    </w:p>
    <w:p>
      <w:pPr/>
      <w:r>
        <w:rPr>
          <w:b/>
        </w:rPr>
        <w:t xml:space="preserve">Reports to:</w:t>
      </w:r>
      <w:r>
        <w:t xml:space="preserve"> the director.</w:t>
      </w:r>
    </w:p>
    <w:p>
      <w:pPr/>
      <w:r>
        <w:rPr>
          <w:b/>
        </w:rPr>
        <w:t xml:space="preserve">Responsibilities:</w:t>
      </w:r>
    </w:p>
    <w:p>
      <w:pPr>
        <w:pStyle w:val="ListParagraph"/>
        <w:numPr>
          <w:ilvl w:val="0"/>
          <w:numId w:val="16"/>
        </w:numPr>
      </w:pPr>
      <w:r>
        <w:rPr>
          <w:b/>
        </w:rPr>
        <w:t xml:space="preserve">Owns 1–2 portfolios.</w:t>
      </w:r>
      <w:r>
        <w:t xml:space="preserve"> Chair of the Training Academy is the preferred first choice, because it touches every person and every promotion.</w:t>
      </w:r>
    </w:p>
    <w:p>
      <w:pPr>
        <w:pStyle w:val="ListParagraph"/>
        <w:numPr>
          <w:ilvl w:val="0"/>
          <w:numId w:val="16"/>
        </w:numPr>
      </w:pPr>
      <w:r>
        <w:rPr>
          <w:b/>
        </w:rPr>
        <w:t xml:space="preserve">Leads special projects:</w:t>
      </w:r>
      <w:r>
        <w:t xml:space="preserve"> for example the January 1 Gateway cutover, the Model C copy desk go-live and Gate C1, and new-facility launches.</w:t>
      </w:r>
    </w:p>
    <w:p>
      <w:pPr>
        <w:pStyle w:val="ListParagraph"/>
        <w:numPr>
          <w:ilvl w:val="0"/>
          <w:numId w:val="16"/>
        </w:numPr>
      </w:pPr>
      <w:r>
        <w:rPr>
          <w:b/>
        </w:rPr>
        <w:t xml:space="preserve">Coordinates portfolio owners:</w:t>
      </w:r>
      <w:r>
        <w:t xml:space="preserve"> sets the monthly leadership board agenda, keeps the action log, and follows up on overdue actions.</w:t>
      </w:r>
    </w:p>
    <w:p>
      <w:pPr>
        <w:pStyle w:val="ListParagraph"/>
        <w:numPr>
          <w:ilvl w:val="0"/>
          <w:numId w:val="16"/>
        </w:numPr>
      </w:pPr>
      <w:r>
        <w:rPr>
          <w:b/>
        </w:rPr>
        <w:t xml:space="preserve">Resolves overlaps</w:t>
      </w:r>
      <w:r>
        <w:t xml:space="preserve"> between portfolios, for example between Pricing and External Relations, or between Coding Quality and the Academy.</w:t>
      </w:r>
    </w:p>
    <w:p>
      <w:pPr>
        <w:pStyle w:val="ListParagraph"/>
        <w:numPr>
          <w:ilvl w:val="0"/>
          <w:numId w:val="16"/>
        </w:numPr>
      </w:pPr>
      <w:r>
        <w:rPr>
          <w:b/>
        </w:rPr>
        <w:t xml:space="preserve">Coaches portfolio owners</w:t>
      </w:r>
      <w:r>
        <w:t xml:space="preserve"> on analysis and reporting, and reviews each monthly report before it goes to the director.</w:t>
      </w:r>
    </w:p>
    <w:p>
      <w:pPr>
        <w:pStyle w:val="ListParagraph"/>
        <w:numPr>
          <w:ilvl w:val="0"/>
          <w:numId w:val="16"/>
        </w:numPr>
      </w:pPr>
      <w:r>
        <w:rPr>
          <w:b/>
        </w:rPr>
        <w:t xml:space="preserve">Acts as the escalation point</w:t>
      </w:r>
      <w:r>
        <w:t xml:space="preserve"> between managers before an issue reaches the director.</w:t>
      </w:r>
    </w:p>
    <w:p>
      <w:pPr/>
      <w:r>
        <w:rPr>
          <w:b/>
        </w:rPr>
        <w:t xml:space="preserve">Requirements:</w:t>
      </w:r>
      <w:r>
        <w:t xml:space="preserve"> at least 2 years as a manager in revenue cycle, or equivalent; strong NSA and IDR knowledge, with an A2 or A4 badge preferred; proven project delivery; clear reporting to senior leadership.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KPI</w:t>
            </w:r>
          </w:p>
        </w:tc>
        <w:tc>
          <w:tcPr>
            <w:tcW w:w="4680" w:type="dxa"/>
            <w:shd w:val="clear" w:color="auto" w:fill="F2F2F2"/>
          </w:tcPr>
          <w:p>
            <w:pPr/>
            <w:r>
              <w:t xml:space="preserve">Target</w:t>
            </w:r>
          </w:p>
        </w:tc>
      </w:tr>
      <w:tr>
        <w:tc>
          <w:tcPr>
            <w:tcW w:w="4680" w:type="dxa"/>
          </w:tcPr>
          <w:p>
            <w:pPr/>
            <w:r>
              <w:t xml:space="preserve">Portfolio reports delivered on time</w:t>
            </w:r>
          </w:p>
        </w:tc>
        <w:tc>
          <w:tcPr>
            <w:tcW w:w="4680" w:type="dxa"/>
          </w:tcPr>
          <w:p>
            <w:pPr/>
            <w:r>
              <w:t xml:space="preserve">100% by the 5th business day</w:t>
            </w:r>
          </w:p>
        </w:tc>
      </w:tr>
      <w:tr>
        <w:tc>
          <w:tcPr>
            <w:tcW w:w="4680" w:type="dxa"/>
          </w:tcPr>
          <w:p>
            <w:pPr/>
            <w:r>
              <w:t xml:space="preserve">Board actions closed by their due date</w:t>
            </w:r>
          </w:p>
        </w:tc>
        <w:tc>
          <w:tcPr>
            <w:tcW w:w="4680" w:type="dxa"/>
          </w:tcPr>
          <w:p>
            <w:pPr/>
            <w:r>
              <w:t xml:space="preserve">90% or more</w:t>
            </w:r>
          </w:p>
        </w:tc>
      </w:tr>
      <w:tr>
        <w:tc>
          <w:tcPr>
            <w:tcW w:w="4680" w:type="dxa"/>
          </w:tcPr>
          <w:p>
            <w:pPr/>
            <w:r>
              <w:t xml:space="preserve">Special projects on their milestones</w:t>
            </w:r>
          </w:p>
        </w:tc>
        <w:tc>
          <w:tcPr>
            <w:tcW w:w="4680" w:type="dxa"/>
          </w:tcPr>
          <w:p>
            <w:pPr/>
            <w:r>
              <w:t xml:space="preserve">100% of gates met or escalated in advance</w:t>
            </w:r>
          </w:p>
        </w:tc>
      </w:tr>
      <w:tr>
        <w:tc>
          <w:tcPr>
            <w:tcW w:w="4680" w:type="dxa"/>
          </w:tcPr>
          <w:p>
            <w:pPr/>
            <w:r>
              <w:t xml:space="preserve">KPIs of the portfolios they own</w:t>
            </w:r>
          </w:p>
        </w:tc>
        <w:tc>
          <w:tcPr>
            <w:tcW w:w="4680" w:type="dxa"/>
          </w:tcPr>
          <w:p>
            <w:pPr/>
            <w:r>
              <w:t xml:space="preserve">As set in each portfolio</w:t>
            </w:r>
          </w:p>
        </w:tc>
      </w:tr>
    </w:tbl>
    <w:p>
      <w:pPr/>
      <w:r>
        <w:rPr>
          <w:b/>
        </w:rPr>
        <w:t xml:space="preserve">Open questions for the director:</w:t>
      </w:r>
    </w:p>
    <w:p>
      <w:pPr>
        <w:pStyle w:val="ListParagraph"/>
        <w:numPr>
          <w:ilvl w:val="0"/>
          <w:numId w:val="17"/>
        </w:numPr>
      </w:pPr>
      <w:r>
        <w:rPr>
          <w:b/>
        </w:rPr>
        <w:t xml:space="preserve">Pay band:</w:t>
      </w:r>
      <w:r>
        <w:t xml:space="preserve"> the band for the Senior Manager, above the Manager band of $2,000–3,000 a month.</w:t>
      </w:r>
    </w:p>
    <w:p>
      <w:pPr>
        <w:pStyle w:val="ListParagraph"/>
        <w:numPr>
          <w:ilvl w:val="0"/>
          <w:numId w:val="17"/>
        </w:numPr>
      </w:pPr>
      <w:r>
        <w:rPr>
          <w:b/>
        </w:rPr>
        <w:t xml:space="preserve">Portfolios:</w:t>
      </w:r>
      <w:r>
        <w:t xml:space="preserve"> whether the Senior Manager owns 1 or 2 portfolios from launch.</w:t>
      </w:r>
    </w:p>
    <w:p>
      <w:pPr>
        <w:pStyle w:val="ListParagraph"/>
        <w:numPr>
          <w:ilvl w:val="0"/>
          <w:numId w:val="17"/>
        </w:numPr>
      </w:pPr>
      <w:r>
        <w:rPr>
          <w:b/>
        </w:rPr>
        <w:t xml:space="preserve">Timing:</w:t>
      </w:r>
      <w:r>
        <w:t xml:space="preserve"> whether to fill the role before the Academy set-up in October–November 2026, so the chair is in place for the December 2026 ranking and the January–March 2027 transition.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b6d4a7d2-43e8-4c8e-b922-12a424e3ecb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Appendix Manager Portfolios and Special Projects</dc:title>
  <dc:description>Claude Docs node/5d05cc94-851a@22 docx-w6</dc:description>
  <cp:revision>22</cp:revision>
</cp:coreProperties>
</file>