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противник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A:возвращает 1, если от претенденто получено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РЕШКА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:возвращает 0, если от претенденто получено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РЕШКА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BC52BA">
            <w:pPr>
              <w:jc w:val="center"/>
            </w:pPr>
            <w:r>
              <w:rPr>
                <w:lang w:val="en-US"/>
              </w:rPr>
              <w:t>/ 6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>Если шифр имеет длины ключей больше длин шифртекстов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 xml:space="preserve">Если шифр имеет и энтропии длины ключей больше длин и энтропий шифртекстов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>Если для всех пар сообщение – шифртекст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 xml:space="preserve">, для которых чётные координаты равны 1.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подстановочный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554F19" w:rsidP="0076084E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245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/9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зашифрованием,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шифрткеста?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шифртекста после зашифрования,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>Имеет ли данная схема смысл для уменьшения размера шифрткеста?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554F19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554F19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расшифрования.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>Как следует разделить части пар между частями?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554F19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w:bookmarkStart w:id="0" w:name="_GoBack"/>
              <w:bookmarkEnd w:id="0"/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554F19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554F19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554F19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554F19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8D6B00">
            <w:pPr>
              <w:jc w:val="center"/>
            </w:pPr>
            <w:r>
              <w:rPr>
                <w:lang w:val="en-US"/>
              </w:rPr>
              <w:t>/1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245BB2"/>
    <w:rsid w:val="00340F06"/>
    <w:rsid w:val="00346E2F"/>
    <w:rsid w:val="003D566B"/>
    <w:rsid w:val="0046043D"/>
    <w:rsid w:val="004A3813"/>
    <w:rsid w:val="00554F19"/>
    <w:rsid w:val="005670DA"/>
    <w:rsid w:val="00616970"/>
    <w:rsid w:val="00650EFB"/>
    <w:rsid w:val="00670E95"/>
    <w:rsid w:val="00672F4C"/>
    <w:rsid w:val="006F1E1D"/>
    <w:rsid w:val="0076084E"/>
    <w:rsid w:val="00795F19"/>
    <w:rsid w:val="007A72DF"/>
    <w:rsid w:val="007E6E91"/>
    <w:rsid w:val="007F0623"/>
    <w:rsid w:val="00827D26"/>
    <w:rsid w:val="00882673"/>
    <w:rsid w:val="008A0F65"/>
    <w:rsid w:val="008D59E3"/>
    <w:rsid w:val="0099107E"/>
    <w:rsid w:val="009A53F4"/>
    <w:rsid w:val="00A861D4"/>
    <w:rsid w:val="00B72B7F"/>
    <w:rsid w:val="00B977B4"/>
    <w:rsid w:val="00BA6263"/>
    <w:rsid w:val="00BC52BA"/>
    <w:rsid w:val="00C31802"/>
    <w:rsid w:val="00D10958"/>
    <w:rsid w:val="00DC5719"/>
    <w:rsid w:val="00DF6312"/>
    <w:rsid w:val="00E0700F"/>
    <w:rsid w:val="00E6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5AEC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6CCC4-D423-4E93-85CF-D958A27E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33</cp:revision>
  <dcterms:created xsi:type="dcterms:W3CDTF">2018-08-27T06:33:00Z</dcterms:created>
  <dcterms:modified xsi:type="dcterms:W3CDTF">2018-09-05T09:32:00Z</dcterms:modified>
</cp:coreProperties>
</file>