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52EE6" w:rsidRPr="00AF02CC">
        <w:rPr>
          <w:lang w:val="en-US"/>
        </w:rPr>
        <w:t>4,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5670DA" w:rsidRPr="00AF02CC" w:rsidRDefault="002F2261" w:rsidP="00283293">
      <w:pPr>
        <w:pStyle w:val="a3"/>
        <w:numPr>
          <w:ilvl w:val="0"/>
          <w:numId w:val="2"/>
        </w:numPr>
        <w:ind w:left="284" w:hanging="284"/>
      </w:pPr>
      <w:r w:rsidRPr="00AF02CC">
        <w:t xml:space="preserve">Пусть </w:t>
      </w:r>
      <m:oMath>
        <m:r>
          <w:rPr>
            <w:rFonts w:ascii="Cambria Math" w:hAnsi="Cambria Math"/>
          </w:rPr>
          <m:t>F</m:t>
        </m:r>
      </m:oMath>
      <w:r w:rsidR="00652EE6" w:rsidRPr="00AF02CC">
        <w:rPr>
          <w:rFonts w:eastAsiaTheme="minorEastAsia"/>
        </w:rPr>
        <w:t xml:space="preserve"> – </w:t>
      </w:r>
      <w:r w:rsidR="00E008B8" w:rsidRPr="00AF02CC">
        <w:rPr>
          <w:rFonts w:eastAsiaTheme="minorEastAsia"/>
          <w:lang w:val="en-US"/>
        </w:rPr>
        <w:t>PRF</w:t>
      </w:r>
      <w:r w:rsidR="00E008B8" w:rsidRPr="00AF02CC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E008B8" w:rsidRPr="00AF02CC">
        <w:rPr>
          <w:rFonts w:eastAsiaTheme="minorEastAsia"/>
        </w:rPr>
        <w:t>.</w:t>
      </w:r>
      <w:r w:rsidR="00DC66C0" w:rsidRPr="00AF02CC">
        <w:rPr>
          <w:rFonts w:eastAsiaTheme="minorEastAsia"/>
        </w:rPr>
        <w:t xml:space="preserve">  Выберите верные утверждения, доказав или опровергнув их.</w:t>
      </w:r>
      <w:r w:rsidR="00652EE6" w:rsidRPr="00AF02CC">
        <w:rPr>
          <w:rFonts w:eastAsiaTheme="minorEastAsia"/>
        </w:rPr>
        <w:t xml:space="preserve"> 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AF02CC" w:rsidRDefault="00DC66C0" w:rsidP="00B64C0F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k,x⊕c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AF02CC" w:rsidRDefault="00DC66C0" w:rsidP="00DC66C0">
            <w:pPr>
              <w:rPr>
                <w:lang w:val="en-US"/>
              </w:rPr>
            </w:pPr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DC66C0" w:rsidRPr="00AF02CC" w:rsidRDefault="00DC66C0" w:rsidP="00B64C0F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k⊕c,x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 </w:t>
            </w:r>
            <w:r w:rsidRPr="00AF02CC">
              <w:rPr>
                <w:rFonts w:eastAsiaTheme="minorEastAsia"/>
                <w:b/>
              </w:rPr>
              <w:t>не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  <w:tc>
          <w:tcPr>
            <w:tcW w:w="1128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</w:tr>
    </w:tbl>
    <w:p w:rsidR="00000DD3" w:rsidRPr="00AF02CC" w:rsidRDefault="00000DD3" w:rsidP="005670DA">
      <w:pPr>
        <w:ind w:left="708"/>
      </w:pP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AF02CC" w:rsidRDefault="001862C8" w:rsidP="001862C8">
            <w:r w:rsidRPr="00AF02CC">
              <w:t>Любой стойкий блочных шифр семантически стойкий для любых сообщений имеющих размер</w:t>
            </w:r>
            <w:r w:rsidR="002B530E" w:rsidRPr="00AF02CC">
              <w:t>,</w:t>
            </w:r>
            <w:r w:rsidRPr="00AF02CC">
              <w:t xml:space="preserve"> кратный длине блока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AF02CC" w:rsidRDefault="00B9262B" w:rsidP="00B9262B">
            <w:r w:rsidRPr="00AF02CC">
              <w:t>Если блочный шифр имеет ключ длины 128 бит, его параметр стойкости не может превосходить 128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AF02CC" w:rsidRDefault="00B9262B" w:rsidP="002B530E">
            <w:r w:rsidRPr="00AF02CC">
              <w:t xml:space="preserve">Если блочный шифр имеет ключ длины 128 бит, его </w:t>
            </w:r>
            <w:r w:rsidR="002B530E" w:rsidRPr="00AF02CC">
              <w:t>параметр стойкости</w:t>
            </w:r>
            <w:r w:rsidRPr="00AF02CC">
              <w:t xml:space="preserve"> не может быть ниже 64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AF02CC" w:rsidRDefault="001862C8" w:rsidP="001D71FB">
            <w:pPr>
              <w:rPr>
                <w:rFonts w:eastAsiaTheme="minorEastAsia"/>
              </w:rPr>
            </w:pPr>
            <w:r w:rsidRPr="00AF02CC">
              <w:rPr>
                <w:rFonts w:eastAsiaTheme="minorEastAsia"/>
              </w:rPr>
              <w:t>Возможно существование стойкого блочного шифра, не стойкого к восстановлению ключа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AF02CC" w:rsidRDefault="001862C8" w:rsidP="003321AB">
            <w:r w:rsidRPr="00AF02CC">
              <w:t xml:space="preserve">Стойкость блочного шифра можно свести к стойкости его </w:t>
            </w:r>
            <w:r w:rsidR="00EC1F96" w:rsidRPr="00AF02CC">
              <w:t>функции</w:t>
            </w:r>
            <w:r w:rsidRPr="00AF02CC">
              <w:t xml:space="preserve"> зашифрования, как псевдослучайной подстановки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1862C8" w:rsidP="008679F5">
            <w:r w:rsidRPr="00AF02CC">
              <w:t xml:space="preserve">Блочной шифр в режиме </w:t>
            </w:r>
            <w:r w:rsidRPr="00AF02CC">
              <w:rPr>
                <w:lang w:val="en-US"/>
              </w:rPr>
              <w:t>ECB</w:t>
            </w:r>
            <w:r w:rsidRPr="00AF02CC">
              <w:t xml:space="preserve"> является шифром подстановки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02CC" w:rsidRDefault="00A54E8F" w:rsidP="008679F5">
            <w:r w:rsidRPr="00AF02CC">
              <w:t>Если стойкий блочный шифр имеет ключ длины 128 бит и размер блока 128 бит то он является абсолютно стойким.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54E8F" w:rsidP="004C279E">
            <w:r w:rsidRPr="00AF02CC">
              <w:t>Невозможно построить абсолютно стойкий</w:t>
            </w:r>
            <w:r w:rsidR="00FA77F6">
              <w:t xml:space="preserve"> </w:t>
            </w:r>
            <w:r w:rsidR="00FA77F6" w:rsidRPr="00AF02CC">
              <w:t>шифр</w:t>
            </w:r>
            <w:r w:rsidR="009B79B5" w:rsidRPr="009B79B5">
              <w:t xml:space="preserve"> </w:t>
            </w:r>
            <w:r w:rsidR="009B79B5">
              <w:t xml:space="preserve">с длинной ключа </w:t>
            </w:r>
            <w:r w:rsidR="009B79B5" w:rsidRPr="00AF02CC">
              <w:t xml:space="preserve">128 </w:t>
            </w:r>
            <w:r w:rsidR="009B79B5">
              <w:t>бит</w:t>
            </w:r>
            <w:r w:rsidR="00FA77F6">
              <w:t xml:space="preserve"> на основе блочного</w:t>
            </w:r>
            <w:r w:rsidRPr="00AF02CC">
              <w:t xml:space="preserve"> шифр</w:t>
            </w:r>
            <w:r w:rsidR="00FA77F6">
              <w:t>а</w:t>
            </w:r>
            <w:r w:rsidRPr="00AF02CC">
              <w:t xml:space="preserve"> с длинной ключа 128 бит, размером блока 64 бита для сообщений длины </w:t>
            </w:r>
            <w:r w:rsidR="004C279E">
              <w:t>256</w:t>
            </w:r>
            <w:r w:rsidRPr="00AF02CC">
              <w:t xml:space="preserve"> бит.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02CC" w:rsidRDefault="008679F5" w:rsidP="008679F5">
            <w:pPr>
              <w:jc w:val="center"/>
            </w:pPr>
            <w:r w:rsidRPr="00AF02CC">
              <w:t>/ 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AF02CC" w:rsidRDefault="00627433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Пусть </w:t>
      </w:r>
      <m:oMath>
        <m:r>
          <w:rPr>
            <w:rFonts w:ascii="Cambria Math" w:hAnsi="Cambria Math"/>
          </w:rPr>
          <m:t>F:</m:t>
        </m:r>
        <w:bookmarkStart w:id="1" w:name="OLE_LINK1"/>
        <m:r>
          <w:rPr>
            <w:rFonts w:ascii="Cambria Math" w:hAnsi="Cambria Math"/>
          </w:rPr>
          <m:t>K×X→Y</m:t>
        </m:r>
      </m:oMath>
      <w:r w:rsidRPr="00AF02CC">
        <w:rPr>
          <w:rFonts w:eastAsiaTheme="minorEastAsia"/>
        </w:rPr>
        <w:t xml:space="preserve"> </w:t>
      </w:r>
      <w:bookmarkEnd w:id="1"/>
      <w:r w:rsidRPr="00AF02CC">
        <w:rPr>
          <w:rFonts w:eastAsiaTheme="minorEastAsia"/>
        </w:rPr>
        <w:t xml:space="preserve">–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Для некоторого параметра </w:t>
      </w:r>
      <m:oMath>
        <m:r>
          <w:rPr>
            <w:rFonts w:ascii="Cambria Math" w:eastAsiaTheme="minorEastAsia" w:hAnsi="Cambria Math"/>
          </w:rPr>
          <m:t>l&lt;n</m:t>
        </m:r>
      </m:oMath>
      <w:r w:rsidRPr="00AF02CC">
        <w:rPr>
          <w:rFonts w:eastAsiaTheme="minorEastAsia"/>
        </w:rPr>
        <w:t xml:space="preserve"> рассмотрим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/>
          </w:rPr>
          <m:t>K×X→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[0,..,l-1]</m:t>
        </m:r>
      </m:oMath>
      <w:r w:rsidRPr="00AF02CC">
        <w:rPr>
          <w:rFonts w:eastAsiaTheme="minorEastAsia"/>
        </w:rPr>
        <w:t xml:space="preserve">.  Является ли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'</m:t>
        </m:r>
      </m:oMath>
      <w:r w:rsidRPr="00AF02CC">
        <w:rPr>
          <w:rFonts w:eastAsiaTheme="minorEastAsia"/>
          <w:lang w:val="en-US"/>
        </w:rPr>
        <w:t xml:space="preserve"> - </w:t>
      </w:r>
      <w:r w:rsidRPr="00AF02CC">
        <w:rPr>
          <w:rFonts w:eastAsiaTheme="minorEastAsia"/>
        </w:rPr>
        <w:t xml:space="preserve">стойкой </w:t>
      </w:r>
      <w:r w:rsidRPr="00AF02CC">
        <w:rPr>
          <w:rFonts w:eastAsiaTheme="minorEastAsia"/>
          <w:lang w:val="en-US"/>
        </w:rPr>
        <w:t xml:space="preserve">PRF? </w:t>
      </w:r>
      <w:r w:rsidRPr="00AF02CC">
        <w:rPr>
          <w:rFonts w:eastAsiaTheme="minorEastAsia"/>
        </w:rPr>
        <w:t>Докажите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4239BC" w:rsidP="001D71FB">
            <w:pPr>
              <w:jc w:val="center"/>
            </w:pPr>
            <w:r w:rsidRPr="00AF02CC">
              <w:t>/2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DF6312">
      <w:pPr>
        <w:pStyle w:val="a3"/>
        <w:rPr>
          <w:rFonts w:eastAsiaTheme="minorEastAsia"/>
        </w:rPr>
      </w:pPr>
    </w:p>
    <w:p w:rsidR="00DF6312" w:rsidRPr="00AF02CC" w:rsidRDefault="00A91B99" w:rsidP="00A91B99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Рассмотрим игру на семантическую стойкость для случайных сообщений: вместо выбора произвольных сообщений противник может выбрать сообщения только случайно из множества сообщений. В остальном игра идентично обычной игре на семантическую стойкость. Являются ли игры эквивалентными? (записать в ответ). Если нет – выясните какая из них является более строгой, докажите это сведением, продемонстрируйте пример шифра, стойкого в одной из моделей семантической стойкости, и не стойкого в другой. Если игры эквивалентны – формально докажите это. 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A91B99" w:rsidP="00245BB2">
            <w:pPr>
              <w:jc w:val="center"/>
            </w:pPr>
            <w:r w:rsidRPr="00AF02CC">
              <w:t>/4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9A53F4">
      <w:pPr>
        <w:pStyle w:val="a3"/>
        <w:rPr>
          <w:rFonts w:eastAsiaTheme="minorEastAsia"/>
        </w:rPr>
      </w:pPr>
    </w:p>
    <w:p w:rsidR="00000DD3" w:rsidRPr="00AF02CC" w:rsidRDefault="00000DD3" w:rsidP="00000DD3">
      <w:pPr>
        <w:pStyle w:val="a3"/>
        <w:rPr>
          <w:rFonts w:eastAsiaTheme="minorEastAsia"/>
        </w:rPr>
      </w:pPr>
    </w:p>
    <w:p w:rsidR="0099107E" w:rsidRPr="00AF02CC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F:K×X→Y</m:t>
        </m:r>
      </m:oMath>
      <w:r w:rsidRPr="00AF02CC">
        <w:rPr>
          <w:rFonts w:eastAsiaTheme="minorEastAsia"/>
        </w:rPr>
        <w:t xml:space="preserve"> –</w:t>
      </w:r>
      <w:r w:rsidR="00001396" w:rsidRPr="00AF02CC">
        <w:rPr>
          <w:rFonts w:eastAsiaTheme="minorEastAsia"/>
        </w:rPr>
        <w:t xml:space="preserve"> стойкая</w:t>
      </w:r>
      <w:r w:rsidR="001C65DC" w:rsidRPr="00AF02CC">
        <w:rPr>
          <w:rFonts w:eastAsiaTheme="minorEastAsia"/>
        </w:rPr>
        <w:t xml:space="preserve"> </w:t>
      </w:r>
      <w:r w:rsidR="00001396" w:rsidRPr="00AF02CC">
        <w:rPr>
          <w:rFonts w:eastAsiaTheme="minorEastAsia"/>
          <w:lang w:val="en-US"/>
        </w:rPr>
        <w:t>PRF</w:t>
      </w:r>
      <w:r w:rsidR="00001396"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K=X=Y=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Какие из следующих алгоритмов является </w:t>
      </w:r>
      <w:r w:rsidR="00001396" w:rsidRPr="00AF02CC">
        <w:rPr>
          <w:rFonts w:eastAsiaTheme="minorEastAsia"/>
        </w:rPr>
        <w:t xml:space="preserve">стойкими </w:t>
      </w:r>
      <w:r w:rsidR="00001396"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AF02CC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t>№</w:t>
            </w:r>
          </w:p>
        </w:tc>
        <w:tc>
          <w:tcPr>
            <w:tcW w:w="6521" w:type="dxa"/>
          </w:tcPr>
          <w:p w:rsidR="00000DD3" w:rsidRPr="00AF02CC" w:rsidRDefault="00000DD3" w:rsidP="001D71FB">
            <w:r w:rsidRPr="00AF02CC">
              <w:t>Задание</w:t>
            </w:r>
          </w:p>
        </w:tc>
        <w:tc>
          <w:tcPr>
            <w:tcW w:w="2262" w:type="dxa"/>
          </w:tcPr>
          <w:p w:rsidR="00000DD3" w:rsidRPr="00AF02CC" w:rsidRDefault="00000DD3" w:rsidP="001D71FB">
            <w:r w:rsidRPr="00AF02CC">
              <w:t>Ответ</w:t>
            </w:r>
          </w:p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=F(k,x)||0</m:t>
                </m:r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AF02CC" w:rsidRDefault="008920F8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AF02CC" w:rsidRDefault="008920F8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⊕F(k,y)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AF02CC" w:rsidRDefault="008920F8" w:rsidP="00001396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(k,x)=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/>
                </w:rPr>
                <m:t>⊕x</m:t>
              </m:r>
            </m:oMath>
            <w:r w:rsidR="00001396" w:rsidRPr="00AF02CC"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AF02CC" w:rsidRDefault="008920F8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  <m:r>
                  <w:rPr>
                    <w:rFonts w:ascii="Cambria Math" w:hAnsi="Cambria Math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AF02CC" w:rsidRDefault="008920F8" w:rsidP="00001396">
            <w:pPr>
              <w:rPr>
                <w:rFonts w:ascii="Cambria Math" w:eastAsia="Calibri" w:hAnsi="Cambria Math" w:cs="Times New Roman"/>
                <w:i/>
                <w:lang w:val="en-US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r>
                    <w:rPr>
                      <w:rStyle w:val="mord"/>
                      <w:rFonts w:ascii="Cambria Math" w:hAnsi="Cambria Math"/>
                    </w:rPr>
                    <m:t>x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F(F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 xml:space="preserve">k, 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,x)</m:t>
              </m:r>
            </m:oMath>
            <w:r w:rsidR="00001396" w:rsidRPr="00AF02CC">
              <w:rPr>
                <w:rStyle w:val="mord"/>
                <w:rFonts w:ascii="Cambria Math" w:eastAsia="Calibri" w:hAnsi="Cambria Math" w:cs="Times New Roman"/>
                <w:i/>
                <w:lang w:val="en-US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rStyle w:val="mord"/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F'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F(F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Style w:val="mord"/>
                    <w:rFonts w:ascii="Cambria Math" w:hAnsi="Cambria Math"/>
                  </w:rPr>
                  <m:t>,x)||F(k,x)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001396" w:rsidRPr="00AF02CC" w:rsidRDefault="008920F8" w:rsidP="00001396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x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||F(k,F(k,x))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245BB2" w:rsidRPr="00AF02CC" w:rsidTr="001D71FB">
        <w:tc>
          <w:tcPr>
            <w:tcW w:w="562" w:type="dxa"/>
          </w:tcPr>
          <w:p w:rsidR="00245BB2" w:rsidRPr="00AF02CC" w:rsidRDefault="00245BB2" w:rsidP="00795F19"/>
        </w:tc>
        <w:tc>
          <w:tcPr>
            <w:tcW w:w="6521" w:type="dxa"/>
          </w:tcPr>
          <w:p w:rsidR="00245BB2" w:rsidRPr="00AF02CC" w:rsidRDefault="00245BB2" w:rsidP="00795F19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F02CC" w:rsidRDefault="00245BB2" w:rsidP="00245BB2">
            <w:pPr>
              <w:jc w:val="center"/>
            </w:pPr>
            <w:r w:rsidRPr="00AF02CC">
              <w:t>/9</w:t>
            </w:r>
          </w:p>
        </w:tc>
      </w:tr>
    </w:tbl>
    <w:p w:rsidR="00E67AC8" w:rsidRPr="00AF02CC" w:rsidRDefault="00E67AC8" w:rsidP="00E67AC8">
      <w:pPr>
        <w:pStyle w:val="a3"/>
        <w:ind w:left="360"/>
        <w:rPr>
          <w:rFonts w:eastAsiaTheme="minorEastAsia"/>
        </w:rPr>
      </w:pPr>
    </w:p>
    <w:p w:rsidR="004A3813" w:rsidRPr="00AF02CC" w:rsidRDefault="00F3623F" w:rsidP="00F3623F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Рассмотрим модифицированную игру на стойкость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. Назовём игру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описанную в лекции – адаптивной, в том смысле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что противник отправляет сообщения последовательно, после получения ответа на свое предыдущее сообщения от претендента. Т.е. при формировании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F02CC">
        <w:rPr>
          <w:rFonts w:eastAsiaTheme="minorEastAsia"/>
        </w:rPr>
        <w:t xml:space="preserve"> противник может учитывать полученные от претендента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Рассмотрим не</w:t>
      </w:r>
      <w:r w:rsidRPr="00AF02CC">
        <w:rPr>
          <w:rFonts w:eastAsiaTheme="minorEastAsia"/>
        </w:rPr>
        <w:t xml:space="preserve">адаптивную версию игры – противник отправляет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 </w:t>
      </w:r>
      <w:r w:rsidRPr="00AF02CC">
        <w:rPr>
          <w:rFonts w:eastAsiaTheme="minorEastAsia"/>
          <w:b/>
        </w:rPr>
        <w:t>одновременно</w:t>
      </w:r>
      <w:r w:rsidRPr="00AF02CC">
        <w:rPr>
          <w:rFonts w:eastAsiaTheme="minorEastAsia"/>
        </w:rPr>
        <w:t xml:space="preserve">, и получает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, где здесь и далее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Преимущество противника в не</w:t>
      </w:r>
      <w:r w:rsidRPr="00AF02CC">
        <w:rPr>
          <w:rFonts w:eastAsiaTheme="minorEastAsia"/>
        </w:rPr>
        <w:t>адаптивной игре описывается аналогично адаптивной версии.</w:t>
      </w:r>
    </w:p>
    <w:p w:rsidR="00F3623F" w:rsidRPr="008920F8" w:rsidRDefault="00F3623F" w:rsidP="00F3623F">
      <w:pPr>
        <w:pStyle w:val="a3"/>
        <w:ind w:left="360"/>
        <w:rPr>
          <w:rFonts w:eastAsiaTheme="minorEastAsia"/>
          <w:i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</m:oMath>
      <w:r w:rsidRPr="00AF02CC">
        <w:rPr>
          <w:rFonts w:eastAsiaTheme="minorEastAsia"/>
        </w:rPr>
        <w:t xml:space="preserve">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 |X|</m:t>
        </m:r>
      </m:oMath>
      <w:r w:rsidRPr="00AF02CC">
        <w:rPr>
          <w:rFonts w:eastAsiaTheme="minorEastAsia"/>
        </w:rPr>
        <w:t xml:space="preserve"> - </w:t>
      </w:r>
      <w:r w:rsidR="00AF0254">
        <w:rPr>
          <w:rFonts w:eastAsiaTheme="minorEastAsia"/>
        </w:rPr>
        <w:t>сверх-</w:t>
      </w:r>
      <w:r w:rsidRPr="00AF02CC">
        <w:rPr>
          <w:rFonts w:eastAsiaTheme="minorEastAsia"/>
        </w:rPr>
        <w:t xml:space="preserve">полиномиальная. Построим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C5EAF" w:rsidRPr="00AF02CC">
        <w:rPr>
          <w:rFonts w:eastAsiaTheme="minorEastAsia"/>
        </w:rPr>
        <w:t xml:space="preserve">следующим образом: для некоторого элемента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∈X,y'=F(k,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C5EAF" w:rsidRPr="00AF02CC">
        <w:rPr>
          <w:rFonts w:eastAsiaTheme="minorEastAsia"/>
        </w:rPr>
        <w:t xml:space="preserve"> определим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k,y'</m:t>
            </m:r>
          </m:e>
        </m:d>
        <m:r>
          <w:rPr>
            <w:rFonts w:ascii="Cambria Math" w:eastAsiaTheme="minorEastAsia" w:hAnsi="Cambria Math"/>
          </w:rPr>
          <m:t>=x'</m:t>
        </m:r>
      </m:oMath>
      <w:r w:rsidR="008C5EAF" w:rsidRPr="00AF02CC">
        <w:rPr>
          <w:rFonts w:eastAsiaTheme="minorEastAsia"/>
        </w:rPr>
        <w:t xml:space="preserve">, для остальных </w:t>
      </w:r>
      <m:oMath>
        <m:r>
          <w:rPr>
            <w:rFonts w:ascii="Cambria Math" w:eastAsiaTheme="minorEastAsia" w:hAnsi="Cambria Math"/>
          </w:rPr>
          <m:t>x∈X:x≠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=F(k,x)</m:t>
        </m:r>
      </m:oMath>
      <w:r w:rsidR="002940E5" w:rsidRPr="00AF02CC">
        <w:rPr>
          <w:rFonts w:eastAsiaTheme="minorEastAsia"/>
        </w:rPr>
        <w:t>.</w:t>
      </w:r>
      <w:r w:rsidR="008920F8">
        <w:rPr>
          <w:rFonts w:eastAsiaTheme="minorEastAsia"/>
        </w:rPr>
        <w:t xml:space="preserve"> Предполагается, что противник знает </w:t>
      </w:r>
      <m:oMath>
        <m:r>
          <w:rPr>
            <w:rFonts w:ascii="Cambria Math" w:eastAsiaTheme="minorEastAsia" w:hAnsi="Cambria Math"/>
          </w:rPr>
          <m:t>x'</m:t>
        </m:r>
      </m:oMath>
      <w:r w:rsidR="008920F8">
        <w:rPr>
          <w:rFonts w:eastAsiaTheme="minorEastAsia"/>
        </w:rPr>
        <w:t xml:space="preserve">, но не знает </w:t>
      </w:r>
      <m:oMath>
        <m:r>
          <w:rPr>
            <w:rFonts w:ascii="Cambria Math" w:eastAsiaTheme="minorEastAsia" w:hAnsi="Cambria Math"/>
          </w:rPr>
          <m:t>y'</m:t>
        </m:r>
      </m:oMath>
      <w:r w:rsidR="008920F8">
        <w:rPr>
          <w:rFonts w:eastAsiaTheme="minorEastAsia"/>
        </w:rPr>
        <w:t xml:space="preserve">, так как </w:t>
      </w:r>
      <m:oMath>
        <m:r>
          <w:rPr>
            <w:rFonts w:ascii="Cambria Math" w:eastAsiaTheme="minorEastAsia" w:hAnsi="Cambria Math"/>
          </w:rPr>
          <m:t>y'</m:t>
        </m:r>
      </m:oMath>
      <w:r w:rsidR="008920F8">
        <w:rPr>
          <w:rFonts w:eastAsiaTheme="minorEastAsia"/>
        </w:rPr>
        <w:t xml:space="preserve"> зависит от использованного ключа.</w:t>
      </w:r>
      <w:bookmarkStart w:id="2" w:name="_GoBack"/>
      <w:bookmarkEnd w:id="2"/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Формально докажите или опровергните утверждения ниже. 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</w:p>
    <w:p w:rsidR="0044601A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Для заданий с и </w:t>
      </w:r>
      <w:r w:rsidRPr="00AF02CC">
        <w:rPr>
          <w:rFonts w:eastAsiaTheme="minorEastAsia"/>
          <w:lang w:val="en-US"/>
        </w:rPr>
        <w:t>d</w:t>
      </w:r>
      <w:r w:rsidRPr="00AF02CC">
        <w:rPr>
          <w:rFonts w:eastAsiaTheme="minorEastAsia"/>
        </w:rPr>
        <w:t xml:space="preserve"> определите аналогичную задачу для блочных шифров </w:t>
      </w:r>
      <w:bookmarkStart w:id="3" w:name="OLE_LINK8"/>
      <w:bookmarkStart w:id="4" w:name="OLE_LINK9"/>
      <w:bookmarkStart w:id="5" w:name="OLE_LINK10"/>
      <w:bookmarkStart w:id="6" w:name="OLE_LINK11"/>
      <w:bookmarkStart w:id="7" w:name="OLE_LINK12"/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bookmarkEnd w:id="3"/>
      <w:bookmarkEnd w:id="4"/>
      <w:bookmarkEnd w:id="5"/>
      <w:bookmarkEnd w:id="6"/>
      <w:bookmarkEnd w:id="7"/>
      <w:r w:rsidRPr="00AF02CC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'</m:t>
        </m:r>
      </m:oMath>
      <w:r w:rsidRPr="00AF02CC">
        <w:rPr>
          <w:rFonts w:eastAsiaTheme="minorEastAsia"/>
        </w:rPr>
        <w:t xml:space="preserve">. </w:t>
      </w:r>
    </w:p>
    <w:p w:rsidR="0044601A" w:rsidRPr="00AF02CC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AF02CC" w:rsidTr="001D71FB">
        <w:tc>
          <w:tcPr>
            <w:tcW w:w="562" w:type="dxa"/>
          </w:tcPr>
          <w:p w:rsidR="004A3813" w:rsidRPr="00AF02CC" w:rsidRDefault="004A3813" w:rsidP="001D71FB">
            <w:r w:rsidRPr="00AF02CC">
              <w:t>№</w:t>
            </w:r>
          </w:p>
        </w:tc>
        <w:tc>
          <w:tcPr>
            <w:tcW w:w="6521" w:type="dxa"/>
          </w:tcPr>
          <w:p w:rsidR="004A3813" w:rsidRPr="00AF02CC" w:rsidRDefault="004A3813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4A3813" w:rsidRPr="00AF02CC" w:rsidRDefault="004A3813" w:rsidP="001D71FB">
            <w:r w:rsidRPr="00AF02CC">
              <w:t>Ответ</w:t>
            </w:r>
          </w:p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w:bookmarkStart w:id="8" w:name="OLE_LINK2"/>
            <w:bookmarkStart w:id="9" w:name="OLE_LINK3"/>
            <w:bookmarkStart w:id="10" w:name="OLE_LINK4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="00D22324"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стойкая </w:t>
            </w:r>
            <w:r w:rsidRPr="00AF02CC">
              <w:rPr>
                <w:rFonts w:eastAsiaTheme="minorEastAsia"/>
                <w:lang w:val="en-US"/>
              </w:rPr>
              <w:t>PRF</w:t>
            </w:r>
            <w:r w:rsidRPr="00AF02CC">
              <w:rPr>
                <w:rFonts w:eastAsiaTheme="minorEastAsia"/>
              </w:rPr>
              <w:t xml:space="preserve"> против адаптивных противников</w:t>
            </w:r>
            <w:bookmarkEnd w:id="8"/>
            <w:bookmarkEnd w:id="9"/>
            <w:bookmarkEnd w:id="10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AF02CC" w:rsidRDefault="0097248B" w:rsidP="00A04381">
            <w:pPr>
              <w:rPr>
                <w:rFonts w:eastAsiaTheme="minorEastAsia"/>
                <w:i/>
              </w:rPr>
            </w:pPr>
            <w:bookmarkStart w:id="11" w:name="OLE_LINK5"/>
            <w:bookmarkStart w:id="12" w:name="OLE_LINK6"/>
            <w:bookmarkStart w:id="13" w:name="OLE_LINK7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oMath>
            <w:r w:rsidR="002940E5" w:rsidRPr="00AF02CC">
              <w:rPr>
                <w:rFonts w:eastAsiaTheme="minorEastAsia"/>
                <w:i/>
              </w:rPr>
              <w:t xml:space="preserve">’ </w:t>
            </w:r>
            <w:r w:rsidR="002940E5" w:rsidRPr="00AF02CC">
              <w:rPr>
                <w:rFonts w:eastAsiaTheme="minorEastAsia"/>
              </w:rPr>
              <w:t>–</w:t>
            </w:r>
            <w:r w:rsidR="00F34AE8">
              <w:rPr>
                <w:rFonts w:eastAsiaTheme="minorEastAsia"/>
              </w:rPr>
              <w:t xml:space="preserve"> </w:t>
            </w:r>
            <w:r w:rsidR="002940E5" w:rsidRPr="00AF02CC">
              <w:rPr>
                <w:rFonts w:eastAsiaTheme="minorEastAsia"/>
              </w:rPr>
              <w:t xml:space="preserve">стойкая </w:t>
            </w:r>
            <w:r w:rsidR="002940E5" w:rsidRPr="00AF02CC">
              <w:rPr>
                <w:rFonts w:eastAsiaTheme="minorEastAsia"/>
                <w:lang w:val="en-US"/>
              </w:rPr>
              <w:t>PRF</w:t>
            </w:r>
            <w:r w:rsidR="002940E5" w:rsidRPr="00AF02CC">
              <w:rPr>
                <w:rFonts w:eastAsiaTheme="minorEastAsia"/>
              </w:rPr>
              <w:t xml:space="preserve"> против неадаптивных противников</w:t>
            </w:r>
            <w:bookmarkEnd w:id="11"/>
            <w:bookmarkEnd w:id="12"/>
            <w:bookmarkEnd w:id="13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2940E5" w:rsidP="001D71FB">
            <w:r w:rsidRPr="00AF02CC">
              <w:t xml:space="preserve"> </w:t>
            </w: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2940E5" w:rsidP="001D71FB">
            <w:r w:rsidRPr="00AF02CC">
              <w:t>с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стойкий блочный шифр против 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</w:tr>
      <w:tr w:rsidR="002940E5" w:rsidRPr="00AF02CC" w:rsidTr="00E339F6">
        <w:tc>
          <w:tcPr>
            <w:tcW w:w="562" w:type="dxa"/>
          </w:tcPr>
          <w:p w:rsidR="002940E5" w:rsidRPr="00AF02CC" w:rsidRDefault="002940E5" w:rsidP="001D71FB">
            <w:pPr>
              <w:rPr>
                <w:lang w:val="en-US"/>
              </w:rPr>
            </w:pPr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2940E5" w:rsidRPr="00AF02CC" w:rsidRDefault="002940E5" w:rsidP="00A04381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 w:rsidRPr="00AF02CC">
              <w:rPr>
                <w:rFonts w:eastAsiaTheme="minorEastAsia"/>
                <w:i/>
              </w:rPr>
              <w:t xml:space="preserve">’ </w:t>
            </w:r>
            <w:bookmarkStart w:id="14" w:name="OLE_LINK13"/>
            <w:bookmarkStart w:id="15" w:name="OLE_LINK14"/>
            <w:bookmarkStart w:id="16" w:name="OLE_LINK15"/>
            <w:bookmarkStart w:id="17" w:name="OLE_LINK16"/>
            <w:r w:rsidRPr="00AF02CC">
              <w:rPr>
                <w:rFonts w:eastAsiaTheme="minorEastAsia"/>
              </w:rPr>
              <w:t>–</w:t>
            </w:r>
            <w:bookmarkEnd w:id="14"/>
            <w:bookmarkEnd w:id="15"/>
            <w:bookmarkEnd w:id="16"/>
            <w:bookmarkEnd w:id="17"/>
            <w:r w:rsidR="00A04381" w:rsidRPr="00AF02CC">
              <w:rPr>
                <w:rFonts w:eastAsiaTheme="minorEastAsia"/>
              </w:rPr>
              <w:t xml:space="preserve"> </w:t>
            </w:r>
            <w:r w:rsidRPr="00AF02CC">
              <w:rPr>
                <w:rFonts w:eastAsiaTheme="minorEastAsia"/>
              </w:rPr>
              <w:t xml:space="preserve">стойкий блочный </w:t>
            </w:r>
            <w:r w:rsidR="00AA2D0F" w:rsidRPr="00AF02CC">
              <w:rPr>
                <w:rFonts w:eastAsiaTheme="minorEastAsia"/>
              </w:rPr>
              <w:t>шифр</w:t>
            </w:r>
            <w:r w:rsidRPr="00AF02CC">
              <w:rPr>
                <w:rFonts w:eastAsiaTheme="minorEastAsia"/>
              </w:rPr>
              <w:t xml:space="preserve"> против неадаптивных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AF02CC" w:rsidRDefault="00F27047" w:rsidP="001D71FB"/>
        </w:tc>
        <w:tc>
          <w:tcPr>
            <w:tcW w:w="6521" w:type="dxa"/>
          </w:tcPr>
          <w:p w:rsidR="00F27047" w:rsidRPr="00AF02CC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AF02CC" w:rsidRDefault="00A04381" w:rsidP="000708D1">
            <w:pPr>
              <w:jc w:val="center"/>
            </w:pPr>
            <w:r w:rsidRPr="00AF02CC">
              <w:t>/4</w:t>
            </w:r>
          </w:p>
        </w:tc>
        <w:tc>
          <w:tcPr>
            <w:tcW w:w="1128" w:type="dxa"/>
          </w:tcPr>
          <w:p w:rsidR="00F27047" w:rsidRPr="00D22324" w:rsidRDefault="00A04381" w:rsidP="000708D1">
            <w:pPr>
              <w:jc w:val="center"/>
            </w:pPr>
            <w:r w:rsidRPr="00AF02CC">
              <w:t>/4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162176"/>
    <w:rsid w:val="001862C8"/>
    <w:rsid w:val="001C65DC"/>
    <w:rsid w:val="001D71FB"/>
    <w:rsid w:val="00245BB2"/>
    <w:rsid w:val="00283293"/>
    <w:rsid w:val="002940E5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239BC"/>
    <w:rsid w:val="0044601A"/>
    <w:rsid w:val="0046043D"/>
    <w:rsid w:val="004768D9"/>
    <w:rsid w:val="00477E61"/>
    <w:rsid w:val="004A3813"/>
    <w:rsid w:val="004B370F"/>
    <w:rsid w:val="004C08A0"/>
    <w:rsid w:val="004C279E"/>
    <w:rsid w:val="00554F19"/>
    <w:rsid w:val="005670DA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920F8"/>
    <w:rsid w:val="008A0F65"/>
    <w:rsid w:val="008C5EAF"/>
    <w:rsid w:val="008D59E3"/>
    <w:rsid w:val="0097248B"/>
    <w:rsid w:val="0099107E"/>
    <w:rsid w:val="009A53F4"/>
    <w:rsid w:val="009B79B5"/>
    <w:rsid w:val="00A04381"/>
    <w:rsid w:val="00A3710A"/>
    <w:rsid w:val="00A54E8F"/>
    <w:rsid w:val="00A60DCB"/>
    <w:rsid w:val="00A861D4"/>
    <w:rsid w:val="00A91B99"/>
    <w:rsid w:val="00AA2D0F"/>
    <w:rsid w:val="00AF0254"/>
    <w:rsid w:val="00AF02CC"/>
    <w:rsid w:val="00B64C0F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EC1F96"/>
    <w:rsid w:val="00F11649"/>
    <w:rsid w:val="00F27047"/>
    <w:rsid w:val="00F34AE8"/>
    <w:rsid w:val="00F3623F"/>
    <w:rsid w:val="00F45AEE"/>
    <w:rsid w:val="00F45C16"/>
    <w:rsid w:val="00F66F4F"/>
    <w:rsid w:val="00F85B06"/>
    <w:rsid w:val="00FA77F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2380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DF66-02F0-4702-9DA9-A3C87FC6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34</cp:revision>
  <cp:lastPrinted>2018-09-13T06:06:00Z</cp:lastPrinted>
  <dcterms:created xsi:type="dcterms:W3CDTF">2018-09-13T05:56:00Z</dcterms:created>
  <dcterms:modified xsi:type="dcterms:W3CDTF">2023-10-18T09:09:00Z</dcterms:modified>
</cp:coreProperties>
</file>