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62.png" ContentType="image/png"/>
  <Override PartName="/word/media/rId90.png" ContentType="image/png"/>
  <Override PartName="/word/media/rId48.png" ContentType="image/png"/>
  <Override PartName="/word/media/rId83.png" ContentType="image/png"/>
  <Override PartName="/word/media/rId36.png" ContentType="image/png"/>
  <Override PartName="/word/media/rId94.png" ContentType="image/png"/>
  <Override PartName="/word/media/rId76.png" ContentType="image/png"/>
  <Override PartName="/word/media/rId72.png" ContentType="image/png"/>
  <Override PartName="/word/media/rId66.png" ContentType="image/png"/>
  <Override PartName="/word/media/rId55.png" ContentType="image/png"/>
  <Override PartName="/word/media/rId69.png" ContentType="image/png"/>
  <Override PartName="/word/media/rId45.png" ContentType="image/png"/>
  <Override PartName="/word/media/rId87.png" ContentType="image/png"/>
  <Override PartName="/word/media/rId59.png" ContentType="image/png"/>
  <Override PartName="/word/media/rId32.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5"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Across 30 randomized runs ten multiclass models sit inside 5.7 accuracy points of one another (0.918 to 0.975), and every one of them except gradient boosting records no observed missed hazards, escalation adequacy of 1.000, and no observed high-severity false alarms. Pooled over those runs the zeros bound the underlying rates at 0.016% and 0.032% respectively, which is as far as 18,960 hazardous and 9,480 clean windows can take them.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seven other models were bounded at 0.038%. Nothing in the in-distribution table anticipates that, and the correlation between in-distribution accuracy and out-of-distribution miss rate is essentially absent (Pearson r = +0.13).</w:t>
      </w:r>
    </w:p>
    <w:p>
      <w:pPr>
        <w:pStyle w:val="BodyText"/>
      </w:pPr>
      <w:r>
        <w:t xml:space="preserve">The more uncomfortable finding concerns the miss metric itself. On unseen Mixture, ten of eleven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record no observed miss and full escalation by alarming on everything, reaching a 100% false-alarm rate, or 1,000 high-severity alarms per 1,000 clean windows. Expressed per unit time this depends on a duty cycle the corpus does not record, so we report the per-window quantity throughout. Gradient boosting holds zero false alarms and misses 60% of hazards. Losing a single sensor of seven is already enough to take the cost-weighted policy from zero to 117 alarms per 1,000 windows,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sensor degradation;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92%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2023).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That matters, because a detector in service will eventually meet a release it has not seen.</w:t>
      </w:r>
    </w:p>
    <w:p>
      <w:pPr>
        <w:pStyle w:val="BodyText"/>
      </w:pPr>
      <w:r>
        <w:rPr>
          <w:bCs/>
          <w:b/>
        </w:rPr>
        <w:t xml:space="preserve">RQ3.</w:t>
      </w:r>
      <w:r>
        <w:t xml:space="preserve"> </w:t>
      </w:r>
      <w:r>
        <w:t xml:space="preserve">Is missed-hazard rate itself enough,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only hold on clean data?</w:t>
      </w:r>
    </w:p>
    <w:p>
      <w:pPr>
        <w:pStyle w:val="BodyText"/>
      </w:pPr>
      <w:r>
        <w:t xml:space="preserve">Section 4.3 addresses RQ1, Section 4.4 addresses RQ2 and RQ3, and Section 4.7 addresses RQ4. Section 4.2 tests the evaluation protocol itself, and Sections 4.5, 4.6 and 4.8 supply supporting evidence rather than answers to any of the four.</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To the best of our knowledge we did not find a prior study combining these evaluation elements on a MOX gas-detection benchmark, though we make no claim to have searched exhaustively.</w:t>
      </w:r>
    </w:p>
    <w:p>
      <w:pPr>
        <w:pStyle w:val="BodyText"/>
      </w:pPr>
      <w:r>
        <w:rPr>
          <w:bCs/>
          <w:b/>
        </w:rPr>
        <w:t xml:space="preserve">Evidence that accuracy ranking says little about safety behavior.</w:t>
      </w:r>
      <w:r>
        <w:t xml:space="preserve"> </w:t>
      </w:r>
      <w:r>
        <w:t xml:space="preserve">Ten multiclass models spanning very different inductive biases span 5.7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2023).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4.5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(2023)</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rPr>
          <w:bCs/>
          <w:b/>
        </w:rPr>
        <w:t xml:space="preserve">Table 1. 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4"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 Composition of the MOX array.</w:t>
      </w:r>
      <w:r>
        <w:t xml:space="preserve"> </w:t>
      </w:r>
      <w:r>
        <w:t xml:space="preserve">The right-hand column lists the gases each element is nominally marketed as sensitive to. It should not be read as a selectivity claim. MOX elements respond broadly and cross-sensitively, so a reading on MQ-2 is evidence of a reducing-gas response rather than of methane specifically, and no single channel identifies a gas on its own. The array is informative because the seven responses differ in relative magnitude, not because any one of them is selective.</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9"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expected of separate protection layers under layer-of-protection analysis. We are deliberately not making a claim about what IEC 61511 (IEC 2016) does or does not permit for learned components, since that is a certification question outside the scope of this study. The architectural point is narrower and does not depend on it: the model recommends an action, it does not command a trip, and the protective function is implemented, verified and actuated independently of anything reported here.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p>
      <w:pPr>
        <w:pStyle w:val="BodyText"/>
      </w:pPr>
      <w:r>
        <w:drawing>
          <wp:inline>
            <wp:extent cx="5334000" cy="2075522"/>
            <wp:effectExtent b="0" l="0" r="0" t="0"/>
            <wp:docPr descr="" title="" id="37" name="Picture"/>
            <a:graphic>
              <a:graphicData uri="http://schemas.openxmlformats.org/drawingml/2006/picture">
                <pic:pic>
                  <pic:nvPicPr>
                    <pic:cNvPr descr="figures_v2/fig_architecture.png" id="38" name="Picture"/>
                    <pic:cNvPicPr>
                      <a:picLocks noChangeArrowheads="1" noChangeAspect="1"/>
                    </pic:cNvPicPr>
                  </pic:nvPicPr>
                  <pic:blipFill>
                    <a:blip r:embed="rId36"/>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2. The pipeline.</w:t>
      </w:r>
      <w:r>
        <w:t xml:space="preserve"> </w:t>
      </w:r>
      <w:r>
        <w:t xml:space="preserve">Thermal evidence reaches the perception and explanation paths but never the decision state, and the language model sits downstream of an action it cannot alter.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 and its alarm boundary.</w:t>
      </w:r>
      <w:r>
        <w:t xml:space="preserve"> </w:t>
      </w:r>
      <w:r>
        <w:t xml:space="preserve">Actions 3 and 4 are alarm-grade: each places a notification in front of an operator. Actions 1 and 2 do not, and every metric in Section 3.5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moving it would change several results in Sections 4.4 and 4.7.</w:t>
      </w:r>
    </w:p>
    <w:bookmarkEnd w:id="39"/>
    <w:bookmarkStart w:id="40"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The full thermal set was used: the classifier was trained and validated on it, and the trained weights are among the released artifacts, so the perception component reported here is the one the assembled pipeline runs.</w:t>
      </w:r>
    </w:p>
    <w:p>
      <w:pPr>
        <w:pStyle w:val="BodyText"/>
      </w:pPr>
      <w:r>
        <w:t xml:space="preserve">What we did not do is carry the sensor-side partitioning discipline across to the images. The image split is randomized over frames captured consecutively within a single session, so it is exposed to the same leakage mechanism the block-wise holdout was built to avoid, and adjacent thermal frames are close to duplicates. The figure in Section 4.1 should therefore be read as an optimistic upper bound on perception accuracy rather than as an independent estimate, and re-splitting the image set block-wise is work we have not done.</w:t>
      </w:r>
    </w:p>
    <w:p>
      <w:pPr>
        <w:pStyle w:val="BodyText"/>
      </w:pPr>
      <w:r>
        <w:t xml:space="preserve">That leaves the two halves of the pipeline evaluated to different standards, which is worth saying plainly rather than leaving a reader to notice. The sensor path is measured under a leakage-controlled protocol whose sensitivity we quantify in Section 4.2; the perception path is not. No claim in this paper rests on the perception number, because the decision state carries no visual term and every safety result below is computed from actions the sensor path selected. But the multimodal system as a whole has not been validated to the standard of Sections 4.2 through 4.8, and we would not want it read that way.</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4.5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(Gemma Team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We should be clear that the explanation component is described here as part of the system and is not evaluated anywhere in this paper. No result below depends on it.</w:t>
      </w:r>
    </w:p>
    <w:bookmarkEnd w:id="40"/>
    <w:bookmarkStart w:id="41" w:name="comparators"/>
    <w:p>
      <w:pPr>
        <w:pStyle w:val="Heading3"/>
      </w:pPr>
      <w:r>
        <w:t xml:space="preserve">3.4 Comparators</w:t>
      </w:r>
    </w:p>
    <w:p>
      <w:pPr>
        <w:pStyle w:val="FirstParagraph"/>
      </w:pPr>
      <w:r>
        <w:t xml:space="preserve">Eleven comparators,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and its decision accuracy is not comparable with the multiclass models. Over five seeds it scores 0.4994 ± 0.0004 on decision accuracy, and a reader should not take that as evidence that the detector failed; it is an artifact of scoring a two-state output against a four-class target map. Its missed-hazard rate of 0.0013 and escalation adequacy of 0.9987 are directly comparable, because those definitions do not depend on how many classes a model can express.</w:t>
      </w:r>
    </w:p>
    <w:p>
      <w:pPr>
        <w:pStyle w:val="BodyText"/>
      </w:pPr>
      <w:r>
        <w:t xml:space="preserve">Not every comparator appears in every experiment, so the subsets are worth stating plainly, since they differ and a reader should not read across them as though they did not. Ten of the eleven appear in the 30-run in-distribution comparison of Section 4.3, alongside the ordinal cost objective introduced in Section 4.5. CUSUM is left out of that table for the reason just given, and its five-seed figures are the ones quoted above. The leave-one-class-out grid uses the same eleven rows, CUSUM excluded again because a two-state output makes its escalation column degenerate by construction. The degradation campaign uses six, fixed before any of its results were seen: one cost-weighted network, its unweighted twin, one plain feedforward model, two tree ensembles and the interpretable rule. The action-selection matrices and the anomaly-input probe use seven, adding the kernel and nearest-neighbor models to that set and dropping the unweighted network. Calibration uses only the cost-weighted policy, because the four estimators being compared are properties of a single model’s confidence rather than of the model inventory, and the ablation likewise holds the architecture fixed so that the feature set is the only thing varying.</w:t>
      </w:r>
    </w:p>
    <w:bookmarkEnd w:id="41"/>
    <w:bookmarkStart w:id="42"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It is not a safety metric and we do not treat it as one. Of the five quantities below, missed-hazard rate and escalation adequacy are safety-relevant in the sense that each corresponds to a distinct operational failure; the high-severity false-alarm rate is an alarm-management quantity with safety consequences at sufficient rate; and decision accuracy is neither. We should also be clear that these four together are a proposed subset of what matters operationally, not a definition of safety.</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4.4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Section 4.7 also expresses it as alarms per 1,000 clean windows, because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42"/>
    <w:bookmarkStart w:id="43" w:name="protocol-and-statistics"/>
    <w:p>
      <w:pPr>
        <w:pStyle w:val="Heading3"/>
      </w:pPr>
      <w:r>
        <w:t xml:space="preserve">3.6 Protocol and statistics</w:t>
      </w:r>
    </w:p>
    <w:p>
      <w:pPr>
        <w:pStyle w:val="FirstParagraph"/>
      </w:pPr>
      <w:r>
        <w:t xml:space="preserve">Two protocols are used, and the distinction matters for how the results should be read.</w:t>
      </w:r>
    </w:p>
    <w:p>
      <w:pPr>
        <w:pStyle w:val="BodyText"/>
      </w:pPr>
      <w:r>
        <w:t xml:space="preserve">The</w:t>
      </w:r>
      <w:r>
        <w:t xml:space="preserve"> </w:t>
      </w:r>
      <w:r>
        <w:rPr>
          <w:bCs/>
          <w:b/>
        </w:rPr>
        <w:t xml:space="preserve">five-seed protocol</w:t>
      </w:r>
      <w:r>
        <w:t xml:space="preserve"> </w:t>
      </w:r>
      <w:r>
        <w:t xml:space="preserve">(42, 1337, 7, 2024, 99), each seed carrying its own block position, is used for the experiments that vary something other than the model: the leave-one-class-out grid, the perturbation suite, the ablation, the calibration study and the anomaly-input probe. It is adequate there because the comparison of interest is between conditions, not between models.</w:t>
      </w:r>
    </w:p>
    <w:p>
      <w:pPr>
        <w:pStyle w:val="BodyText"/>
      </w:pPr>
      <w:r>
        <w:t xml:space="preserve">The</w:t>
      </w:r>
      <w:r>
        <w:t xml:space="preserve"> </w:t>
      </w:r>
      <w:r>
        <w:rPr>
          <w:bCs/>
          <w:b/>
        </w:rPr>
        <w:t xml:space="preserve">model comparison itself is run 30 times</w:t>
      </w:r>
      <w:r>
        <w:t xml:space="preserve">,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2^(1−n) = 0.0625 at</w:t>
      </w:r>
      <w:r>
        <w:t xml:space="preserve"> </w:t>
      </w:r>
      <w:r>
        <w:rPr>
          <w:iCs/>
          <w:i/>
        </w:rPr>
        <w:t xml:space="preserve">n</w:t>
      </w:r>
      <w:r>
        <w:t xml:space="preserve"> </w:t>
      </w:r>
      <w:r>
        <w:t xml:space="preserve">= 5, so no comparison can reach α = 0.05 at any effect size, and reporting one would be reporting the design rather than the data. With 30 runs we can do better than a disclaimer. We use the Bayesian correlated</w:t>
      </w:r>
      <w:r>
        <w:t xml:space="preserve"> </w:t>
      </w:r>
      <w:r>
        <w:rPr>
          <w:iCs/>
          <w:i/>
        </w:rPr>
        <w:t xml:space="preserve">t</w:t>
      </w:r>
      <w:r>
        <w:t xml:space="preserve">-test of Benavoli et al. (2017) with correlation ρ =</w:t>
      </w:r>
      <w:r>
        <w:t xml:space="preserve"> </w:t>
      </w:r>
      <w:r>
        <w:rPr>
          <w:iCs/>
          <w:i/>
        </w:rPr>
        <w:t xml:space="preserve">n</w:t>
      </w:r>
      <w:r>
        <w:t xml:space="preserve">_test/(</w:t>
      </w:r>
      <w:r>
        <w:rPr>
          <w:iCs/>
          <w:i/>
        </w:rPr>
        <w:t xml:space="preserve">n</w:t>
      </w:r>
      <w:r>
        <w:t xml:space="preserve">_train +</w:t>
      </w:r>
      <w:r>
        <w:t xml:space="preserve"> </w:t>
      </w:r>
      <w:r>
        <w:rPr>
          <w:iCs/>
          <w:i/>
        </w:rPr>
        <w:t xml:space="preserve">n</w:t>
      </w:r>
      <w:r>
        <w:t xml:space="preserve">_test) = 0.202, and a region of practical equivalence of ± 1 accuracy point, chosen because a difference smaller than that would not change a procurement decision on this corpus. That returns three posterior probabilities per comparison: that one model is practically better, that the other is, and that the two are practically equivalent. The last of those is a positive statement, which a null hypothesis test cannot give.</w:t>
      </w:r>
    </w:p>
    <w:p>
      <w:pPr>
        <w:pStyle w:val="BodyText"/>
      </w:pPr>
      <w:r>
        <w:t xml:space="preserve">One assumption in that test deserves to be stated rather than inherited quietly. Benavoli et al. (2017) derive the correlation term for correlated resampling, canonically</w:t>
      </w:r>
      <w:r>
        <w:t xml:space="preserve"> </w:t>
      </w:r>
      <w:r>
        <w:rPr>
          <w:iCs/>
          <w:i/>
        </w:rPr>
        <w:t xml:space="preserve">k</w:t>
      </w:r>
      <w:r>
        <w:t xml:space="preserve">-fold cross-validation, where runs are correlated because their training sets overlap, and where ρ =</w:t>
      </w:r>
      <w:r>
        <w:t xml:space="preserve"> </w:t>
      </w:r>
      <w:r>
        <w:rPr>
          <w:iCs/>
          <w:i/>
        </w:rPr>
        <w:t xml:space="preserve">n</w:t>
      </w:r>
      <w:r>
        <w:t xml:space="preserve">_test/</w:t>
      </w:r>
      <w:r>
        <w:rPr>
          <w:iCs/>
          <w:i/>
        </w:rPr>
        <w:t xml:space="preserve">n</w:t>
      </w:r>
      <w:r>
        <w:t xml:space="preserve">_total is itself a working approximation rather than an identity. Our design is not</w:t>
      </w:r>
      <w:r>
        <w:t xml:space="preserve"> </w:t>
      </w:r>
      <w:r>
        <w:rPr>
          <w:iCs/>
          <w:i/>
        </w:rPr>
        <w:t xml:space="preserve">k</w:t>
      </w:r>
      <w:r>
        <w:t xml:space="preserve">-fold. Seed, held-out block position and a hyperparameter draw all vary per run, which is the fuller variance accounting Bouthillier et al. (2021) argue for. The training partitions still overlap heavily, roughly 80% of the same windows on every run, so a positive correlation is certainly present and treating the runs as independent would be anti-conservative. But the particular value 0.202 is carried across from a design that is not quite ours. We therefore report the comparison at a range of ρ in Section 4.3 rather than at a single value, and we would rather a reader see how much rides on it than take our word that it is small.</w:t>
      </w:r>
    </w:p>
    <w:p>
      <w:pPr>
        <w:pStyle w:val="BodyText"/>
      </w:pPr>
      <w:r>
        <w:t xml:space="preserve">Determinism guards are enabled and execution is single-threaded throughout.</w:t>
      </w:r>
    </w:p>
    <w:p>
      <w:r>
        <w:pict>
          <v:rect style="width:0;height:1.5pt" o:hralign="center" o:hrstd="t" o:hr="t"/>
        </w:pict>
      </w:r>
    </w:p>
    <w:bookmarkEnd w:id="43"/>
    <w:bookmarkEnd w:id="44"/>
    <w:bookmarkStart w:id="99" w:name="results"/>
    <w:p>
      <w:pPr>
        <w:pStyle w:val="Heading2"/>
      </w:pPr>
      <w:r>
        <w:t xml:space="preserve">4. Results</w:t>
      </w:r>
    </w:p>
    <w:bookmarkStart w:id="54"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rather than the block-wise protocol used on the sensor side (Section 3.3), so read as an optimistic upper bound rather than an independent estimate.</w:t>
      </w:r>
    </w:p>
    <w:p>
      <w:pPr>
        <w:pStyle w:val="BodyText"/>
      </w:pPr>
      <w:r>
        <w:drawing>
          <wp:inline>
            <wp:extent cx="5334000" cy="1700490"/>
            <wp:effectExtent b="0" l="0" r="0" t="0"/>
            <wp:docPr descr="" title="" id="46" name="Picture"/>
            <a:graphic>
              <a:graphicData uri="http://schemas.openxmlformats.org/drawingml/2006/picture">
                <pic:pic>
                  <pic:nvPicPr>
                    <pic:cNvPr descr="figures_v2/fig_perception.png" id="47" name="Picture"/>
                    <pic:cNvPicPr>
                      <a:picLocks noChangeArrowheads="1" noChangeAspect="1"/>
                    </pic:cNvPicPr>
                  </pic:nvPicPr>
                  <pic:blipFill>
                    <a:blip r:embed="rId45"/>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3. Thermal classifier behavior on 1,280 held-out validation images.</w:t>
      </w:r>
      <w:r>
        <w:t xml:space="preserve"> </w:t>
      </w:r>
      <w:r>
        <w:t xml:space="preserve">(a) Counts, (b) row-normalized, (c) per-class scores. All 15 errors fall on the NoGas and Perfume boundary; neither hazardous class is confused with a non-hazardous one, which is what matters once the class label is mapped to an action. The split is randomized over consecutive frames from a single session, so these values should be read as an optimistic bound rather than an independent estimate.</w:t>
      </w:r>
    </w:p>
    <w:p>
      <w:pPr>
        <w:pStyle w:val="BodyText"/>
      </w:pPr>
      <w:r>
        <w:rPr>
          <w:bCs/>
          <w:b/>
        </w:rPr>
        <w:t xml:space="preserve">Anomaly detection.</w:t>
      </w:r>
      <w:r>
        <w:t xml:space="preserve"> </w:t>
      </w:r>
      <w:r>
        <w:t xml:space="preserve">Two questions decide how much weight this component can carry, and both are easy to answer wrongly.</w:t>
      </w:r>
    </w:p>
    <w:p>
      <w:pPr>
        <w:pStyle w:val="BodyText"/>
      </w:pPr>
      <w:r>
        <w:rPr>
          <w:iCs/>
          <w:i/>
        </w:rPr>
        <w:t xml:space="preserve">Does the score track hazard?</w:t>
      </w:r>
      <w:r>
        <w:t xml:space="preserve"> </w:t>
      </w:r>
      <w:r>
        <w:t xml:space="preserve">Mean reconstruction error by class comes out at NoGas 0.736, Perfume 1.543, Mixture 117.72 and Smoke 229.25 (Fig. 4a).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Does the partition used to fit the threshold matter?</w:t>
      </w:r>
      <w:r>
        <w:t xml:space="preserve"> </w:t>
      </w:r>
      <w:r>
        <w:t xml:space="preserve">Considerably, and in a way that is worth showing rather than asserting. Setting τ at the 95th percentile of all NoGas windows and then evaluating on those same windows returns AUC 0.962 at a false-positive rate of exactly 5.000%, which is simply the nominal value a 95th-percentile threshold produces on the sample that defined it. That number measures the definition, not the detector. Fitting τ on NoGas training windows only and evaluating on held-out windows gives</w:t>
      </w:r>
      <w:r>
        <w:t xml:space="preserve"> </w:t>
      </w:r>
      <w:r>
        <w:rPr>
          <w:bCs/>
          <w:b/>
        </w:rPr>
        <w:t xml:space="preserve">ROC-AUC 0.9928 ± 0.0053, TPR 0.7363 ± 0.0949 and FPR 0.0000 ± 0.0000</w:t>
      </w:r>
      <w:r>
        <w:t xml:space="preserve"> </w:t>
      </w:r>
      <w:r>
        <w:t xml:space="preserve">across five seeds (Fig. 4b). Discrimination improves and no false positive is observed, while sensitivity falls by roughly seven points. The held-out figures are the ones we report, and the in-sample pair is shown alongside in Fig. 5a only to make the size of the difference visible.</w:t>
      </w:r>
    </w:p>
    <w:p>
      <w:pPr>
        <w:pStyle w:val="BodyText"/>
      </w:pPr>
      <w:r>
        <w:t xml:space="preserve">The zero deserves the same treatment we give every other zero in this paper. No false positive was observed on the held-out NoGas windows; across the five partitions that is 1,580 windows, which bounds the underlying rate at 0.189% with 95% confidence and no lower.</w:t>
      </w:r>
    </w:p>
    <w:p>
      <w:pPr>
        <w:pStyle w:val="BodyText"/>
      </w:pPr>
      <w:r>
        <w:drawing>
          <wp:inline>
            <wp:extent cx="5334000" cy="1984390"/>
            <wp:effectExtent b="0" l="0" r="0" t="0"/>
            <wp:docPr descr="" title="" id="49" name="Picture"/>
            <a:graphic>
              <a:graphicData uri="http://schemas.openxmlformats.org/drawingml/2006/picture">
                <pic:pic>
                  <pic:nvPicPr>
                    <pic:cNvPr descr="figures_v2/fig_anomaly.png" id="50" name="Picture"/>
                    <pic:cNvPicPr>
                      <a:picLocks noChangeArrowheads="1" noChangeAspect="1"/>
                    </pic:cNvPicPr>
                  </pic:nvPicPr>
                  <pic:blipFill>
                    <a:blip r:embed="rId48"/>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4. 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52" name="Picture"/>
            <a:graphic>
              <a:graphicData uri="http://schemas.openxmlformats.org/drawingml/2006/picture">
                <pic:pic>
                  <pic:nvPicPr>
                    <pic:cNvPr descr="figures_v2/fig_roc.png" id="53" name="Picture"/>
                    <pic:cNvPicPr>
                      <a:picLocks noChangeArrowheads="1" noChangeAspect="1"/>
                    </pic:cNvPicPr>
                  </pic:nvPicPr>
                  <pic:blipFill>
                    <a:blip r:embed="rId51"/>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5. Anomaly detector in detail.</w:t>
      </w:r>
      <w:r>
        <w:t xml:space="preserve"> </w:t>
      </w:r>
      <w:r>
        <w:t xml:space="preserve">(a) ROC curves, one per seed for the held-out evaluation, against the in-sample curve, with both operating points marked. (b) Score distributions by class on a log axis. The gap between the benign pair and the hazardous pair is close to two decades, while NoGas and Perfume overlap substantially, which is where the residual errors come from.</w:t>
      </w:r>
    </w:p>
    <w:bookmarkEnd w:id="54"/>
    <w:bookmarkStart w:id="58" w:name="Xdd8a428877e6c52b53cdd468cf9005ea718cb6b"/>
    <w:p>
      <w:pPr>
        <w:pStyle w:val="Heading3"/>
      </w:pPr>
      <w:r>
        <w:t xml:space="preserve">4.2 How much of a reported accuracy is window overlap</w:t>
      </w:r>
    </w:p>
    <w:p>
      <w:pPr>
        <w:pStyle w:val="FirstParagraph"/>
      </w:pPr>
      <w:r>
        <w:t xml:space="preserve">Section 3.1 justifies the block-wise split on the grounds that a random split over overlapping sliding windows places near-duplicates in both partitions. That argument is standard (Dennler et al. 2022) but we had not seen it quantified on this corpus, and an argument of that kind is cheap to make and worth measuring. Six models were trained under four partitioning protocols: a uniformly random 80/20 split over all windows; a contiguous per-class block with no separation band; the same block with the 20-window embargo used everywhere else in this paper; and a stricter temporal protocol that trains on the first 60% of each class block, tests on the last 20% and discards the middle 20% entirely (</w:t>
      </w:r>
      <w:r>
        <w:rPr>
          <w:bCs/>
          <w:b/>
        </w:rPr>
        <w:t xml:space="preserve">Table 5</w:t>
      </w:r>
      <w:r>
        <w:t xml:space="preserve">, Fig. 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0.9959</w:t>
            </w:r>
          </w:p>
        </w:tc>
        <w:tc>
          <w:tcPr/>
          <w:p>
            <w:pPr>
              <w:pStyle w:val="Compact"/>
              <w:jc w:val="left"/>
            </w:pPr>
            <w:r>
              <w:t xml:space="preserve">0.9671</w:t>
            </w:r>
          </w:p>
        </w:tc>
        <w:tc>
          <w:tcPr/>
          <w:p>
            <w:pPr>
              <w:pStyle w:val="Compact"/>
              <w:jc w:val="left"/>
            </w:pPr>
            <w:r>
              <w:t xml:space="preserve">0.9623</w:t>
            </w:r>
          </w:p>
        </w:tc>
        <w:tc>
          <w:tcPr/>
          <w:p>
            <w:pPr>
              <w:pStyle w:val="Compact"/>
              <w:jc w:val="left"/>
            </w:pPr>
            <w:r>
              <w:t xml:space="preserve">0.9478</w:t>
            </w:r>
          </w:p>
        </w:tc>
      </w:tr>
      <w:tr>
        <w:tc>
          <w:tcPr/>
          <w:p>
            <w:pPr>
              <w:pStyle w:val="Compact"/>
              <w:jc w:val="left"/>
            </w:pPr>
            <w:r>
              <w:t xml:space="preserve">Multilayer perceptron</w:t>
            </w:r>
          </w:p>
        </w:tc>
        <w:tc>
          <w:tcPr/>
          <w:p>
            <w:pPr>
              <w:pStyle w:val="Compact"/>
              <w:jc w:val="left"/>
            </w:pPr>
            <w:r>
              <w:t xml:space="preserve">0.9940</w:t>
            </w:r>
          </w:p>
        </w:tc>
        <w:tc>
          <w:tcPr/>
          <w:p>
            <w:pPr>
              <w:pStyle w:val="Compact"/>
              <w:jc w:val="left"/>
            </w:pPr>
            <w:r>
              <w:t xml:space="preserve">0.9616</w:t>
            </w:r>
          </w:p>
        </w:tc>
        <w:tc>
          <w:tcPr/>
          <w:p>
            <w:pPr>
              <w:pStyle w:val="Compact"/>
              <w:jc w:val="left"/>
            </w:pPr>
            <w:r>
              <w:t xml:space="preserve">0.9612</w:t>
            </w:r>
          </w:p>
        </w:tc>
        <w:tc>
          <w:tcPr/>
          <w:p>
            <w:pPr>
              <w:pStyle w:val="Compact"/>
              <w:jc w:val="left"/>
            </w:pPr>
            <w:r>
              <w:t xml:space="preserve">0.9726</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0.9636</w:t>
            </w:r>
          </w:p>
        </w:tc>
        <w:tc>
          <w:tcPr/>
          <w:p>
            <w:pPr>
              <w:pStyle w:val="Compact"/>
              <w:jc w:val="left"/>
            </w:pPr>
            <w:r>
              <w:t xml:space="preserve">0.9634</w:t>
            </w:r>
          </w:p>
        </w:tc>
        <w:tc>
          <w:tcPr/>
          <w:p>
            <w:pPr>
              <w:pStyle w:val="Compact"/>
              <w:jc w:val="left"/>
            </w:pPr>
            <w:r>
              <w:t xml:space="preserve">0.6858</w:t>
            </w:r>
          </w:p>
        </w:tc>
      </w:tr>
      <w:tr>
        <w:tc>
          <w:tcPr/>
          <w:p>
            <w:pPr>
              <w:pStyle w:val="Compact"/>
              <w:jc w:val="left"/>
            </w:pPr>
            <w:r>
              <w:t xml:space="preserve">Random forest</w:t>
            </w:r>
          </w:p>
        </w:tc>
        <w:tc>
          <w:tcPr/>
          <w:p>
            <w:pPr>
              <w:pStyle w:val="Compact"/>
              <w:jc w:val="left"/>
            </w:pPr>
            <w:r>
              <w:t xml:space="preserve">0.9935</w:t>
            </w:r>
          </w:p>
        </w:tc>
        <w:tc>
          <w:tcPr/>
          <w:p>
            <w:pPr>
              <w:pStyle w:val="Compact"/>
              <w:jc w:val="left"/>
            </w:pPr>
            <w:r>
              <w:t xml:space="preserve">0.9772</w:t>
            </w:r>
          </w:p>
        </w:tc>
        <w:tc>
          <w:tcPr/>
          <w:p>
            <w:pPr>
              <w:pStyle w:val="Compact"/>
              <w:jc w:val="left"/>
            </w:pPr>
            <w:r>
              <w:t xml:space="preserve">0.9769</w:t>
            </w:r>
          </w:p>
        </w:tc>
        <w:tc>
          <w:tcPr/>
          <w:p>
            <w:pPr>
              <w:pStyle w:val="Compact"/>
              <w:jc w:val="left"/>
            </w:pPr>
            <w:r>
              <w:t xml:space="preserve">0.7080</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0.9524</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Threshold rule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0.9821</w:t>
            </w:r>
          </w:p>
        </w:tc>
        <w:tc>
          <w:tcPr/>
          <w:p>
            <w:pPr>
              <w:pStyle w:val="Compact"/>
              <w:jc w:val="left"/>
            </w:pPr>
            <w:r>
              <w:rPr>
                <w:bCs/>
                <w:b/>
              </w:rPr>
              <w:t xml:space="preserve">0.9585</w:t>
            </w:r>
          </w:p>
        </w:tc>
        <w:tc>
          <w:tcPr/>
          <w:p>
            <w:pPr>
              <w:pStyle w:val="Compact"/>
              <w:jc w:val="left"/>
            </w:pPr>
            <w:r>
              <w:rPr>
                <w:bCs/>
                <w:b/>
              </w:rPr>
              <w:t xml:space="preserve">0.9576</w:t>
            </w:r>
          </w:p>
        </w:tc>
        <w:tc>
          <w:tcPr/>
          <w:p>
            <w:pPr>
              <w:pStyle w:val="Compact"/>
              <w:jc w:val="left"/>
            </w:pPr>
            <w:r>
              <w:rPr>
                <w:bCs/>
                <w:b/>
              </w:rPr>
              <w:t xml:space="preserve">0.8176</w:t>
            </w:r>
          </w:p>
        </w:tc>
      </w:tr>
    </w:tbl>
    <w:p>
      <w:pPr>
        <w:pStyle w:val="BodyText"/>
      </w:pPr>
      <w:r>
        <w:rPr>
          <w:bCs/>
          <w:b/>
        </w:rPr>
        <w:t xml:space="preserve">Table 5. Decision accuracy under four partitioning protocols,</w:t>
      </w:r>
      <w:r>
        <w:t xml:space="preserve"> </w:t>
      </w:r>
      <w:r>
        <w:t xml:space="preserve">five seed-varying runs each.</w:t>
      </w:r>
    </w:p>
    <w:p>
      <w:pPr>
        <w:pStyle w:val="BodyText"/>
      </w:pPr>
      <w:r>
        <w:t xml:space="preserve">A random split adds between 1.66 and 4.08 accuracy points for every learned model, 3.09 points on average across the five of them, and 2.45 points averaged over all six including the threshold rule. Reported at four significant figures on a saturated benchmark, that is the difference between 0.99 and 0.96, which is roughly the spread that separates published results on this corpus from one another. We would not claim this explains any particular published number, and we have not re-run anyone else’s method. What it does establish is that on this corpus the partitioning protocol moves accuracy by more than the models do, so comparisons across studies that use different protocols carry little information.</w:t>
      </w:r>
    </w:p>
    <w:p>
      <w:pPr>
        <w:pStyle w:val="BodyText"/>
      </w:pPr>
      <w:r>
        <w:t xml:space="preserve">Two details are worth more than the headline. First,</w:t>
      </w:r>
      <w:r>
        <w:t xml:space="preserve"> </w:t>
      </w:r>
      <w:r>
        <w:rPr>
          <w:bCs/>
          <w:b/>
        </w:rPr>
        <w:t xml:space="preserve">the embargo contributes almost nothing</w:t>
      </w:r>
      <w:r>
        <w:t xml:space="preserve">: 0.9585 without it against 0.9576 with it. The block structure does the work, and the 20-window gap we were careful about turns out to be close to a rounding error. We report that because we expected the opposite. Second,</w:t>
      </w:r>
      <w:r>
        <w:t xml:space="preserve"> </w:t>
      </w:r>
      <w:r>
        <w:rPr>
          <w:bCs/>
          <w:b/>
        </w:rPr>
        <w:t xml:space="preserve">the threshold rule is the one model a random split does not help</w:t>
      </w:r>
      <w:r>
        <w:t xml:space="preserve">, losing 0.74 points instead of gaining. It reads only the seven current sensor values, so it has no capacity to exploit the near-duplication that a random split introduces; the learned models do, and they use it.</w:t>
      </w:r>
    </w:p>
    <w:p>
      <w:pPr>
        <w:pStyle w:val="BodyText"/>
      </w:pPr>
      <w:r>
        <w:t xml:space="preserve">The last column is a different test and a harsher one. Training on early windows and testing on late ones, with a gap between, costs gradient boosting 27.8 points, the random forest 26.9 and the threshold rule 29.5, while the perceptron and k-nearest neighbors barely move. Within-session drift is confounded with position in each class block, so this protocol asks a question closer to deployment than anything else here, and the models disagree about it sharply.</w:t>
      </w:r>
    </w:p>
    <w:p>
      <w:pPr>
        <w:pStyle w:val="BodyText"/>
      </w:pPr>
      <w:r>
        <w:drawing>
          <wp:inline>
            <wp:extent cx="5334000" cy="1858883"/>
            <wp:effectExtent b="0" l="0" r="0" t="0"/>
            <wp:docPr descr="" title="" id="56" name="Picture"/>
            <a:graphic>
              <a:graphicData uri="http://schemas.openxmlformats.org/drawingml/2006/picture">
                <pic:pic>
                  <pic:nvPicPr>
                    <pic:cNvPr descr="figures_v2/fig_leakage.png" id="57" name="Picture"/>
                    <pic:cNvPicPr>
                      <a:picLocks noChangeArrowheads="1" noChangeAspect="1"/>
                    </pic:cNvPicPr>
                  </pic:nvPicPr>
                  <pic:blipFill>
                    <a:blip r:embed="rId55"/>
                    <a:stretch>
                      <a:fillRect/>
                    </a:stretch>
                  </pic:blipFill>
                  <pic:spPr bwMode="auto">
                    <a:xfrm>
                      <a:off x="0" y="0"/>
                      <a:ext cx="5334000" cy="1858883"/>
                    </a:xfrm>
                    <a:prstGeom prst="rect">
                      <a:avLst/>
                    </a:prstGeom>
                    <a:noFill/>
                    <a:ln w="9525">
                      <a:noFill/>
                      <a:headEnd/>
                      <a:tailEnd/>
                    </a:ln>
                  </pic:spPr>
                </pic:pic>
              </a:graphicData>
            </a:graphic>
          </wp:inline>
        </w:drawing>
      </w:r>
    </w:p>
    <w:p>
      <w:pPr>
        <w:pStyle w:val="BodyText"/>
      </w:pPr>
      <w:r>
        <w:rPr>
          <w:bCs/>
          <w:b/>
        </w:rPr>
        <w:t xml:space="preserve">Fig. 6. Protocol sensitivity.</w:t>
      </w:r>
      <w:r>
        <w:t xml:space="preserve"> </w:t>
      </w:r>
      <w:r>
        <w:t xml:space="preserve">(a) Decision accuracy for six models under four partitioning protocols, mean ± 1 SD over five runs. (b) Accuracy points added by a random split relative to the blocked, embargoed split used throughout this paper. Only the threshold rule, which reads no temporal features, fails to benefit.</w:t>
      </w:r>
    </w:p>
    <w:bookmarkEnd w:id="58"/>
    <w:bookmarkStart w:id="65" w:name="X7198dd8ceb4492cfbd6f9c14fc4974dc32c6d7e"/>
    <w:p>
      <w:pPr>
        <w:pStyle w:val="Heading3"/>
      </w:pPr>
      <w:r>
        <w:t xml:space="preserve">4.3 In distribution, the models are not distinguishable</w:t>
      </w:r>
    </w:p>
    <w:p>
      <w:pPr>
        <w:pStyle w:val="FirstParagraph"/>
      </w:pPr>
      <w:r>
        <w:t xml:space="preserve">Every comparator was trained 30 times, with the held-out block position, the initialization seed and a hyperparameter draw all varying per run, and evaluated on the corresponding held-out partition (</w:t>
      </w:r>
      <w:r>
        <w:rPr>
          <w:bCs/>
          <w:b/>
        </w:rPr>
        <w:t xml:space="preserve">Table 6</w:t>
      </w:r>
      <w:r>
        <w:t xml:space="preserve">, Fig. 7).</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Expected cost</w:t>
            </w:r>
          </w:p>
        </w:tc>
        <w:tc>
          <w:tcPr/>
          <w:p>
            <w:pPr>
              <w:pStyle w:val="Compact"/>
              <w:jc w:val="left"/>
            </w:pPr>
            <w:r>
              <w:t xml:space="preserve">P(equivalent to cost-weighted)</w:t>
            </w:r>
          </w:p>
        </w:tc>
      </w:tr>
      <w:tr>
        <w:tc>
          <w:tcPr/>
          <w:p>
            <w:pPr>
              <w:pStyle w:val="Compact"/>
              <w:jc w:val="left"/>
            </w:pPr>
            <w:r>
              <w:t xml:space="preserve">Random forest</w:t>
            </w:r>
          </w:p>
        </w:tc>
        <w:tc>
          <w:tcPr/>
          <w:p>
            <w:pPr>
              <w:pStyle w:val="Compact"/>
              <w:jc w:val="left"/>
            </w:pPr>
            <w:r>
              <w:rPr>
                <w:bCs/>
                <w:b/>
              </w:rPr>
              <w:t xml:space="preserve">0.9746</w:t>
            </w:r>
          </w:p>
        </w:tc>
        <w:tc>
          <w:tcPr/>
          <w:p>
            <w:pPr>
              <w:pStyle w:val="Compact"/>
              <w:jc w:val="left"/>
            </w:pPr>
            <w:r>
              <w:t xml:space="preserve">0.0222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0.0404</w:t>
            </w:r>
          </w:p>
        </w:tc>
        <w:tc>
          <w:tcPr/>
          <w:p>
            <w:pPr>
              <w:pStyle w:val="Compact"/>
              <w:jc w:val="left"/>
            </w:pPr>
            <w:r>
              <w:t xml:space="preserve">0.349</w:t>
            </w:r>
          </w:p>
        </w:tc>
      </w:tr>
      <w:tr>
        <w:tc>
          <w:tcPr/>
          <w:p>
            <w:pPr>
              <w:pStyle w:val="Compact"/>
              <w:jc w:val="left"/>
            </w:pPr>
            <w:r>
              <w:t xml:space="preserve">Recurrent (LSTM)</w:t>
            </w:r>
          </w:p>
        </w:tc>
        <w:tc>
          <w:tcPr/>
          <w:p>
            <w:pPr>
              <w:pStyle w:val="Compact"/>
              <w:jc w:val="left"/>
            </w:pPr>
            <w:r>
              <w:t xml:space="preserve">0.9648</w:t>
            </w:r>
          </w:p>
        </w:tc>
        <w:tc>
          <w:tcPr/>
          <w:p>
            <w:pPr>
              <w:pStyle w:val="Compact"/>
              <w:jc w:val="left"/>
            </w:pPr>
            <w:r>
              <w:t xml:space="preserve">0.0245</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0.0656</w:t>
            </w:r>
          </w:p>
        </w:tc>
        <w:tc>
          <w:tcPr/>
          <w:p>
            <w:pPr>
              <w:pStyle w:val="Compact"/>
              <w:jc w:val="left"/>
            </w:pPr>
            <w:r>
              <w:t xml:space="preserve">0.732</w:t>
            </w:r>
          </w:p>
        </w:tc>
      </w:tr>
      <w:tr>
        <w:tc>
          <w:tcPr/>
          <w:p>
            <w:pPr>
              <w:pStyle w:val="Compact"/>
              <w:jc w:val="left"/>
            </w:pPr>
            <w:r>
              <w:t xml:space="preserve">Gradient boosting</w:t>
            </w:r>
          </w:p>
        </w:tc>
        <w:tc>
          <w:tcPr/>
          <w:p>
            <w:pPr>
              <w:pStyle w:val="Compact"/>
              <w:jc w:val="left"/>
            </w:pPr>
            <w:r>
              <w:t xml:space="preserve">0.9627</w:t>
            </w:r>
          </w:p>
        </w:tc>
        <w:tc>
          <w:tcPr/>
          <w:p>
            <w:pPr>
              <w:pStyle w:val="Compact"/>
              <w:jc w:val="left"/>
            </w:pPr>
            <w:r>
              <w:t xml:space="preserve">0.0252</w:t>
            </w:r>
          </w:p>
        </w:tc>
        <w:tc>
          <w:tcPr/>
          <w:p>
            <w:pPr>
              <w:pStyle w:val="Compact"/>
              <w:jc w:val="left"/>
            </w:pPr>
            <w:r>
              <w:t xml:space="preserve">0.0063</w:t>
            </w:r>
          </w:p>
        </w:tc>
        <w:tc>
          <w:tcPr/>
          <w:p>
            <w:pPr>
              <w:pStyle w:val="Compact"/>
              <w:jc w:val="left"/>
            </w:pPr>
            <w:r>
              <w:t xml:space="preserve">0.992</w:t>
            </w:r>
          </w:p>
        </w:tc>
        <w:tc>
          <w:tcPr/>
          <w:p>
            <w:pPr>
              <w:pStyle w:val="Compact"/>
              <w:jc w:val="left"/>
            </w:pPr>
            <w:r>
              <w:t xml:space="preserve">0.0000</w:t>
            </w:r>
          </w:p>
        </w:tc>
        <w:tc>
          <w:tcPr/>
          <w:p>
            <w:pPr>
              <w:pStyle w:val="Compact"/>
              <w:jc w:val="left"/>
            </w:pPr>
            <w:r>
              <w:t xml:space="preserve">0.0911</w:t>
            </w:r>
          </w:p>
        </w:tc>
        <w:tc>
          <w:tcPr/>
          <w:p>
            <w:pPr>
              <w:pStyle w:val="Compact"/>
              <w:jc w:val="left"/>
            </w:pPr>
            <w:r>
              <w:t xml:space="preserve">0.591</w:t>
            </w:r>
          </w:p>
        </w:tc>
      </w:tr>
      <w:tr>
        <w:tc>
          <w:tcPr/>
          <w:p>
            <w:pPr>
              <w:pStyle w:val="Compact"/>
              <w:jc w:val="left"/>
            </w:pPr>
            <w:r>
              <w:t xml:space="preserve">Unweighted network</w:t>
            </w:r>
          </w:p>
        </w:tc>
        <w:tc>
          <w:tcPr/>
          <w:p>
            <w:pPr>
              <w:pStyle w:val="Compact"/>
              <w:jc w:val="left"/>
            </w:pPr>
            <w:r>
              <w:t xml:space="preserve">0.9618</w:t>
            </w:r>
          </w:p>
        </w:tc>
        <w:tc>
          <w:tcPr/>
          <w:p>
            <w:pPr>
              <w:pStyle w:val="Compact"/>
              <w:jc w:val="left"/>
            </w:pPr>
            <w:r>
              <w:t xml:space="preserve">0.0261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0.0608</w:t>
            </w:r>
          </w:p>
        </w:tc>
        <w:tc>
          <w:tcPr/>
          <w:p>
            <w:pPr>
              <w:pStyle w:val="Compact"/>
              <w:jc w:val="left"/>
            </w:pPr>
            <w:r>
              <w:rPr>
                <w:bCs/>
                <w:b/>
              </w:rPr>
              <w:t xml:space="preserve">0.960</w:t>
            </w:r>
          </w:p>
        </w:tc>
      </w:tr>
      <w:tr>
        <w:tc>
          <w:tcPr/>
          <w:p>
            <w:pPr>
              <w:pStyle w:val="Compact"/>
              <w:jc w:val="left"/>
            </w:pPr>
            <w:r>
              <w:t xml:space="preserve">Multilayer perceptron</w:t>
            </w:r>
          </w:p>
        </w:tc>
        <w:tc>
          <w:tcPr/>
          <w:p>
            <w:pPr>
              <w:pStyle w:val="Compact"/>
              <w:jc w:val="left"/>
            </w:pPr>
            <w:r>
              <w:t xml:space="preserve">0.9618</w:t>
            </w:r>
          </w:p>
        </w:tc>
        <w:tc>
          <w:tcPr/>
          <w:p>
            <w:pPr>
              <w:pStyle w:val="Compact"/>
              <w:jc w:val="left"/>
            </w:pPr>
            <w:r>
              <w:t xml:space="preserve">0.0276</w:t>
            </w:r>
          </w:p>
        </w:tc>
        <w:tc>
          <w:tcPr/>
          <w:p>
            <w:pPr>
              <w:pStyle w:val="Compact"/>
              <w:jc w:val="left"/>
            </w:pPr>
            <w:r>
              <w:t xml:space="preserve">0.0003</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0.0625</w:t>
            </w:r>
          </w:p>
        </w:tc>
        <w:tc>
          <w:tcPr/>
          <w:p>
            <w:pPr>
              <w:pStyle w:val="Compact"/>
              <w:jc w:val="left"/>
            </w:pPr>
            <w:r>
              <w:rPr>
                <w:bCs/>
                <w:b/>
              </w:rPr>
              <w:t xml:space="preserve">0.938</w:t>
            </w:r>
          </w:p>
        </w:tc>
      </w:tr>
      <w:tr>
        <w:tc>
          <w:tcPr/>
          <w:p>
            <w:pPr>
              <w:pStyle w:val="Compact"/>
              <w:jc w:val="left"/>
            </w:pPr>
            <w:r>
              <w:rPr>
                <w:bCs/>
                <w:b/>
              </w:rPr>
              <w:t xml:space="preserve">Cost-weighted policy</w:t>
            </w:r>
          </w:p>
        </w:tc>
        <w:tc>
          <w:tcPr/>
          <w:p>
            <w:pPr>
              <w:pStyle w:val="Compact"/>
              <w:jc w:val="left"/>
            </w:pPr>
            <w:r>
              <w:t xml:space="preserve">0.9608</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0.0631</w:t>
            </w:r>
          </w:p>
        </w:tc>
        <w:tc>
          <w:tcPr/>
          <w:p>
            <w:pPr>
              <w:pStyle w:val="Compact"/>
              <w:jc w:val="left"/>
            </w:pPr>
            <w:r>
              <w:t xml:space="preserve">reference</w:t>
            </w:r>
          </w:p>
        </w:tc>
      </w:tr>
      <w:tr>
        <w:tc>
          <w:tcPr/>
          <w:p>
            <w:pPr>
              <w:pStyle w:val="Compact"/>
              <w:jc w:val="left"/>
            </w:pPr>
            <w:r>
              <w:t xml:space="preserve">Conservative Q-learning</w:t>
            </w:r>
          </w:p>
        </w:tc>
        <w:tc>
          <w:tcPr/>
          <w:p>
            <w:pPr>
              <w:pStyle w:val="Compact"/>
              <w:jc w:val="left"/>
            </w:pPr>
            <w:r>
              <w:t xml:space="preserve">0.9562</w:t>
            </w:r>
          </w:p>
        </w:tc>
        <w:tc>
          <w:tcPr/>
          <w:p>
            <w:pPr>
              <w:pStyle w:val="Compact"/>
              <w:jc w:val="left"/>
            </w:pPr>
            <w:r>
              <w:t xml:space="preserve">0.0304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0.0792</w:t>
            </w:r>
          </w:p>
        </w:tc>
        <w:tc>
          <w:tcPr/>
          <w:p>
            <w:pPr>
              <w:pStyle w:val="Compact"/>
              <w:jc w:val="left"/>
            </w:pPr>
            <w:r>
              <w:t xml:space="preserve">0.708</w:t>
            </w:r>
          </w:p>
        </w:tc>
      </w:tr>
      <w:tr>
        <w:tc>
          <w:tcPr/>
          <w:p>
            <w:pPr>
              <w:pStyle w:val="Compact"/>
              <w:jc w:val="left"/>
            </w:pPr>
            <w:r>
              <w:t xml:space="preserve">Support-vector classifier</w:t>
            </w:r>
          </w:p>
        </w:tc>
        <w:tc>
          <w:tcPr/>
          <w:p>
            <w:pPr>
              <w:pStyle w:val="Compact"/>
              <w:jc w:val="left"/>
            </w:pPr>
            <w:r>
              <w:t xml:space="preserve">0.9506</w:t>
            </w:r>
          </w:p>
        </w:tc>
        <w:tc>
          <w:tcPr/>
          <w:p>
            <w:pPr>
              <w:pStyle w:val="Compact"/>
              <w:jc w:val="left"/>
            </w:pPr>
            <w:r>
              <w:t xml:space="preserve">0.0268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0.0884</w:t>
            </w:r>
          </w:p>
        </w:tc>
        <w:tc>
          <w:tcPr/>
          <w:p>
            <w:pPr>
              <w:pStyle w:val="Compact"/>
              <w:jc w:val="left"/>
            </w:pPr>
            <w:r>
              <w:t xml:space="preserve">0.448</w:t>
            </w:r>
          </w:p>
        </w:tc>
      </w:tr>
      <w:tr>
        <w:tc>
          <w:tcPr/>
          <w:p>
            <w:pPr>
              <w:pStyle w:val="Compact"/>
              <w:jc w:val="left"/>
            </w:pPr>
            <w:r>
              <w:t xml:space="preserve">k-nearest neighbors</w:t>
            </w:r>
          </w:p>
        </w:tc>
        <w:tc>
          <w:tcPr/>
          <w:p>
            <w:pPr>
              <w:pStyle w:val="Compact"/>
              <w:jc w:val="left"/>
            </w:pPr>
            <w:r>
              <w:t xml:space="preserve">0.9497</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0.0855</w:t>
            </w:r>
          </w:p>
        </w:tc>
        <w:tc>
          <w:tcPr/>
          <w:p>
            <w:pPr>
              <w:pStyle w:val="Compact"/>
              <w:jc w:val="left"/>
            </w:pPr>
            <w:r>
              <w:t xml:space="preserve">0.416</w:t>
            </w:r>
          </w:p>
        </w:tc>
      </w:tr>
      <w:tr>
        <w:tc>
          <w:tcPr/>
          <w:p>
            <w:pPr>
              <w:pStyle w:val="Compact"/>
              <w:jc w:val="left"/>
            </w:pPr>
            <w:r>
              <w:t xml:space="preserve">Threshold rule</w:t>
            </w:r>
          </w:p>
        </w:tc>
        <w:tc>
          <w:tcPr/>
          <w:p>
            <w:pPr>
              <w:pStyle w:val="Compact"/>
              <w:jc w:val="left"/>
            </w:pPr>
            <w:r>
              <w:t xml:space="preserve">0.9179</w:t>
            </w:r>
          </w:p>
        </w:tc>
        <w:tc>
          <w:tcPr/>
          <w:p>
            <w:pPr>
              <w:pStyle w:val="Compact"/>
              <w:jc w:val="left"/>
            </w:pPr>
            <w:r>
              <w:t xml:space="preserve">0.0435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0.1226</w:t>
            </w:r>
          </w:p>
        </w:tc>
        <w:tc>
          <w:tcPr/>
          <w:p>
            <w:pPr>
              <w:pStyle w:val="Compact"/>
              <w:jc w:val="left"/>
            </w:pPr>
            <w:r>
              <w:t xml:space="preserve">0.012</w:t>
            </w:r>
          </w:p>
        </w:tc>
      </w:tr>
      <w:tr>
        <w:tc>
          <w:tcPr/>
          <w:p>
            <w:pPr>
              <w:pStyle w:val="Compact"/>
              <w:jc w:val="left"/>
            </w:pPr>
            <w:r>
              <w:t xml:space="preserve">Ordinal cost objective</w:t>
            </w:r>
          </w:p>
        </w:tc>
        <w:tc>
          <w:tcPr/>
          <w:p>
            <w:pPr>
              <w:pStyle w:val="Compact"/>
              <w:jc w:val="left"/>
            </w:pPr>
            <w:r>
              <w:t xml:space="preserve">0.7472</w:t>
            </w:r>
          </w:p>
        </w:tc>
        <w:tc>
          <w:tcPr/>
          <w:p>
            <w:pPr>
              <w:pStyle w:val="Compact"/>
              <w:jc w:val="left"/>
            </w:pPr>
            <w:r>
              <w:t xml:space="preserve">0.0054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0.2585</w:t>
            </w:r>
          </w:p>
        </w:tc>
        <w:tc>
          <w:tcPr/>
          <w:p>
            <w:pPr>
              <w:pStyle w:val="Compact"/>
              <w:jc w:val="left"/>
            </w:pPr>
            <w:r>
              <w:t xml:space="preserve">0.000</w:t>
            </w:r>
          </w:p>
        </w:tc>
      </w:tr>
    </w:tbl>
    <w:p>
      <w:pPr>
        <w:pStyle w:val="BodyText"/>
      </w:pPr>
      <w:r>
        <w:rPr>
          <w:bCs/>
          <w:b/>
        </w:rPr>
        <w:t xml:space="preserve">Table 6. Model comparison over 30 randomized runs.</w:t>
      </w:r>
      <w:r>
        <w:t xml:space="preserve"> </w:t>
      </w:r>
      <w:r>
        <w:t xml:space="preserve">Expected cost is the mean of the cost matrix defined in Section 4.5 and is reported so the comparison is not carried entirely by accuracy. The final column is the posterior probability of practical equivalence to the cost-weighted policy under a Bayesian correlated</w:t>
      </w:r>
      <w:r>
        <w:t xml:space="preserve"> </w:t>
      </w:r>
      <w:r>
        <w:rPr>
          <w:iCs/>
          <w:i/>
        </w:rPr>
        <w:t xml:space="preserve">t</w:t>
      </w:r>
      <w:r>
        <w:t xml:space="preserve">-test with a region of practical equivalence of ± 1 accuracy point.</w:t>
      </w:r>
    </w:p>
    <w:p>
      <w:pPr>
        <w:pStyle w:val="BodyText"/>
      </w:pPr>
      <w:r>
        <w:t xml:space="preserve">Three things follow, and the third is the one the paper needs.</w:t>
      </w:r>
    </w:p>
    <w:p>
      <w:pPr>
        <w:pStyle w:val="BodyText"/>
      </w:pPr>
      <w:r>
        <w:t xml:space="preserve">The ten comparators other than the ordinal objective span 5.66 accuracy points, from 0.9179 to 0.9746. Highest accuracy and lowest expected cost belong to the</w:t>
      </w:r>
      <w:r>
        <w:t xml:space="preserve"> </w:t>
      </w:r>
      <w:r>
        <w:rPr>
          <w:bCs/>
          <w:b/>
        </w:rPr>
        <w:t xml:space="preserve">random forest</w:t>
      </w:r>
      <w:r>
        <w:t xml:space="preserve">; the cost-weighted policy places sixth. The</w:t>
      </w:r>
      <w:r>
        <w:t xml:space="preserve"> </w:t>
      </w:r>
      <w:r>
        <w:rPr>
          <w:bCs/>
          <w:b/>
        </w:rPr>
        <w:t xml:space="preserve">depth-3 threshold rule on seven raw sensor values</w:t>
      </w:r>
      <w:r>
        <w:t xml:space="preserve"> </w:t>
      </w:r>
      <w:r>
        <w:t xml:space="preserve">sits 5.7 points behind the best learned model, which is a wider gap than the five-seed protocol suggested and worth stating plainly rather than glossing.</w:t>
      </w:r>
    </w:p>
    <w:p>
      <w:pPr>
        <w:pStyle w:val="BodyText"/>
      </w:pPr>
      <w:r>
        <w:t xml:space="preserve">The safety metrics again fail to discriminate. Every comparator except gradient boosting records no observed missed hazard and escalation adequacy of 1.000, and no comparator produces a single high-severity false alarm across 30 runs. Pooled over 30 runs that is 18,960 hazardous and 9,480 clean windows, bounding the underlying rates at 0.016% and 0.032% respectively.</w:t>
      </w:r>
    </w:p>
    <w:p>
      <w:pPr>
        <w:pStyle w:val="BodyText"/>
      </w:pPr>
      <w:r>
        <w:t xml:space="preserve">With 30 runs we can now say something positive rather than merely declining to rank. The cost-weighted policy is</w:t>
      </w:r>
      <w:r>
        <w:t xml:space="preserve"> </w:t>
      </w:r>
      <w:r>
        <w:rPr>
          <w:bCs/>
          <w:b/>
        </w:rPr>
        <w:t xml:space="preserve">practically equivalent to the unweighted network with posterior probability 0.960</w:t>
      </w:r>
      <w:r>
        <w:t xml:space="preserve">, and to the multilayer perceptron with probability 0.938. Removing the cost weighting entirely, in other words, is very likely to make no difference that matters on this corpus. Equivalence to the recurrent network (0.732), conservative Q-learning (0.708) and gradient boosting (0.591) is weaker but still the most probable outcome in each case. Two comparisons resolve: the random forest is probably better (posterior 0.631) and the threshold rule is probably worse (0.988). This is a different and more useful statement than</w:t>
      </w:r>
      <w:r>
        <w:t xml:space="preserve"> </w:t>
      </w:r>
      <w:r>
        <w:t xml:space="preserve">“</w:t>
      </w:r>
      <w:r>
        <w:t xml:space="preserve">no significant difference was detected</w:t>
      </w:r>
      <w:r>
        <w:t xml:space="preserve">”</w:t>
      </w:r>
      <w:r>
        <w:t xml:space="preserve">, and it is only available because the run count was raised.</w:t>
      </w:r>
    </w:p>
    <w:p>
      <w:pPr>
        <w:pStyle w:val="BodyText"/>
      </w:pPr>
      <w:r>
        <w:rPr>
          <w:bCs/>
          <w:b/>
        </w:rPr>
        <w:t xml:space="preserve">How much of that depends on the correlation term.</w:t>
      </w:r>
      <w:r>
        <w:t xml:space="preserve"> </w:t>
      </w:r>
      <w:r>
        <w:t xml:space="preserve">Section 3.6 flags that ρ = 0.202 is borrowed from a cross-validation setting rather than derived for this one, so we swept it from 0, which treats the runs as independent, up to 0.5, which assumes far more correlation than 30 randomized partitions plausibly carry (</w:t>
      </w:r>
      <w:r>
        <w:rPr>
          <w:bCs/>
          <w:b/>
        </w:rPr>
        <w:t xml:space="preserve">7</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0.10</w:t>
            </w:r>
          </w:p>
        </w:tc>
        <w:tc>
          <w:tcPr/>
          <w:p>
            <w:pPr>
              <w:pStyle w:val="Compact"/>
              <w:jc w:val="left"/>
            </w:pPr>
            <w:r>
              <w:t xml:space="preserve">ρ = 0.202</w:t>
            </w:r>
          </w:p>
        </w:tc>
        <w:tc>
          <w:tcPr/>
          <w:p>
            <w:pPr>
              <w:pStyle w:val="Compact"/>
              <w:jc w:val="left"/>
            </w:pPr>
            <w:r>
              <w:t xml:space="preserve">ρ = 0.30</w:t>
            </w:r>
          </w:p>
        </w:tc>
        <w:tc>
          <w:tcPr/>
          <w:p>
            <w:pPr>
              <w:pStyle w:val="Compact"/>
              <w:jc w:val="left"/>
            </w:pPr>
            <w:r>
              <w:t xml:space="preserve">ρ = 0.50</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0.994</w:t>
            </w:r>
          </w:p>
        </w:tc>
        <w:tc>
          <w:tcPr/>
          <w:p>
            <w:pPr>
              <w:pStyle w:val="Compact"/>
              <w:jc w:val="left"/>
            </w:pPr>
            <w:r>
              <w:rPr>
                <w:bCs/>
                <w:b/>
              </w:rPr>
              <w:t xml:space="preserve">0.960</w:t>
            </w:r>
          </w:p>
        </w:tc>
        <w:tc>
          <w:tcPr/>
          <w:p>
            <w:pPr>
              <w:pStyle w:val="Compact"/>
              <w:jc w:val="left"/>
            </w:pPr>
            <w:r>
              <w:t xml:space="preserve">0.901</w:t>
            </w:r>
          </w:p>
        </w:tc>
        <w:tc>
          <w:tcPr/>
          <w:p>
            <w:pPr>
              <w:pStyle w:val="Compact"/>
              <w:jc w:val="left"/>
            </w:pPr>
            <w:r>
              <w:t xml:space="preserve">0.740</w:t>
            </w:r>
          </w:p>
        </w:tc>
      </w:tr>
      <w:tr>
        <w:tc>
          <w:tcPr/>
          <w:p>
            <w:pPr>
              <w:pStyle w:val="Compact"/>
              <w:jc w:val="left"/>
            </w:pPr>
            <w:r>
              <w:t xml:space="preserve">Multilayer perceptron</w:t>
            </w:r>
          </w:p>
        </w:tc>
        <w:tc>
          <w:tcPr/>
          <w:p>
            <w:pPr>
              <w:pStyle w:val="Compact"/>
              <w:jc w:val="left"/>
            </w:pPr>
            <w:r>
              <w:t xml:space="preserve">1.000</w:t>
            </w:r>
          </w:p>
        </w:tc>
        <w:tc>
          <w:tcPr/>
          <w:p>
            <w:pPr>
              <w:pStyle w:val="Compact"/>
              <w:jc w:val="left"/>
            </w:pPr>
            <w:r>
              <w:t xml:space="preserve">0.989</w:t>
            </w:r>
          </w:p>
        </w:tc>
        <w:tc>
          <w:tcPr/>
          <w:p>
            <w:pPr>
              <w:pStyle w:val="Compact"/>
              <w:jc w:val="left"/>
            </w:pPr>
            <w:r>
              <w:rPr>
                <w:bCs/>
                <w:b/>
              </w:rPr>
              <w:t xml:space="preserve">0.938</w:t>
            </w:r>
          </w:p>
        </w:tc>
        <w:tc>
          <w:tcPr/>
          <w:p>
            <w:pPr>
              <w:pStyle w:val="Compact"/>
              <w:jc w:val="left"/>
            </w:pPr>
            <w:r>
              <w:t xml:space="preserve">0.866</w:t>
            </w:r>
          </w:p>
        </w:tc>
        <w:tc>
          <w:tcPr/>
          <w:p>
            <w:pPr>
              <w:pStyle w:val="Compact"/>
              <w:jc w:val="left"/>
            </w:pPr>
            <w:r>
              <w:t xml:space="preserve">0.691</w:t>
            </w:r>
          </w:p>
        </w:tc>
      </w:tr>
      <w:tr>
        <w:tc>
          <w:tcPr/>
          <w:p>
            <w:pPr>
              <w:pStyle w:val="Compact"/>
              <w:jc w:val="left"/>
            </w:pPr>
            <w:r>
              <w:t xml:space="preserve">Recurrent (LSTM)</w:t>
            </w:r>
          </w:p>
        </w:tc>
        <w:tc>
          <w:tcPr/>
          <w:p>
            <w:pPr>
              <w:pStyle w:val="Compact"/>
              <w:jc w:val="left"/>
            </w:pPr>
            <w:r>
              <w:t xml:space="preserve">0.984</w:t>
            </w:r>
          </w:p>
        </w:tc>
        <w:tc>
          <w:tcPr/>
          <w:p>
            <w:pPr>
              <w:pStyle w:val="Compact"/>
              <w:jc w:val="left"/>
            </w:pPr>
            <w:r>
              <w:t xml:space="preserve">0.847</w:t>
            </w:r>
          </w:p>
        </w:tc>
        <w:tc>
          <w:tcPr/>
          <w:p>
            <w:pPr>
              <w:pStyle w:val="Compact"/>
              <w:jc w:val="left"/>
            </w:pPr>
            <w:r>
              <w:t xml:space="preserve">0.732</w:t>
            </w:r>
          </w:p>
        </w:tc>
        <w:tc>
          <w:tcPr/>
          <w:p>
            <w:pPr>
              <w:pStyle w:val="Compact"/>
              <w:jc w:val="left"/>
            </w:pPr>
            <w:r>
              <w:t xml:space="preserve">0.638</w:t>
            </w:r>
          </w:p>
        </w:tc>
        <w:tc>
          <w:tcPr/>
          <w:p>
            <w:pPr>
              <w:pStyle w:val="Compact"/>
              <w:jc w:val="left"/>
            </w:pPr>
            <w:r>
              <w:t xml:space="preserve">0.476</w:t>
            </w:r>
          </w:p>
        </w:tc>
      </w:tr>
      <w:tr>
        <w:tc>
          <w:tcPr/>
          <w:p>
            <w:pPr>
              <w:pStyle w:val="Compact"/>
              <w:jc w:val="left"/>
            </w:pPr>
            <w:r>
              <w:t xml:space="preserve">Conservative Q-learning</w:t>
            </w:r>
          </w:p>
        </w:tc>
        <w:tc>
          <w:tcPr/>
          <w:p>
            <w:pPr>
              <w:pStyle w:val="Compact"/>
              <w:jc w:val="left"/>
            </w:pPr>
            <w:r>
              <w:t xml:space="preserve">0.971</w:t>
            </w:r>
          </w:p>
        </w:tc>
        <w:tc>
          <w:tcPr/>
          <w:p>
            <w:pPr>
              <w:pStyle w:val="Compact"/>
              <w:jc w:val="left"/>
            </w:pPr>
            <w:r>
              <w:t xml:space="preserve">0.817</w:t>
            </w:r>
          </w:p>
        </w:tc>
        <w:tc>
          <w:tcPr/>
          <w:p>
            <w:pPr>
              <w:pStyle w:val="Compact"/>
              <w:jc w:val="left"/>
            </w:pPr>
            <w:r>
              <w:t xml:space="preserve">0.709</w:t>
            </w:r>
          </w:p>
        </w:tc>
        <w:tc>
          <w:tcPr/>
          <w:p>
            <w:pPr>
              <w:pStyle w:val="Compact"/>
              <w:jc w:val="left"/>
            </w:pPr>
            <w:r>
              <w:t xml:space="preserve">0.620</w:t>
            </w:r>
          </w:p>
        </w:tc>
        <w:tc>
          <w:tcPr/>
          <w:p>
            <w:pPr>
              <w:pStyle w:val="Compact"/>
              <w:jc w:val="left"/>
            </w:pPr>
            <w:r>
              <w:t xml:space="preserve">0.466</w:t>
            </w:r>
          </w:p>
        </w:tc>
      </w:tr>
      <w:tr>
        <w:tc>
          <w:tcPr/>
          <w:p>
            <w:pPr>
              <w:pStyle w:val="Compact"/>
              <w:jc w:val="left"/>
            </w:pPr>
            <w:r>
              <w:t xml:space="preserve">Gradient boosting</w:t>
            </w:r>
          </w:p>
        </w:tc>
        <w:tc>
          <w:tcPr/>
          <w:p>
            <w:pPr>
              <w:pStyle w:val="Compact"/>
              <w:jc w:val="left"/>
            </w:pPr>
            <w:r>
              <w:t xml:space="preserve">0.971</w:t>
            </w:r>
          </w:p>
        </w:tc>
        <w:tc>
          <w:tcPr/>
          <w:p>
            <w:pPr>
              <w:pStyle w:val="Compact"/>
              <w:jc w:val="left"/>
            </w:pPr>
            <w:r>
              <w:t xml:space="preserve">0.748</w:t>
            </w:r>
          </w:p>
        </w:tc>
        <w:tc>
          <w:tcPr/>
          <w:p>
            <w:pPr>
              <w:pStyle w:val="Compact"/>
              <w:jc w:val="left"/>
            </w:pPr>
            <w:r>
              <w:t xml:space="preserve">0.591</w:t>
            </w:r>
          </w:p>
        </w:tc>
        <w:tc>
          <w:tcPr/>
          <w:p>
            <w:pPr>
              <w:pStyle w:val="Compact"/>
              <w:jc w:val="left"/>
            </w:pPr>
            <w:r>
              <w:t xml:space="preserve">0.488</w:t>
            </w:r>
          </w:p>
        </w:tc>
        <w:tc>
          <w:tcPr/>
          <w:p>
            <w:pPr>
              <w:pStyle w:val="Compact"/>
              <w:jc w:val="left"/>
            </w:pPr>
            <w:r>
              <w:t xml:space="preserve">0.341</w:t>
            </w:r>
          </w:p>
        </w:tc>
      </w:tr>
      <w:tr>
        <w:tc>
          <w:tcPr/>
          <w:p>
            <w:pPr>
              <w:pStyle w:val="Compact"/>
              <w:jc w:val="left"/>
            </w:pPr>
            <w:r>
              <w:t xml:space="preserve">Support-vector classifier</w:t>
            </w:r>
          </w:p>
        </w:tc>
        <w:tc>
          <w:tcPr/>
          <w:p>
            <w:pPr>
              <w:pStyle w:val="Compact"/>
              <w:jc w:val="left"/>
            </w:pPr>
            <w:r>
              <w:t xml:space="preserve">0.471</w:t>
            </w:r>
          </w:p>
        </w:tc>
        <w:tc>
          <w:tcPr/>
          <w:p>
            <w:pPr>
              <w:pStyle w:val="Compact"/>
              <w:jc w:val="left"/>
            </w:pPr>
            <w:r>
              <w:t xml:space="preserve">0.477</w:t>
            </w:r>
          </w:p>
        </w:tc>
        <w:tc>
          <w:tcPr/>
          <w:p>
            <w:pPr>
              <w:pStyle w:val="Compact"/>
              <w:jc w:val="left"/>
            </w:pPr>
            <w:r>
              <w:t xml:space="preserve">0.448</w:t>
            </w:r>
          </w:p>
        </w:tc>
        <w:tc>
          <w:tcPr/>
          <w:p>
            <w:pPr>
              <w:pStyle w:val="Compact"/>
              <w:jc w:val="left"/>
            </w:pPr>
            <w:r>
              <w:t xml:space="preserve">0.408</w:t>
            </w:r>
          </w:p>
        </w:tc>
        <w:tc>
          <w:tcPr/>
          <w:p>
            <w:pPr>
              <w:pStyle w:val="Compact"/>
              <w:jc w:val="left"/>
            </w:pPr>
            <w:r>
              <w:t xml:space="preserve">0.318</w:t>
            </w:r>
          </w:p>
        </w:tc>
      </w:tr>
      <w:tr>
        <w:tc>
          <w:tcPr/>
          <w:p>
            <w:pPr>
              <w:pStyle w:val="Compact"/>
              <w:jc w:val="left"/>
            </w:pPr>
            <w:r>
              <w:t xml:space="preserve">k-nearest neighbors</w:t>
            </w:r>
          </w:p>
        </w:tc>
        <w:tc>
          <w:tcPr/>
          <w:p>
            <w:pPr>
              <w:pStyle w:val="Compact"/>
              <w:jc w:val="left"/>
            </w:pPr>
            <w:r>
              <w:t xml:space="preserve">0.388</w:t>
            </w:r>
          </w:p>
        </w:tc>
        <w:tc>
          <w:tcPr/>
          <w:p>
            <w:pPr>
              <w:pStyle w:val="Compact"/>
              <w:jc w:val="left"/>
            </w:pPr>
            <w:r>
              <w:t xml:space="preserve">0.436</w:t>
            </w:r>
          </w:p>
        </w:tc>
        <w:tc>
          <w:tcPr/>
          <w:p>
            <w:pPr>
              <w:pStyle w:val="Compact"/>
              <w:jc w:val="left"/>
            </w:pPr>
            <w:r>
              <w:t xml:space="preserve">0.417</w:t>
            </w:r>
          </w:p>
        </w:tc>
        <w:tc>
          <w:tcPr/>
          <w:p>
            <w:pPr>
              <w:pStyle w:val="Compact"/>
              <w:jc w:val="left"/>
            </w:pPr>
            <w:r>
              <w:t xml:space="preserve">0.381</w:t>
            </w:r>
          </w:p>
        </w:tc>
        <w:tc>
          <w:tcPr/>
          <w:p>
            <w:pPr>
              <w:pStyle w:val="Compact"/>
              <w:jc w:val="left"/>
            </w:pPr>
            <w:r>
              <w:t xml:space="preserve">0.298</w:t>
            </w:r>
          </w:p>
        </w:tc>
      </w:tr>
      <w:tr>
        <w:tc>
          <w:tcPr/>
          <w:p>
            <w:pPr>
              <w:pStyle w:val="Compact"/>
              <w:jc w:val="left"/>
            </w:pPr>
            <w:r>
              <w:t xml:space="preserve">Random forest</w:t>
            </w:r>
          </w:p>
        </w:tc>
        <w:tc>
          <w:tcPr/>
          <w:p>
            <w:pPr>
              <w:pStyle w:val="Compact"/>
              <w:jc w:val="left"/>
            </w:pPr>
            <w:r>
              <w:t xml:space="preserve">0.164</w:t>
            </w:r>
          </w:p>
        </w:tc>
        <w:tc>
          <w:tcPr/>
          <w:p>
            <w:pPr>
              <w:pStyle w:val="Compact"/>
              <w:jc w:val="left"/>
            </w:pPr>
            <w:r>
              <w:t xml:space="preserve">0.316</w:t>
            </w:r>
          </w:p>
        </w:tc>
        <w:tc>
          <w:tcPr/>
          <w:p>
            <w:pPr>
              <w:pStyle w:val="Compact"/>
              <w:jc w:val="left"/>
            </w:pPr>
            <w:r>
              <w:t xml:space="preserve">0.349</w:t>
            </w:r>
          </w:p>
        </w:tc>
        <w:tc>
          <w:tcPr/>
          <w:p>
            <w:pPr>
              <w:pStyle w:val="Compact"/>
              <w:jc w:val="left"/>
            </w:pPr>
            <w:r>
              <w:t xml:space="preserve">0.346</w:t>
            </w:r>
          </w:p>
        </w:tc>
        <w:tc>
          <w:tcPr/>
          <w:p>
            <w:pPr>
              <w:pStyle w:val="Compact"/>
              <w:jc w:val="left"/>
            </w:pPr>
            <w:r>
              <w:t xml:space="preserve">0.298</w:t>
            </w:r>
          </w:p>
        </w:tc>
      </w:tr>
      <w:tr>
        <w:tc>
          <w:tcPr/>
          <w:p>
            <w:pPr>
              <w:pStyle w:val="Compact"/>
              <w:jc w:val="left"/>
            </w:pPr>
            <w:r>
              <w:t xml:space="preserve">Threshold rule</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0.011</w:t>
            </w:r>
          </w:p>
        </w:tc>
        <w:tc>
          <w:tcPr/>
          <w:p>
            <w:pPr>
              <w:pStyle w:val="Compact"/>
              <w:jc w:val="left"/>
            </w:pPr>
            <w:r>
              <w:t xml:space="preserve">0.032</w:t>
            </w:r>
          </w:p>
        </w:tc>
        <w:tc>
          <w:tcPr/>
          <w:p>
            <w:pPr>
              <w:pStyle w:val="Compact"/>
              <w:jc w:val="left"/>
            </w:pPr>
            <w:r>
              <w:t xml:space="preserve">0.083</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7. Posterior probability of practical equivalence to the cost-weighted policy against the assumed correlation ρ.</w:t>
      </w:r>
      <w:r>
        <w:t xml:space="preserve"> </w:t>
      </w:r>
      <w:r>
        <w:t xml:space="preserve">The deployed value is 0.202. Raising ρ widens the posterior and moves mass out of the region of practical equivalence, so the probabilities fall monotonically; what does not change is which of the three outcomes is most probable in each row.</w:t>
      </w:r>
    </w:p>
    <w:p>
      <w:pPr>
        <w:pStyle w:val="BodyText"/>
      </w:pPr>
      <w:r>
        <w:t xml:space="preserve">The direction of every comparison is stable across the whole range. The random forest remains the more probable winner at every ρ, the threshold rule and the ordinal objective remain the more probable losers at every ρ, and the unweighted network and the perceptron remain practically equivalent to the reference as the single most probable outcome even at ρ = 0.5, where the posterior is far wider than this design warrants. What does move is strength: the headline 0.960 for the unweighted network falls to 0.740 under the most pessimistic assumption we tried. So the qualitative claim, that removing the cost weighting probably changes nothing that matters, survives the assumption; the precise number attached to it does not, and should be read as conditional on ρ.</w:t>
      </w:r>
    </w:p>
    <w:p>
      <w:pPr>
        <w:pStyle w:val="BodyText"/>
      </w:pPr>
      <w:r>
        <w:drawing>
          <wp:inline>
            <wp:extent cx="5334000" cy="1818505"/>
            <wp:effectExtent b="0" l="0" r="0" t="0"/>
            <wp:docPr descr="" title="" id="60" name="Picture"/>
            <a:graphic>
              <a:graphicData uri="http://schemas.openxmlformats.org/drawingml/2006/picture">
                <pic:pic>
                  <pic:nvPicPr>
                    <pic:cNvPr descr="figures_v2/fig_powered.png" id="61" name="Picture"/>
                    <pic:cNvPicPr>
                      <a:picLocks noChangeArrowheads="1" noChangeAspect="1"/>
                    </pic:cNvPicPr>
                  </pic:nvPicPr>
                  <pic:blipFill>
                    <a:blip r:embed="rId59"/>
                    <a:stretch>
                      <a:fillRect/>
                    </a:stretch>
                  </pic:blipFill>
                  <pic:spPr bwMode="auto">
                    <a:xfrm>
                      <a:off x="0" y="0"/>
                      <a:ext cx="5334000" cy="1818505"/>
                    </a:xfrm>
                    <a:prstGeom prst="rect">
                      <a:avLst/>
                    </a:prstGeom>
                    <a:noFill/>
                    <a:ln w="9525">
                      <a:noFill/>
                      <a:headEnd/>
                      <a:tailEnd/>
                    </a:ln>
                  </pic:spPr>
                </pic:pic>
              </a:graphicData>
            </a:graphic>
          </wp:inline>
        </w:drawing>
      </w:r>
    </w:p>
    <w:p>
      <w:pPr>
        <w:pStyle w:val="BodyText"/>
      </w:pPr>
      <w:r>
        <w:rPr>
          <w:bCs/>
          <w:b/>
        </w:rPr>
        <w:t xml:space="preserve">Fig. 7. Model comparison over 30 randomized runs.</w:t>
      </w:r>
      <w:r>
        <w:t xml:space="preserve"> </w:t>
      </w:r>
      <w:r>
        <w:t xml:space="preserve">(a) Decision accuracy, mean ± 1 SD, with the cost-weighted policy highlighted and the ordinal cost objective of Section 4.6 shown in green. (b) Posterior probabilities from the Bayesian correlated</w:t>
      </w:r>
      <w:r>
        <w:t xml:space="preserve"> </w:t>
      </w:r>
      <w:r>
        <w:rPr>
          <w:iCs/>
          <w:i/>
        </w:rPr>
        <w:t xml:space="preserve">t</w:t>
      </w:r>
      <w:r>
        <w:t xml:space="preserve">-test against the cost-weighted policy, with a region of practical equivalence of ± 1 accuracy point.</w:t>
      </w:r>
    </w:p>
    <w:p>
      <w:pPr>
        <w:pStyle w:val="BodyText"/>
      </w:pPr>
      <w:r>
        <w:t xml:space="preserve">Looking at where the actions land makes the saturation concrete (Fig. 8).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where models divide between</w:t>
      </w:r>
      <w:r>
        <w:t xml:space="preserve"> </w:t>
      </w:r>
      <w:r>
        <w:rPr>
          <w:iCs/>
          <w:i/>
        </w:rPr>
        <w:t xml:space="preserve">Monitor</w:t>
      </w:r>
      <w:r>
        <w:t xml:space="preserve"> </w:t>
      </w:r>
      <w:r>
        <w:t xml:space="preserve">and</w:t>
      </w:r>
      <w:r>
        <w:t xml:space="preserve"> </w:t>
      </w:r>
      <w:r>
        <w:rPr>
          <w:iCs/>
          <w:i/>
        </w:rPr>
        <w:t xml:space="preserve">Increase sampling</w:t>
      </w:r>
      <w:r>
        <w:t xml:space="preserve"> </w:t>
      </w:r>
      <w:r>
        <w:t xml:space="preserve">in slightly different proportions.</w:t>
      </w:r>
    </w:p>
    <w:p>
      <w:pPr>
        <w:pStyle w:val="BodyText"/>
      </w:pPr>
      <w:r>
        <w:t xml:space="preserve">One detail there is a property of the action space rather than of any model, and it constrains what this study can say about intermediate responses.</w:t>
      </w:r>
      <w:r>
        <w:t xml:space="preserve"> </w:t>
      </w:r>
      <w:r>
        <w:rPr>
          <w:bCs/>
          <w:b/>
        </w:rPr>
        <w:t xml:space="preserve">Action 2,</w:t>
      </w:r>
      <w:r>
        <w:rPr>
          <w:bCs/>
          <w:b/>
        </w:rPr>
        <w:t xml:space="preserve"> </w:t>
      </w:r>
      <w:r>
        <w:rPr>
          <w:iCs/>
          <w:i/>
          <w:bCs/>
          <w:b/>
        </w:rPr>
        <w:t xml:space="preserve">Request verification</w:t>
      </w:r>
      <w:r>
        <w:rPr>
          <w:bCs/>
          <w:b/>
        </w:rPr>
        <w:t xml:space="preserve">, is never selected, by any of the seven comparators in Fig. 8, on any run</w:t>
      </w:r>
      <w:r>
        <w:t xml:space="preserve">, and the reason is structural rather than incidental. The target map sends Perfume to action 1, so action 2 is never a positive training target and cannot be scored correct under any model trained against that map. The nominal five-level ladder is in effect a four-level one, and nothing here measures how a model would use an intermediate verification step if one were reachable. We would not call that a failure of the models; it is an unresolved question in the action design. A verification action triggered by predictive uncertainty rather than by class identity is the obvious candidate, and it is not implemented.</w:t>
      </w:r>
    </w:p>
    <w:p>
      <w:pPr>
        <w:pStyle w:val="BodyText"/>
      </w:pPr>
      <w:r>
        <w:drawing>
          <wp:inline>
            <wp:extent cx="5334000" cy="2904285"/>
            <wp:effectExtent b="0" l="0" r="0" t="0"/>
            <wp:docPr descr="" title="" id="63" name="Picture"/>
            <a:graphic>
              <a:graphicData uri="http://schemas.openxmlformats.org/drawingml/2006/picture">
                <pic:pic>
                  <pic:nvPicPr>
                    <pic:cNvPr descr="figures_v2/fig_actionmatrix.png" id="64" name="Picture"/>
                    <pic:cNvPicPr>
                      <a:picLocks noChangeArrowheads="1" noChangeAspect="1"/>
                    </pic:cNvPicPr>
                  </pic:nvPicPr>
                  <pic:blipFill>
                    <a:blip r:embed="rId62"/>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8. Action-selection matrices in distribution,</w:t>
      </w:r>
      <w:r>
        <w:t xml:space="preserve"> </w:t>
      </w:r>
      <w:r>
        <w:t xml:space="preserve">averaged over five seed-varying partitions. Rows are gas classes, columns are actions. The empty</w:t>
      </w:r>
      <w:r>
        <w:t xml:space="preserve"> </w:t>
      </w:r>
      <w:r>
        <w:rPr>
          <w:iCs/>
          <w:i/>
        </w:rPr>
        <w:t xml:space="preserve">Request verification</w:t>
      </w:r>
      <w:r>
        <w:t xml:space="preserve"> </w:t>
      </w:r>
      <w:r>
        <w:t xml:space="preserve">column is identical in every panel.</w:t>
      </w:r>
    </w:p>
    <w:bookmarkEnd w:id="65"/>
    <w:bookmarkStart w:id="75" w:name="X174ac59bc50220f3fc46e8afaa2ce95f1607deb"/>
    <w:p>
      <w:pPr>
        <w:pStyle w:val="Heading3"/>
      </w:pPr>
      <w:r>
        <w:t xml:space="preserve">4.4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8</w:t>
      </w:r>
      <w:r>
        <w:t xml:space="preserve"> </w:t>
      </w:r>
      <w:r>
        <w:t xml:space="preserve">and Figs. 9 to 11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0.982 ± 0.007</w:t>
            </w:r>
          </w:p>
        </w:tc>
        <w:tc>
          <w:tcPr/>
          <w:p>
            <w:pPr>
              <w:pStyle w:val="Compact"/>
              <w:jc w:val="left"/>
            </w:pPr>
            <w:r>
              <w:t xml:space="preserve">0.018</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0.0042</w:t>
            </w:r>
          </w:p>
        </w:tc>
        <w:tc>
          <w:tcPr/>
          <w:p>
            <w:pPr>
              <w:pStyle w:val="Compact"/>
              <w:jc w:val="left"/>
            </w:pPr>
            <w:r>
              <w:t xml:space="preserve">≤0.56%</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0.0083</w:t>
            </w:r>
          </w:p>
        </w:tc>
        <w:tc>
          <w:tcPr/>
          <w:p>
            <w:pPr>
              <w:pStyle w:val="Compact"/>
              <w:jc w:val="left"/>
            </w:pPr>
            <w:r>
              <w:t xml:space="preserve">≤1.02%</w:t>
            </w:r>
          </w:p>
        </w:tc>
        <w:tc>
          <w:tcPr/>
          <w:p>
            <w:pPr>
              <w:pStyle w:val="Compact"/>
              <w:jc w:val="left"/>
            </w:pPr>
            <w:r>
              <w:t xml:space="preserve">0.991 ± 0.009</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0.0116</w:t>
            </w:r>
          </w:p>
        </w:tc>
        <w:tc>
          <w:tcPr/>
          <w:p>
            <w:pPr>
              <w:pStyle w:val="Compact"/>
              <w:jc w:val="left"/>
            </w:pPr>
            <w:r>
              <w:t xml:space="preserve">≤1.38%</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≤10.05%</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0.506 ± 0.206</w:t>
            </w:r>
          </w:p>
        </w:tc>
        <w:tc>
          <w:tcPr/>
          <w:p>
            <w:pPr>
              <w:pStyle w:val="Compact"/>
              <w:jc w:val="left"/>
            </w:pPr>
            <w:r>
              <w:t xml:space="preserve">0.494</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0.393 ± 0.235</w:t>
            </w:r>
          </w:p>
        </w:tc>
        <w:tc>
          <w:tcPr/>
          <w:p>
            <w:pPr>
              <w:pStyle w:val="Compact"/>
              <w:jc w:val="left"/>
            </w:pPr>
            <w:r>
              <w:t xml:space="preserve">0.607</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0.245 ± 0.199</w:t>
            </w:r>
          </w:p>
        </w:tc>
        <w:tc>
          <w:tcPr/>
          <w:p>
            <w:pPr>
              <w:pStyle w:val="Compact"/>
              <w:jc w:val="left"/>
            </w:pPr>
            <w:r>
              <w:t xml:space="preserve">0.755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0.0003</w:t>
            </w:r>
          </w:p>
        </w:tc>
        <w:tc>
          <w:tcPr/>
          <w:p>
            <w:pPr>
              <w:pStyle w:val="Compact"/>
              <w:jc w:val="left"/>
            </w:pPr>
            <w:r>
              <w:t xml:space="preserve">≤0.08%</w:t>
            </w:r>
          </w:p>
        </w:tc>
        <w:tc>
          <w:tcPr/>
          <w:p>
            <w:pPr>
              <w:pStyle w:val="Compact"/>
              <w:jc w:val="left"/>
            </w:pPr>
            <w:r>
              <w:rPr>
                <w:bCs/>
                <w:b/>
              </w:rPr>
              <w:t xml:space="preserve">0.217 ± 0.211</w:t>
            </w:r>
          </w:p>
        </w:tc>
        <w:tc>
          <w:tcPr/>
          <w:p>
            <w:pPr>
              <w:pStyle w:val="Compact"/>
              <w:jc w:val="left"/>
            </w:pPr>
            <w:r>
              <w:t xml:space="preserve">0.783</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≤0.08%</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0.0053</w:t>
            </w:r>
          </w:p>
        </w:tc>
        <w:tc>
          <w:tcPr/>
          <w:p>
            <w:pPr>
              <w:pStyle w:val="Compact"/>
              <w:jc w:val="left"/>
            </w:pPr>
            <w:r>
              <w:t xml:space="preserve">≤0.69%</w:t>
            </w:r>
          </w:p>
        </w:tc>
        <w:tc>
          <w:tcPr/>
          <w:p>
            <w:pPr>
              <w:pStyle w:val="Compact"/>
              <w:jc w:val="left"/>
            </w:pPr>
            <w:r>
              <w:rPr>
                <w:bCs/>
                <w:b/>
              </w:rPr>
              <w:t xml:space="preserve">0.678 ± 0.112</w:t>
            </w:r>
          </w:p>
        </w:tc>
        <w:tc>
          <w:tcPr/>
          <w:p>
            <w:pPr>
              <w:pStyle w:val="Compact"/>
              <w:jc w:val="left"/>
            </w:pPr>
            <w:r>
              <w:t xml:space="preserve">0.316</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≤0.87%</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≤2.85%</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≤25.68%</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8.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6 and was practically equivalent to the reference there with posterior probability 0.938, assigns the passive</w:t>
      </w:r>
      <w:r>
        <w:t xml:space="preserve"> </w:t>
      </w:r>
      <w:r>
        <w:rPr>
          <w:iCs/>
          <w:i/>
        </w:rPr>
        <w:t xml:space="preserve">Monitor</w:t>
      </w:r>
      <w:r>
        <w:t xml:space="preserve"> </w:t>
      </w:r>
      <w:r>
        <w:t xml:space="preserve">action to 9.49% of unseen hazardous windows, with a 95% bound of 10.05%. Seven other models are bounded at 0.038%. That is a separation of more than two orders of magnitude, entirely invisible in Table 6, and the correlation between the two is close to nil (Pearson r = +0.13 for missed hazard on unseen Smoke, r = +0.25 for escalation on unseen Mixture, over the ten comparators of Table 6, Fig. 9). No accuracy-based selection procedure would have steered a team away from the failing model.</w:t>
      </w:r>
    </w:p>
    <w:p>
      <w:pPr>
        <w:pStyle w:val="BodyText"/>
      </w:pPr>
      <w:r>
        <w:drawing>
          <wp:inline>
            <wp:extent cx="5334000" cy="2311400"/>
            <wp:effectExtent b="0" l="0" r="0" t="0"/>
            <wp:docPr descr="" title="" id="67" name="Picture"/>
            <a:graphic>
              <a:graphicData uri="http://schemas.openxmlformats.org/drawingml/2006/picture">
                <pic:pic>
                  <pic:nvPicPr>
                    <pic:cNvPr descr="figures_v2/fig_dissociation.png" id="68" name="Picture"/>
                    <pic:cNvPicPr>
                      <a:picLocks noChangeArrowheads="1" noChangeAspect="1"/>
                    </pic:cNvPicPr>
                  </pic:nvPicPr>
                  <pic:blipFill>
                    <a:blip r:embed="rId66"/>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rPr>
          <w:bCs/>
          <w:b/>
        </w:rPr>
        <w:t xml:space="preserve">Fig. 9. In-distribution accuracy against out-of-distribution safety.</w:t>
      </w:r>
      <w:r>
        <w:t xml:space="preserve"> </w:t>
      </w:r>
      <w:r>
        <w:t xml:space="preserve">Each point is one of the ten comparators in Table 6, plotted at its 30-run decision accuracy. The ordinal cost objective is left out because it was built to trade accuracy for escalation, so including it would answer the question by construction.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ten of eleven comparators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that being the only sub-alarm action any model here emits (Section 4.3). The miss metric records that as a clean sheet. The cost-weighted policy escalates 24.5% and under-escalates 75.5%.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Two further patterns are worth noting now that every comparator is in the grid. The models that escalate fully on both unseen hazards are the two tree ensembles, but the ordering in between is not a simple split between trees and networks: the recurrent network reaches 0.678 on unseen Mixture and conservative Q-learning 0.506, both well above the cost-weighted policy at 0.245 and the perceptron at 0.242. And the deployable threshold rule fails safe on unseen Smoke while failing badly on unseen Mixture, at 24.87% missed (bound 25.68%). No comparator is uniformly best. That is itself an argument for reporting the full set rather than picking a favourite metric and defending it.</w:t>
      </w:r>
    </w:p>
    <w:p>
      <w:pPr>
        <w:pStyle w:val="BodyText"/>
      </w:pPr>
      <w:r>
        <w:drawing>
          <wp:inline>
            <wp:extent cx="5334000" cy="2209737"/>
            <wp:effectExtent b="0" l="0" r="0" t="0"/>
            <wp:docPr descr="" title="" id="70" name="Picture"/>
            <a:graphic>
              <a:graphicData uri="http://schemas.openxmlformats.org/drawingml/2006/picture">
                <pic:pic>
                  <pic:nvPicPr>
                    <pic:cNvPr descr="figures_v2/fig_loco.png" id="71" name="Picture"/>
                    <pic:cNvPicPr>
                      <a:picLocks noChangeArrowheads="1" noChangeAspect="1"/>
                    </pic:cNvPicPr>
                  </pic:nvPicPr>
                  <pic:blipFill>
                    <a:blip r:embed="rId69"/>
                    <a:stretch>
                      <a:fillRect/>
                    </a:stretch>
                  </pic:blipFill>
                  <pic:spPr bwMode="auto">
                    <a:xfrm>
                      <a:off x="0" y="0"/>
                      <a:ext cx="5334000" cy="2209737"/>
                    </a:xfrm>
                    <a:prstGeom prst="rect">
                      <a:avLst/>
                    </a:prstGeom>
                    <a:noFill/>
                    <a:ln w="9525">
                      <a:noFill/>
                      <a:headEnd/>
                      <a:tailEnd/>
                    </a:ln>
                  </pic:spPr>
                </pic:pic>
              </a:graphicData>
            </a:graphic>
          </wp:inline>
        </w:drawing>
      </w:r>
    </w:p>
    <w:p>
      <w:pPr>
        <w:pStyle w:val="BodyText"/>
      </w:pPr>
      <w:r>
        <w:rPr>
          <w:bCs/>
          <w:b/>
        </w:rPr>
        <w:t xml:space="preserve">Fig. 10. Behavior on a hazardous class withheld from training,</w:t>
      </w:r>
      <w:r>
        <w:t xml:space="preserve"> </w:t>
      </w:r>
      <w:r>
        <w:t xml:space="preserve">eleven comparators, mean over five seed-varying partitions. (a) Missed-hazard rate, drawn on a logarithmic axis because the values span three decades and a linear axis renders a 9.49% failure and a 0.03% one at visually indistinguishable heights. Bars at the floor line are observed zeros, bounded at 0.038%. (b) Escalation adequacy with ± 1 SD across seeds. The two panels disagree about which models are acceptable, which is the point of showing them together.</w:t>
      </w:r>
    </w:p>
    <w:p>
      <w:pPr>
        <w:pStyle w:val="BodyText"/>
      </w:pPr>
      <w:r>
        <w:drawing>
          <wp:inline>
            <wp:extent cx="5334000" cy="1804557"/>
            <wp:effectExtent b="0" l="0" r="0" t="0"/>
            <wp:docPr descr="" title="" id="73" name="Picture"/>
            <a:graphic>
              <a:graphicData uri="http://schemas.openxmlformats.org/drawingml/2006/picture">
                <pic:pic>
                  <pic:nvPicPr>
                    <pic:cNvPr descr="figures_v2/fig_disposition.png" id="74" name="Picture"/>
                    <pic:cNvPicPr>
                      <a:picLocks noChangeArrowheads="1" noChangeAspect="1"/>
                    </pic:cNvPicPr>
                  </pic:nvPicPr>
                  <pic:blipFill>
                    <a:blip r:embed="rId72"/>
                    <a:stretch>
                      <a:fillRect/>
                    </a:stretch>
                  </pic:blipFill>
                  <pic:spPr bwMode="auto">
                    <a:xfrm>
                      <a:off x="0" y="0"/>
                      <a:ext cx="5334000" cy="1804557"/>
                    </a:xfrm>
                    <a:prstGeom prst="rect">
                      <a:avLst/>
                    </a:prstGeom>
                    <a:noFill/>
                    <a:ln w="9525">
                      <a:noFill/>
                      <a:headEnd/>
                      <a:tailEnd/>
                    </a:ln>
                  </pic:spPr>
                </pic:pic>
              </a:graphicData>
            </a:graphic>
          </wp:inline>
        </w:drawing>
      </w:r>
    </w:p>
    <w:p>
      <w:pPr>
        <w:pStyle w:val="BodyText"/>
      </w:pPr>
      <w:r>
        <w:rPr>
          <w:bCs/>
          <w:b/>
        </w:rPr>
        <w:t xml:space="preserve">Fig. 11.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75"/>
    <w:bookmarkStart w:id="79" w:name="X647771f839ee09933d1cd9b4427557b897468d5"/>
    <w:p>
      <w:pPr>
        <w:pStyle w:val="Heading3"/>
      </w:pPr>
      <w:r>
        <w:t xml:space="preserve">4.5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9</w:t>
      </w:r>
      <w:r>
        <w:t xml:space="preserve">, Fig. 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9.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4.4 supplies the second, and under it the cost-weighted policy is not the leader.</w:t>
      </w:r>
    </w:p>
    <w:p>
      <w:pPr>
        <w:pStyle w:val="BodyText"/>
      </w:pPr>
      <w:r>
        <w:t xml:space="preserve">One more thing about the deployed configuration, which we have now resolved rather than deferred. C = 8:1 is not the accuracy optimum and was originally chosen on test-partition dispersion, which is not a defensible criterion. Re-selecting it needs a validation partition, and the obvious construction fails in an instructive way: a uniformly random validation subset carved from the training partition scores between 0.9948 and 0.9994 for every ratio from 1:1 to 8:1, because it inherits exactly the window overlap Section 4.2 measures. Those five configurations differ by up to 0.6 accuracy points on the test set and by 0.005 on this validation split, which is not enough to separate them; the criterion only registers anything at all once the ratio is large enough to destabilize training outright. Carving the validation band contiguously from the end of each class block instead, with the same 20-window embargo, restores discrimination and selects</w:t>
      </w:r>
      <w:r>
        <w:t xml:space="preserve"> </w:t>
      </w:r>
      <w:r>
        <w:rPr>
          <w:bCs/>
          <w:b/>
        </w:rPr>
        <w:t xml:space="preserve">C = 2:1</w:t>
      </w:r>
      <w:r>
        <w:t xml:space="preserve"> </w:t>
      </w:r>
      <w:r>
        <w:t xml:space="preserve">(validation 0.9606, test 0.9430), with 6:1 close behind at 0.9604. The deployed 8:1 is not selected under either criterion. We report the sweep in Table 9 as the substantive result and treat the selection question as settled against 8:1.</w:t>
      </w:r>
    </w:p>
    <w:p>
      <w:pPr>
        <w:pStyle w:val="BodyText"/>
      </w:pPr>
      <w:r>
        <w:rPr>
          <w:bCs/>
          <w:b/>
        </w:rPr>
        <w:t xml:space="preserve">An ordinal objective, since the evidence points at one.</w:t>
      </w:r>
      <w:r>
        <w:t xml:space="preserve"> </w:t>
      </w:r>
      <w:r>
        <w:t xml:space="preserve">Section 5.3 argues that Eq. 2 prices all wrong actions alike, so under-escalating a hazardous window and over-escalating it cost the same. That is a testable claim, so we tested it. We replaced the sample-weighted cross-entropy with direct minimization of expected cost under a matrix that prices distance and direction along the action ladder: for a hazardous class, silence costs 10, a sub-alarm response 5, and notifying at the wrong tier 1; for clean air, a high-severity alarm costs 4 against 1 for a nuisance action; for the VOC class, silence costs 2 and a high-severity alarm 3. The numbers are coarse and the structure, not their exact values, is what the experiment tests. We should set expectations for what follows before reporting it. This is a single untuned matrix, chosen by hand for its shape and never optimized, run once. It is offered as a test of a mechanism, not as a model we are proposing, and the result below should be read as evidence about the class of objective rather than as a performance claim for this particular member of it.</w:t>
      </w:r>
    </w:p>
    <w:p>
      <w:pPr>
        <w:pStyle w:val="BodyText"/>
      </w:pPr>
      <w:r>
        <w:t xml:space="preserve">It works on the quantity it targets. On unseen Mixture the ordinal objective escalates</w:t>
      </w:r>
      <w:r>
        <w:t xml:space="preserve"> </w:t>
      </w:r>
      <w:r>
        <w:rPr>
          <w:bCs/>
          <w:b/>
        </w:rPr>
        <w:t xml:space="preserve">0.393 ± 0.235</w:t>
      </w:r>
      <w:r>
        <w:t xml:space="preserve"> </w:t>
      </w:r>
      <w:r>
        <w:t xml:space="preserve">of hazardous windows against 0.245 ± 0.199 for the cost-weighted policy, a relative improvement of about 60% while still recording no observed miss (Table 8). It is the only change to the objective anywhere in this study that moved escalation adequacy at all.</w:t>
      </w:r>
    </w:p>
    <w:p>
      <w:pPr>
        <w:pStyle w:val="BodyText"/>
      </w:pPr>
      <w:r>
        <w:t xml:space="preserve">It also costs more than it returns, at least as specified. In-distribution accuracy falls to 0.7472 ± 0.0054, some 21 points below the cost-weighted policy, and expected cost under the matrix the objective itself minimizes rises from 0.0631 to 0.2585. The mechanism is visible in the action distribution: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because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So what has been demonstrated is narrow, and we would rather bound it ourselves than have a reader do it. The mechanism is confirmed: pricing direction along the action ladder moves escalation, where scalar reweighting did not. What has not been demonstrated is a cost matrix worth deploying. A matrix that buys 15 points of escalation on an unseen hazard by paying 21 points of accuracy on clean air is not one we would put in front of an operator, and the optimum over the space of such matrices is not something a single untuned draw can locate. This is a methodological result about a family of objectives, not a new best model, and the row it occupies in Tables 6 and 8 should be read that way rather than as a competitor to the rows above it. Tuning the ratio between the hazardous-class and clean-air penalties is the obvious next step, and we have not taken it.</w:t>
      </w:r>
    </w:p>
    <w:p>
      <w:pPr>
        <w:pStyle w:val="BodyText"/>
      </w:pPr>
      <w:r>
        <w:drawing>
          <wp:inline>
            <wp:extent cx="5334000" cy="3261915"/>
            <wp:effectExtent b="0" l="0" r="0" t="0"/>
            <wp:docPr descr="" title="" id="77" name="Picture"/>
            <a:graphic>
              <a:graphicData uri="http://schemas.openxmlformats.org/drawingml/2006/picture">
                <pic:pic>
                  <pic:nvPicPr>
                    <pic:cNvPr descr="figures_v2/fig_costsweep.png" id="78" name="Picture"/>
                    <pic:cNvPicPr>
                      <a:picLocks noChangeArrowheads="1" noChangeAspect="1"/>
                    </pic:cNvPicPr>
                  </pic:nvPicPr>
                  <pic:blipFill>
                    <a:blip r:embed="rId76"/>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12. Cost-asymmetry sweep.</w:t>
      </w:r>
      <w:r>
        <w:t xml:space="preserve"> </w:t>
      </w:r>
      <w:r>
        <w:t xml:space="preserve">Shading is ± 1 SD across five seed-varying partitions.</w:t>
      </w:r>
    </w:p>
    <w:bookmarkEnd w:id="79"/>
    <w:bookmarkStart w:id="86" w:name="Xa7515a5074a15d26cd1659b1ee1dfca96a8b910"/>
    <w:p>
      <w:pPr>
        <w:pStyle w:val="Heading3"/>
      </w:pPr>
      <w:r>
        <w:t xml:space="preserve">4.6 What the decision state actually contributes</w:t>
      </w:r>
    </w:p>
    <w:p>
      <w:pPr>
        <w:pStyle w:val="FirstParagraph"/>
      </w:pPr>
      <w:r>
        <w:t xml:space="preserve">The decision state was ablated by feature group with the architecture and protocol held fixed (</w:t>
      </w:r>
      <w:r>
        <w:rPr>
          <w:bCs/>
          <w:b/>
        </w:rPr>
        <w:t xml:space="preserve">Table 10</w:t>
      </w:r>
      <w:r>
        <w:t xml:space="preserve">, Fig. 13).</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10.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81" name="Picture"/>
            <a:graphic>
              <a:graphicData uri="http://schemas.openxmlformats.org/drawingml/2006/picture">
                <pic:pic>
                  <pic:nvPicPr>
                    <pic:cNvPr descr="figures_v2/fig_ablation.png" id="82" name="Picture"/>
                    <pic:cNvPicPr>
                      <a:picLocks noChangeArrowheads="1" noChangeAspect="1"/>
                    </pic:cNvPicPr>
                  </pic:nvPicPr>
                  <pic:blipFill>
                    <a:blip r:embed="rId80"/>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13. 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We swept the anomaly score across its full range on every test window, holding the other twenty-one features fixed, and recorded how often the selected action moved (Fig. 14).</w:t>
      </w:r>
    </w:p>
    <w:p>
      <w:pPr>
        <w:pStyle w:val="BodyText"/>
      </w:pPr>
      <w:r>
        <w:t xml:space="preserve">The models divide sharply. For the threshold rule the answer is zero by construction, since it reads only the seven raw channels. For k-nearest neighbors, the support-vector classifier and the multilayer perceptron the action moves on under 4% of windows; for the cost-weighted policy on 8.0 ± 5.8% and for the random forest on 16.1 ± 7.6%. Gradient boosting is the outlier at 60.6 ± 7.9%. Whatever the anomaly channel contributes to the other models, it is close to inert at inference time; for gradient boosting it is load-bearing.</w:t>
      </w:r>
    </w:p>
    <w:p>
      <w:pPr>
        <w:pStyle w:val="BodyText"/>
      </w:pPr>
      <w:r>
        <w:t xml:space="preserve">The consequence shows up in the safety metrics, and only for that one model. Forcing the anomaly score to zero, which is what a failed or unconnected autoencoder would supply, leaves the missed-hazard rate of every other comparator at zero and moves gradient boosting from 0.0098 to</w:t>
      </w:r>
      <w:r>
        <w:t xml:space="preserve"> </w:t>
      </w:r>
      <w:r>
        <w:rPr>
          <w:bCs/>
          <w:b/>
        </w:rPr>
        <w:t xml:space="preserve">0.3405</w:t>
      </w:r>
      <w:r>
        <w:t xml:space="preserve">, with escalation adequacy falling from 0.990 to 0.495. A model sitting third by accuracy in Table 6 turns out to have its safety behavior resting on a single upstream input, and nothing in the accuracy column or the ablation table shows it.</w:t>
      </w:r>
    </w:p>
    <w:p>
      <w:pPr>
        <w:pStyle w:val="BodyText"/>
      </w:pPr>
      <w:r>
        <w:t xml:space="preserve">We would not over-read a single conditional probe. The override is synthetic, the other features are held at values that in reality would co-vary with the anomaly score, and one corpus is a narrow basis for a claim about any model family. Still, the finding is consistent with two results we already had: gradient boosting is the model that fails silent under sensor loss (Section 4.7) and the one that escalates unseen Mixture perfectly while others do not (Section 4.4). A heavier dependence on the anomaly channel is a plausible common mechanism for all three, and it suggests that dependence on upstream components deserves to be measured rather than assumed, particularly where those components can fail independently of the model consuming them.</w:t>
      </w:r>
    </w:p>
    <w:p>
      <w:pPr>
        <w:pStyle w:val="BodyText"/>
      </w:pPr>
      <w:r>
        <w:drawing>
          <wp:inline>
            <wp:extent cx="5334000" cy="1904668"/>
            <wp:effectExtent b="0" l="0" r="0" t="0"/>
            <wp:docPr descr="" title="" id="84" name="Picture"/>
            <a:graphic>
              <a:graphicData uri="http://schemas.openxmlformats.org/drawingml/2006/picture">
                <pic:pic>
                  <pic:nvPicPr>
                    <pic:cNvPr descr="figures_v2/fig_anominfluence.png" id="85" name="Picture"/>
                    <pic:cNvPicPr>
                      <a:picLocks noChangeArrowheads="1" noChangeAspect="1"/>
                    </pic:cNvPicPr>
                  </pic:nvPicPr>
                  <pic:blipFill>
                    <a:blip r:embed="rId83"/>
                    <a:stretch>
                      <a:fillRect/>
                    </a:stretch>
                  </pic:blipFill>
                  <pic:spPr bwMode="auto">
                    <a:xfrm>
                      <a:off x="0" y="0"/>
                      <a:ext cx="5334000" cy="1904668"/>
                    </a:xfrm>
                    <a:prstGeom prst="rect">
                      <a:avLst/>
                    </a:prstGeom>
                    <a:noFill/>
                    <a:ln w="9525">
                      <a:noFill/>
                      <a:headEnd/>
                      <a:tailEnd/>
                    </a:ln>
                  </pic:spPr>
                </pic:pic>
              </a:graphicData>
            </a:graphic>
          </wp:inline>
        </w:drawing>
      </w:r>
    </w:p>
    <w:p>
      <w:pPr>
        <w:pStyle w:val="BodyText"/>
      </w:pPr>
      <w:r>
        <w:rPr>
          <w:bCs/>
          <w:b/>
        </w:rPr>
        <w:t xml:space="preserve">Fig. 14. 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bookmarkEnd w:id="86"/>
    <w:bookmarkStart w:id="93" w:name="Xc5cf2287b5d6731f60b878d4311b75f09f741d4"/>
    <w:p>
      <w:pPr>
        <w:pStyle w:val="Heading3"/>
      </w:pPr>
      <w:r>
        <w:t xml:space="preserve">4.7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11</w:t>
      </w:r>
      <w:r>
        <w:t xml:space="preserve">, Figs. 15 and 16).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11. Selected perturbation results</w:t>
      </w:r>
      <w:r>
        <w:t xml:space="preserve">, with the full sweep in Fig. 15. Alarm burden is the high-severity false-alarm rate expressed per 1,000 clean windows, per detector, which keeps it independent of any particular duty cycle.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p>
    <w:p>
      <w:pPr>
        <w:pStyle w:val="BodyText"/>
      </w:pPr>
      <w:r>
        <w:rPr>
          <w:iCs/>
          <w:i/>
        </w:rPr>
        <w:t xml:space="preserve">Fail-silent.</w:t>
      </w:r>
      <w:r>
        <w:t xml:space="preserve"> </w:t>
      </w:r>
      <w:r>
        <w:t xml:space="preserve">Gradient boosting records no false alarm at any severity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117 high-severity alarms per 1,000 clean windows, and the threshold rule to 200, while the random forest is unaffected (Fig. 16).</w:t>
      </w:r>
    </w:p>
    <w:p>
      <w:pPr>
        <w:pStyle w:val="BodyText"/>
      </w:pPr>
      <w:r>
        <w:t xml:space="preserve">Converting a rate into a burden is worth spelling out, because a bare rate is hard to place against the envelopes an operator works inside, whereas an alarm count is not. Any count per unit time needs a duty cycle. The corpus as distributed carries no timestamp column, but the acquisition protocol is documented: readings were logged at 2 s intervals (Narkhede et al. 2022), which puts a detector at 1,800 windows per hour. We still report alarms per 1,000 clean windows as the primary quantity, because that number is a property of the model and the hourly figure is a property of the deployment, but the conversion is now grounded rather than assumed. On that basis the single-sensor-loss figure is about 211 alarms per hour from one instrument. EEMUA (2013) treats something in the region of six alarms per hour as the upper limit of what an entire operator position can absorb. We would not press that comparison further. Model-generated indications are not the same object as a complete plant alarm system, and the conversion assumes a duty cycle we did not measure. What survives without any of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same arithmetic cuts the other way on the clean-condition rows, which is easy to miss. Every model records zero high-severity false alarms on clean data, and that sounds conclusive until the Clopper-Pearson bound is converted too. A zero across 1,580 clean windows supports only</w:t>
      </w:r>
      <w:r>
        <w:t xml:space="preserve"> </w:t>
      </w:r>
      <w:r>
        <w:t xml:space="preserve">“</w:t>
      </w:r>
      <w:r>
        <w:t xml:space="preserve">at most 1.9 alarms per 1,000 windows</w:t>
      </w:r>
      <w:r>
        <w:t xml:space="preserve">”</w:t>
      </w:r>
      <w:r>
        <w:t xml:space="preserve">, which under the same illustrative duty cycle would be roughly 3.4 per hour, already over half the EEMUA figure for an entire operator position.</w:t>
      </w:r>
      <w:r>
        <w:t xml:space="preserve"> </w:t>
      </w:r>
      <w:r>
        <w:t xml:space="preserve">“</w:t>
      </w:r>
      <w:r>
        <w:t xml:space="preserve">Zero false alarms</w:t>
      </w:r>
      <w:r>
        <w:t xml:space="preserve">”</w:t>
      </w:r>
      <w:r>
        <w:t xml:space="preserve"> </w:t>
      </w:r>
      <w:r>
        <w:t xml:space="preserve">is not yet evidence of an acceptable alarm load. Getting there needs observation counts one to two orders of magnitude beyond anything reported here.</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88" name="Picture"/>
            <a:graphic>
              <a:graphicData uri="http://schemas.openxmlformats.org/drawingml/2006/picture">
                <pic:pic>
                  <pic:nvPicPr>
                    <pic:cNvPr descr="figures_v2/fig_perturb.png" id="89" name="Picture"/>
                    <pic:cNvPicPr>
                      <a:picLocks noChangeArrowheads="1" noChangeAspect="1"/>
                    </pic:cNvPicPr>
                  </pic:nvPicPr>
                  <pic:blipFill>
                    <a:blip r:embed="rId87"/>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15.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91" name="Picture"/>
            <a:graphic>
              <a:graphicData uri="http://schemas.openxmlformats.org/drawingml/2006/picture">
                <pic:pic>
                  <pic:nvPicPr>
                    <pic:cNvPr descr="figures_v2/fig_alarmburden.png" id="92" name="Picture"/>
                    <pic:cNvPicPr>
                      <a:picLocks noChangeArrowheads="1" noChangeAspect="1"/>
                    </pic:cNvPicPr>
                  </pic:nvPicPr>
                  <pic:blipFill>
                    <a:blip r:embed="rId90"/>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16. False-alarm rate expressed as alarm burden,</w:t>
      </w:r>
      <w:r>
        <w:t xml:space="preserve"> </w:t>
      </w:r>
      <w:r>
        <w:t xml:space="preserve">per 1,000 clean windows so the quantity does not depend on a duty cycle. The dashed line marks the EEMUA 191 long-term average envelope for a whole operator position, placed at its equivalent for one window every 2 s. Two of the five models cross it as soon as a single sensor is lost, two more cross it by the time three are gone, and gradient boosting never crosses it at any severity, because it fails in the other direction.</w:t>
      </w:r>
    </w:p>
    <w:bookmarkEnd w:id="93"/>
    <w:bookmarkStart w:id="97" w:name="calibration"/>
    <w:p>
      <w:pPr>
        <w:pStyle w:val="Heading3"/>
      </w:pPr>
      <w:r>
        <w:t xml:space="preserve">4.8 Calibration</w:t>
      </w:r>
    </w:p>
    <w:p>
      <w:pPr>
        <w:pStyle w:val="FirstParagraph"/>
      </w:pPr>
      <w:r>
        <w:t xml:space="preserve">Confidence matters here because any escalation threshold, and any deferral rule, would be set against it. Four estimators were compared on the corrected pipeline: the raw softmax, MC dropout with 20 passes, temperature scaling, and a five-member deep ensemble built from the same model class and objective as the single model rather than from a different one. Temperature is fitted on a calibration split carved out of training, never on the training logits themselves, and ECE uses equal-mass bins because confidence on this corpus piles up near 1 and equal-width bins leave most of the range empty (</w:t>
      </w:r>
      <w:r>
        <w:rPr>
          <w:bCs/>
          <w:b/>
        </w:rPr>
        <w:t xml:space="preserve">Table 12</w:t>
      </w:r>
      <w:r>
        <w:t xml:space="preserve">, Fig. 17).</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12. 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we would not rank the four with any confidence. Two observations seem more useful than the ordering.</w:t>
      </w:r>
    </w:p>
    <w:p>
      <w:pPr>
        <w:pStyle w:val="BodyText"/>
      </w:pPr>
      <w:r>
        <w:t xml:space="preserve">The first is that</w:t>
      </w:r>
      <w:r>
        <w:t xml:space="preserve"> </w:t>
      </w:r>
      <w:r>
        <w:rPr>
          <w:bCs/>
          <w:b/>
        </w:rPr>
        <w:t xml:space="preserve">overall ECE is driven entirely by the non-hazardous classes</w:t>
      </w:r>
      <w:r>
        <w:t xml:space="preserve">. Restricted to Smoke and Mixture windows, every estimator is calibrated to within 0.02%, and temperature scaling to within rounding. The miscalibration lives on the NoGas and Perfume boundary, which is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The second is that</w:t>
      </w:r>
      <w:r>
        <w:t xml:space="preserve"> </w:t>
      </w:r>
      <w:r>
        <w:rPr>
          <w:bCs/>
          <w:b/>
        </w:rPr>
        <w:t xml:space="preserve">temperature scaling made things slightly worse</w:t>
      </w:r>
      <w:r>
        <w:t xml:space="preserve">, which is not what the usual account predicts. The fitted temperature is consistently below 1, at 0.839 ± 0.044 across seeds and never above 0.89, meaning the network is under-confident rather than over-confident on this corpus. Sharpening an already under-confident distribution moves it away from calibration. We suspect the cost weighting rather than the architecture is responsible, though we did not test that directly and would not present it as more than a hypothesis. One methodological point does follow with more confidence. Temperature must be fitted on a partition the network has not memorized; fitting it on training logits produces a temperature above 1 and an apparent improvement that does not transfer, which is a plausible way for this estimator to be over-credited elsewhere. The bin-count sweep in Fig. 17c shows the ordering is stable from 5 to 30 bins, so the result is at least not an artifact of the binning choice.</w:t>
      </w:r>
    </w:p>
    <w:p>
      <w:pPr>
        <w:pStyle w:val="BodyText"/>
      </w:pPr>
      <w:r>
        <w:drawing>
          <wp:inline>
            <wp:extent cx="5334000" cy="1616926"/>
            <wp:effectExtent b="0" l="0" r="0" t="0"/>
            <wp:docPr descr="" title="" id="95" name="Picture"/>
            <a:graphic>
              <a:graphicData uri="http://schemas.openxmlformats.org/drawingml/2006/picture">
                <pic:pic>
                  <pic:nvPicPr>
                    <pic:cNvPr descr="figures_v2/fig_calibration.png" id="96" name="Picture"/>
                    <pic:cNvPicPr>
                      <a:picLocks noChangeArrowheads="1" noChangeAspect="1"/>
                    </pic:cNvPicPr>
                  </pic:nvPicPr>
                  <pic:blipFill>
                    <a:blip r:embed="rId94"/>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17. Calibration.</w:t>
      </w:r>
      <w:r>
        <w:t xml:space="preserve"> </w:t>
      </w:r>
      <w:r>
        <w:t xml:space="preserve">(a) ECE with bootstrap intervals. (b) The same, split into all windows against hazardous windows only. (c) Sensitivity to the number of bins.</w:t>
      </w:r>
    </w:p>
    <w:bookmarkEnd w:id="97"/>
    <w:bookmarkStart w:id="98" w:name="X83f53f3d9c982fe0ecaa8f2bd096b6372984c53"/>
    <w:p>
      <w:pPr>
        <w:pStyle w:val="Heading3"/>
      </w:pPr>
      <w:r>
        <w:t xml:space="preserve">4.9 Standing relative to prior work on this corpus</w:t>
      </w:r>
    </w:p>
    <w:p>
      <w:pPr>
        <w:pStyle w:val="FirstParagraph"/>
      </w:pPr>
      <w:r>
        <w:t xml:space="preserve">Published classification accuracies on MultimodalGasData run from 91.7%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which was obtained under the same kind of randomized split those published figures use and carries the same caveat as a result (Section 3.3). That makes it comparable to them, and it makes all of them comparably optimistic.</w:t>
      </w:r>
    </w:p>
    <w:p>
      <w:pPr>
        <w:pStyle w:val="BodyText"/>
      </w:pPr>
      <w:r>
        <w:t xml:space="preserve">Either way, we are not claiming an accuracy advantage and nothing in the contribution rests on one.</w:t>
      </w:r>
    </w:p>
    <w:p>
      <w:r>
        <w:pict>
          <v:rect style="width:0;height:1.5pt" o:hralign="center" o:hrstd="t" o:hr="t"/>
        </w:pict>
      </w:r>
    </w:p>
    <w:bookmarkEnd w:id="98"/>
    <w:bookmarkEnd w:id="99"/>
    <w:bookmarkStart w:id="105" w:name="discussion"/>
    <w:p>
      <w:pPr>
        <w:pStyle w:val="Heading2"/>
      </w:pPr>
      <w:r>
        <w:t xml:space="preserve">5. Discussion</w:t>
      </w:r>
    </w:p>
    <w:bookmarkStart w:id="100"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5.66 points separate best from worst over 30 randomized runs, and all but one record no observed missed hazards, full escalation and no observed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100"/>
    <w:bookmarkStart w:id="101"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ten of eleven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4.7 shows the mirror-image trap just as clearly. Under complete sensor loss the cost-weighted policy and the threshold rule score perfectly on missed hazard and escalation by escalating everything, raising a high-severity alarm on every clean window. Gradient boosting scores perfectly on false alarms by missing 60% of hazards. Each of the three metrics, taken alone, certifies a different model as safe. Only together do they describe what the system is actually doing.</w:t>
      </w:r>
    </w:p>
    <w:bookmarkEnd w:id="101"/>
    <w:bookmarkStart w:id="102"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4.4 supplies the second, and there the cost-weighted policy escalates 24.5%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4.3 fewer accuracy points and identical safety behavior. Its advantages are narrow and specific: full escalation on unseen Smoke where the perceptron misses 9.49%, and no observed missed hazard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4.4. An ordinal objective, or a full cost matrix in which both distance and direction along the action ladder carry cost, is the design the evidence points toward, so we implemented one and report it in Section 4.5. It moved the target quantity, raising escalation on unseen Mixture from 0.245 to 0.393, and it is the only change to the objective anywhere in this study that moved that quantity at all. It also cost 21 accuracy points in distribution, which we read as a statement about our first choice of matrix rather than about the idea. We are not putting it forward as a model to adopt: one untuned matrix establishes that the lever exists and moves in the expected direction, and nothing more than that. Tuning the ratio between the hazardous-class and the clean-air penalties is the obvious next step, and it is the one we would take.</w:t>
      </w:r>
    </w:p>
    <w:bookmarkEnd w:id="102"/>
    <w:bookmarkStart w:id="103"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That is a safety argument rather than an empirical one: a model whose output cannot be verified against the decision it describes should not be able to change that decision, however fast it runs. We have not measured whether the explanation component would meet any particular timing budget, and nothing here should be read as evidence that it would.</w:t>
      </w:r>
    </w:p>
    <w:p>
      <w:pPr>
        <w:pStyle w:val="BodyText"/>
      </w:pPr>
      <w:r>
        <w:t xml:space="preserve">Sensor-loss behavior is an alarm-management decision rather than a modeling one. Losing one sensor of seven moved the cost-weighted policy from zero to 117 high-severity alarms per 1,000 clean windows and left the random forest at zero. Whether that is tolerable is a judgment about operator load, and it cannot be made from an accuracy table.</w:t>
      </w:r>
    </w:p>
    <w:p>
      <w:pPr>
        <w:pStyle w:val="BodyText"/>
      </w:pPr>
      <w:r>
        <w:t xml:space="preserve">Qualification has to include sensor loss. Single-channel dropout is the most likely fault a fixed detector will actually experience, and it separates models that look identical on every clean-condition metric. Any acceptance test built only on clean data would pass all of them.</w:t>
      </w:r>
    </w:p>
    <w:bookmarkEnd w:id="103"/>
    <w:bookmarkStart w:id="104"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18,960 hazardous windows pooled over 30 runs, which bounds a miss rate at 0.016% and no lower, and the leave-one-class-out bounds rest on 7,905 evaluations apiece, which reach only 0.038%. Nothing here validates the coordination and explanation components, which are apparatus, are not experimentally isolated, and support no result we report. And the models are ranked only where the equivalence analysis of Section 4.3 actually resolves a comparison, which it does for two of ten.</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104"/>
    <w:bookmarkEnd w:id="105"/>
    <w:bookmarkStart w:id="106"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The model comparison of Section 4.3 uses 30 randomized runs and a Bayesian correlated</w:t>
      </w:r>
      <w:r>
        <w:t xml:space="preserve"> </w:t>
      </w:r>
      <w:r>
        <w:rPr>
          <w:iCs/>
          <w:i/>
        </w:rPr>
        <w:t xml:space="preserve">t</w:t>
      </w:r>
      <w:r>
        <w:t xml:space="preserve">-test, which is enough to state practical equivalence positively and to resolve two of the ten comparisons. Every other experiment here runs on five seeds, where a Wilcoxon signed-rank test has a minimum attainable two-sided</w:t>
      </w:r>
      <w:r>
        <w:t xml:space="preserve"> </w:t>
      </w:r>
      <w:r>
        <w:rPr>
          <w:iCs/>
          <w:i/>
        </w:rPr>
        <w:t xml:space="preserve">p</w:t>
      </w:r>
      <w:r>
        <w:t xml:space="preserve"> </w:t>
      </w:r>
      <w:r>
        <w:t xml:space="preserve">of 0.0625 and therefore cannot reach α = 0.05 at any effect size. No ranking should be read into the five-seed tables, and the differences they show between conditions are reported as differences rather than as tested effects.</w:t>
      </w:r>
    </w:p>
    <w:p>
      <w:pPr>
        <w:pStyle w:val="BodyText"/>
      </w:pPr>
      <w:r>
        <w:rPr>
          <w:bCs/>
          <w:b/>
        </w:rPr>
        <w:t xml:space="preserve">Metric scope.</w:t>
      </w:r>
      <w:r>
        <w:t xml:space="preserve"> </w:t>
      </w:r>
      <w:r>
        <w:t xml:space="preserve">Missed-hazard rate counts only the fully passive action, which is why escalation adequacy is reported beside it. The graded expected-cost formulation in Section 4.5 is a first attempt at the better alternative and not a finished one: the matrix entries were chosen by hand for their structure, never tuned, and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Its split, however, is randomized over consecutive frames from one session, so it is exposed to the leakage mechanism the sensor-side protocol excludes, and 98.8% is an optimistic upper bound rather than an independent estimate. The consequence is that the two paths through the pipeline are held to different evidential standards. No conclusion in this paper rests on the perception number, since the decision state carries no visual term, but the multimodal system as a whole should not be read as validated to the standard applied to the sensor path. Re-splitting the images block-wise, and re-reporting perception accuracy under that protocol, is the outstanding piece of work. Section 4.2 suggests what to expect: on the sensor side the same change cost between 1.66 and 4.08 accuracy points.</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The anomaly-input probe is a conditional intervention.</w:t>
      </w:r>
      <w:r>
        <w:t xml:space="preserve"> </w:t>
      </w:r>
      <w:r>
        <w:t xml:space="preserve">Section 4.6 forces the anomaly feature to fixed values while the other twenty-one are held at their observed values. In service those quantities co-vary, so the probe isolates a dependence rather than reproducing a realistic failure. It shows that one model’s safety behavior is sensitive to a single upstream input; it does not establish how that input would fail, or how often.</w:t>
      </w:r>
    </w:p>
    <w:p>
      <w:pPr>
        <w:pStyle w:val="BodyText"/>
      </w:pPr>
      <w:r>
        <w:rPr>
          <w:bCs/>
          <w:b/>
        </w:rPr>
        <w:t xml:space="preserve">No hardware evaluation.</w:t>
      </w:r>
      <w:r>
        <w:t xml:space="preserve"> </w:t>
      </w:r>
      <w:r>
        <w:t xml:space="preserve">Nothing here establishes that the pipeline runs inside any particular latency, memory or power budget, because no deployment was carried out. Claims about on-device feasibility would need a hardware campaign this study does not have, and the explanation component in particular is described but never timed or evaluated.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and explanation layers.</w:t>
      </w:r>
      <w:r>
        <w:t xml:space="preserve"> </w:t>
      </w:r>
      <w:r>
        <w:t xml:space="preserve">The components that coordinate, critique and supervise the pipeline, and the language model that writes the operator-facing explanation, are apparatus. None of them is experimentally isolated and no claim in this paper depends on any of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106"/>
    <w:bookmarkStart w:id="107" w:name="conclusions"/>
    <w:p>
      <w:pPr>
        <w:pStyle w:val="Heading2"/>
      </w:pPr>
      <w:r>
        <w:t xml:space="preserve">7. Conclusions</w:t>
      </w:r>
    </w:p>
    <w:p>
      <w:pPr>
        <w:pStyle w:val="FirstParagraph"/>
      </w:pPr>
      <w:r>
        <w:t xml:space="preserve">We evaluated a gas-monitoring pipeline against a broader metric set than accuracy alone, on a public MOX benchmark of laboratory surrogates, under a leakage-controlled block-wise holdout with seed-varying partitions.</w:t>
      </w:r>
    </w:p>
    <w:p>
      <w:pPr>
        <w:numPr>
          <w:ilvl w:val="0"/>
          <w:numId w:val="1002"/>
        </w:numPr>
      </w:pPr>
      <w:r>
        <w:rPr>
          <w:bCs/>
          <w:b/>
        </w:rPr>
        <w:t xml:space="preserve">In distribution the metric set does not discriminate.</w:t>
      </w:r>
      <w:r>
        <w:t xml:space="preserve"> </w:t>
      </w:r>
      <w:r>
        <w:t xml:space="preserve">Across 30 randomized runs, ten comparators spanning very different inductive biases lie within 5.66 accuracy points, and all but one record no observed missed hazards, escalation adequacy of 1.000 and no observed high-severity false alarms, each bounded by the sample size rather than demonstrated to be zero. Removing the cost weighting is practically equivalent to keeping it, with posterior probability 0.960 under a region of practical equivalence of one accuracy point.</w:t>
      </w:r>
    </w:p>
    <w:p>
      <w:pPr>
        <w:numPr>
          <w:ilvl w:val="0"/>
          <w:numId w:val="1002"/>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+0.13.</w:t>
      </w:r>
    </w:p>
    <w:p>
      <w:pPr>
        <w:numPr>
          <w:ilvl w:val="0"/>
          <w:numId w:val="1002"/>
        </w:numPr>
      </w:pPr>
      <w:r>
        <w:rPr>
          <w:bCs/>
          <w:b/>
        </w:rPr>
        <w:t xml:space="preserve">Missed-hazard rate is necessary and not sufficient.</w:t>
      </w:r>
      <w:r>
        <w:t xml:space="preserve"> </w:t>
      </w:r>
      <w:r>
        <w:t xml:space="preserve">On a second unseen hazardous class, ten of eleven comparators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2"/>
        </w:numPr>
      </w:pPr>
      <w:r>
        <w:rPr>
          <w:bCs/>
          <w:b/>
        </w:rPr>
        <w:t xml:space="preserve">Scalar cost asymmetry produced no measurable safety benefit</w:t>
      </w:r>
      <w:r>
        <w:t xml:space="preserve"> </w:t>
      </w:r>
      <w:r>
        <w:t xml:space="preserve">at any ratio from 1:1 to 20:1, and degraded accuracy above 6:1. Replacing it with an ordinal cost matrix, which prices under- and over-escalation differently, did move the target quantity: escalation on an unseen hazardous class rose from 0.245 to 0.393. It also cost 21 accuracy points and raised expected cost fourfold, so we report it as a direction that works rather than a design that is ready.</w:t>
      </w:r>
    </w:p>
    <w:p>
      <w:pPr>
        <w:numPr>
          <w:ilvl w:val="0"/>
          <w:numId w:val="1002"/>
        </w:numPr>
      </w:pPr>
      <w:r>
        <w:rPr>
          <w:bCs/>
          <w:b/>
        </w:rPr>
        <w:t xml:space="preserve">The partitioning protocol moves accuracy by more than the models do.</w:t>
      </w:r>
      <w:r>
        <w:t xml:space="preserve"> </w:t>
      </w:r>
      <w:r>
        <w:t xml:space="preserve">A random split over overlapping windows adds between 1.66 and 4.08 accuracy points relative to a blocked, embargoed split, and a stricter protocol that trains on early windows and tests on late ones costs three of six models between 27 and 29 points. Comparisons across studies that use different protocols therefore carry little information about relative merit.</w:t>
      </w:r>
    </w:p>
    <w:p>
      <w:pPr>
        <w:numPr>
          <w:ilvl w:val="0"/>
          <w:numId w:val="1002"/>
        </w:numPr>
      </w:pPr>
      <w:r>
        <w:rPr>
          <w:bCs/>
          <w:b/>
        </w:rPr>
        <w:t xml:space="preserve">Under graded sensor loss three distinct failure modes appear, and each single metric certifies a different model as safe.</w:t>
      </w:r>
      <w:r>
        <w:t xml:space="preserve"> </w:t>
      </w:r>
      <w:r>
        <w:t xml:space="preserve">Fail-loud models raise a high-severity alarm on every clean window while recording no observed missed hazard at all. Fail-silent models record no false alarm at all while missing 60% of hazards. Losing one sensor of seven moves the cost-weighted policy from zero to 117 alarms per 1,000 clean windows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 tuned version of the ordinal cost matrix of Section 4.5, since the untuned one buys escalation at a price we would not pay; class-conditional conformal prediction (Angelopoulos and Bates 2023) to turn observed zero-miss counts into distribution-free coverage guarantees on the hazardous class; and a systematic treatment of upstream-component failure, since Section 4.6 shows at least one comparator whose missed-hazard rate moves by a factor of thirty-five when a single input is wrong, and we tested only one such input.</w:t>
      </w:r>
    </w:p>
    <w:p>
      <w:r>
        <w:pict>
          <v:rect style="width:0;height:1.5pt" o:hralign="center" o:hrstd="t" o:hr="t"/>
        </w:pict>
      </w:r>
    </w:p>
    <w:bookmarkEnd w:id="107"/>
    <w:bookmarkStart w:id="108"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4.7)</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108"/>
    <w:bookmarkStart w:id="109"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109"/>
    <w:bookmarkStart w:id="110"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110"/>
    <w:bookmarkStart w:id="111"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111"/>
    <w:bookmarkStart w:id="112"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4 through 12 are available from the corresponding author. See Appendix A.</w:t>
      </w:r>
    </w:p>
    <w:p>
      <w:r>
        <w:pict>
          <v:rect style="width:0;height:1.5pt" o:hralign="center" o:hrstd="t" o:hr="t"/>
        </w:pict>
      </w:r>
    </w:p>
    <w:bookmarkEnd w:id="112"/>
    <w:bookmarkStart w:id="113"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Gemma Team, Google DeepMind. 2025. Gemma 3 Technical Report. arXiv:2503.19786 (preprint, submitted 25 March 2025).</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113"/>
    <w:bookmarkStart w:id="114" w:name="appendix-a.-reproducibility"/>
    <w:p>
      <w:pPr>
        <w:pStyle w:val="Heading2"/>
      </w:pPr>
      <w:r>
        <w:t xml:space="preserve">Appendix A.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in Section 3.6. The model comparison of Section 4.3 uses 30 randomized runs (seeds 1000 to 1029) varying block position, initialization and a hyperparameter draw. Everything else uses five seeds (42, 1337, 7, 2024, 99), each with its own partition. PyTorch determinism guards enabled, single-threaded execution. Each experiment in Sections 4.1 to 4.8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retrain/run_final.py</w:t>
      </w:r>
      <w:r>
        <w:t xml:space="preserve"> </w:t>
      </w:r>
      <w:r>
        <w:t xml:space="preserve">(30-run comparison with the Bayesian equivalence test, extended leave-one-class-out, ordinal cost objective, cost-ratio selection);</w:t>
      </w:r>
      <w:r>
        <w:t xml:space="preserve"> </w:t>
      </w:r>
      <w:r>
        <w:rPr>
          <w:rStyle w:val="VerbatimChar"/>
        </w:rPr>
        <w:t xml:space="preserve">retrain/run_leakage.py</w:t>
      </w:r>
      <w:r>
        <w:t xml:space="preserve"> </w:t>
      </w:r>
      <w:r>
        <w:t xml:space="preserve">(partitioning-protocol comparison and blocked validation);</w:t>
      </w:r>
      <w:r>
        <w:t xml:space="preserve"> </w:t>
      </w:r>
      <w:r>
        <w:rPr>
          <w:rStyle w:val="VerbatimChar"/>
        </w:rPr>
        <w:t xml:space="preserve">retrain/run_rho_sensitivity.py</w:t>
      </w:r>
      <w:r>
        <w:t xml:space="preserve"> </w:t>
      </w:r>
      <w:r>
        <w:t xml:space="preserve">(sweep of the correlation term in the Bayesian test);</w:t>
      </w:r>
      <w:r>
        <w:t xml:space="preserve"> </w:t>
      </w:r>
      <w:r>
        <w:rPr>
          <w:rStyle w:val="VerbatimChar"/>
        </w:rPr>
        <w:t xml:space="preserve">retrain/make_figs_v2.py</w:t>
      </w:r>
      <w:r>
        <w:t xml:space="preserve"> </w:t>
      </w:r>
      <w:r>
        <w:t xml:space="preserve">(Figs. 1 to 17);</w:t>
      </w:r>
      <w:r>
        <w:t xml:space="preserve"> </w:t>
      </w:r>
      <w:r>
        <w:rPr>
          <w:rStyle w:val="VerbatimChar"/>
        </w:rPr>
        <w:t xml:space="preserve">verify_v9.py</w:t>
      </w:r>
      <w:r>
        <w:t xml:space="preserve">, which parses the tables in this manuscript and checks every quoted value against the result files below.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r>
        <w:t xml:space="preserve"> </w:t>
      </w:r>
      <w:r>
        <w:rPr>
          <w:rStyle w:val="VerbatimChar"/>
        </w:rPr>
        <w:t xml:space="preserve">v3_leakage.csv</w:t>
      </w:r>
      <w:r>
        <w:t xml:space="preserve">,</w:t>
      </w:r>
      <w:r>
        <w:t xml:space="preserve"> </w:t>
      </w:r>
      <w:r>
        <w:rPr>
          <w:rStyle w:val="VerbatimChar"/>
        </w:rPr>
        <w:t xml:space="preserve">v3_powered.csv</w:t>
      </w:r>
      <w:r>
        <w:t xml:space="preserve">,</w:t>
      </w:r>
      <w:r>
        <w:t xml:space="preserve"> </w:t>
      </w:r>
      <w:r>
        <w:rPr>
          <w:rStyle w:val="VerbatimChar"/>
        </w:rPr>
        <w:t xml:space="preserve">v3_powered_bayes.json</w:t>
      </w:r>
      <w:r>
        <w:t xml:space="preserve">,</w:t>
      </w:r>
      <w:r>
        <w:t xml:space="preserve"> </w:t>
      </w:r>
      <w:r>
        <w:rPr>
          <w:rStyle w:val="VerbatimChar"/>
        </w:rPr>
        <w:t xml:space="preserve">v3_loco_all.csv</w:t>
      </w:r>
      <w:r>
        <w:t xml:space="preserve">,</w:t>
      </w:r>
      <w:r>
        <w:t xml:space="preserve"> </w:t>
      </w:r>
      <w:r>
        <w:rPr>
          <w:rStyle w:val="VerbatimChar"/>
        </w:rPr>
        <w:t xml:space="preserve">v3_cost_validation.csv</w:t>
      </w:r>
      <w:r>
        <w:t xml:space="preserve">,</w:t>
      </w:r>
      <w:r>
        <w:t xml:space="preserve"> </w:t>
      </w:r>
      <w:r>
        <w:rPr>
          <w:rStyle w:val="VerbatimChar"/>
        </w:rPr>
        <w:t xml:space="preserve">v3_cost_blocked_validation.csv</w:t>
      </w:r>
      <w:r>
        <w:t xml:space="preserve">,</w:t>
      </w:r>
      <w:r>
        <w:t xml:space="preserve"> </w:t>
      </w:r>
      <w:r>
        <w:rPr>
          <w:rStyle w:val="VerbatimChar"/>
        </w:rPr>
        <w:t xml:space="preserve">v3_rho_sensitivity.json</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62" Target="media/rId62.png" /><Relationship Type="http://schemas.openxmlformats.org/officeDocument/2006/relationships/image" Id="rId90" Target="media/rId90.png" /><Relationship Type="http://schemas.openxmlformats.org/officeDocument/2006/relationships/image" Id="rId48" Target="media/rId48.png" /><Relationship Type="http://schemas.openxmlformats.org/officeDocument/2006/relationships/image" Id="rId83" Target="media/rId83.png" /><Relationship Type="http://schemas.openxmlformats.org/officeDocument/2006/relationships/image" Id="rId36" Target="media/rId36.png" /><Relationship Type="http://schemas.openxmlformats.org/officeDocument/2006/relationships/image" Id="rId94" Target="media/rId94.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45" Target="media/rId45.png" /><Relationship Type="http://schemas.openxmlformats.org/officeDocument/2006/relationships/image" Id="rId87" Target="media/rId87.png" /><Relationship Type="http://schemas.openxmlformats.org/officeDocument/2006/relationships/image" Id="rId59" Target="media/rId59.png" /><Relationship Type="http://schemas.openxmlformats.org/officeDocument/2006/relationships/image" Id="rId32" Target="media/rId32.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2026-09-09T21:36:57Z</dcterms:created>
  <dcterms:modified xsi:type="dcterms:W3CDTF">2026-09-09T21:36:57Z</dcterms:modified>
</cp:coreProperties>
</file>

<file path=docProps/custom.xml><?xml version="1.0" encoding="utf-8"?>
<Properties xmlns="http://schemas.openxmlformats.org/officeDocument/2006/custom-properties" xmlns:vt="http://schemas.openxmlformats.org/officeDocument/2006/docPropsVTypes"/>
</file>